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Lab 2 – OSPF multi-área: guia de estudo</w:t>
      </w:r>
    </w:p>
    <w:p>
      <w:pPr/>
      <w:r>
        <w:t xml:space="preserve">Oct 24, 2026</w:t>
      </w:r>
      <w:r>
        <w:t xml:space="preserve"> · </w:t>
      </w:r>
      <w:r>
        <w:t xml:space="preserve">@Miguel Pinho</w:t>
      </w:r>
    </w:p>
    <w:p>
      <w:pPr>
        <w:pStyle w:val="Heading2"/>
      </w:pPr>
      <w:r>
        <w:t xml:space="preserve">1. O que o lab pede e o resultado</w:t>
      </w:r>
    </w:p>
    <w:p>
      <w:pPr/>
      <w:r>
        <w:t xml:space="preserve">O lab pede uma rede OSPF multi-área com 7 routers e um switch, e que se encontre e corrija um problema escondido. Ficou tudo a funcionar, com os 19 endereços a responderem de todos os routers.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Endereços</w:t>
      </w:r>
      <w:r>
        <w:t xml:space="preserve"> em todas as interfaces e loopbacks.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OSPF por área</w:t>
      </w:r>
      <w:r>
        <w:t xml:space="preserve">, com o R1 a resumir a área 20, o R1 como DR no segmento do SW e o R3 a anunciar sempre uma default.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O problema escondido:</w:t>
      </w:r>
      <w:r>
        <w:t xml:space="preserve"> a área 43 não estava ligada à área 0. Corrigido com um </w:t>
      </w:r>
      <w:r>
        <w:rPr>
          <w:i/>
        </w:rPr>
        <w:t xml:space="preserve">virtual link</w:t>
      </w:r>
      <w:r>
        <w:t xml:space="preserve"> entre o R1 e o R5.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Testes de conectividade</w:t>
      </w:r>
      <w:r>
        <w:t xml:space="preserve"> e a explicação do problema.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Não se faz</w:t>
      </w:r>
      <w:r>
        <w:t xml:space="preserve"> o "Automation corner" (o professor dispensou-o).</w:t>
      </w:r>
    </w:p>
    <w:p>
      <w:pPr>
        <w:pStyle w:val="Heading2"/>
      </w:pPr>
      <w:r>
        <w:t xml:space="preserve">2. Topologia e endereçamento</w:t>
      </w:r>
    </w:p>
    <w:p>
      <w:pPr/>
      <w:r>
        <w:t xml:space="preserve">O router </w:t>
      </w:r>
      <w:r>
        <w:rPr>
          <w:rStyle w:val="CodeChar"/>
        </w:rPr>
        <w:t xml:space="preserve">Rn</w:t>
      </w:r>
      <w:r>
        <w:t xml:space="preserve"> usa o endereço </w:t>
      </w:r>
      <w:r>
        <w:rPr>
          <w:rStyle w:val="CodeChar"/>
        </w:rPr>
        <w:t xml:space="preserve">.n</w:t>
      </w:r>
      <w:r>
        <w:t xml:space="preserve"> em todas as sub-redes onde está. As ligações são: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720"/>
        <w:gridCol w:w="4920"/>
        <w:gridCol w:w="720"/>
      </w:tblGrid>
      <w:tr>
        <w:trPr>
          <w:tblHeader/>
        </w:trPr>
        <w:tc>
          <w:tcPr>
            <w:tcW w:w="3720" w:type="dxa"/>
            <w:shd w:val="clear" w:color="auto" w:fill="F2F2F2"/>
          </w:tcPr>
          <w:p>
            <w:pPr/>
            <w:r>
              <w:t xml:space="preserve">Sub-rede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Quem liga</w:t>
            </w:r>
          </w:p>
        </w:tc>
        <w:tc>
          <w:tcPr>
            <w:tcW w:w="720" w:type="dxa"/>
            <w:shd w:val="clear" w:color="auto" w:fill="F2F2F2"/>
          </w:tcPr>
          <w:p>
            <w:pPr/>
            <w:r>
              <w:t xml:space="preserve">Área</w:t>
            </w:r>
          </w:p>
        </w:tc>
      </w:tr>
      <w:tr>
        <w:tc>
          <w:tcPr>
            <w:tcW w:w="3720" w:type="dxa"/>
          </w:tcPr>
          <w:p>
            <w:pPr/>
            <w:r>
              <w:rPr>
                <w:rStyle w:val="CodeChar"/>
              </w:rPr>
              <w:t xml:space="preserve">192.168.34.0/24</w:t>
            </w:r>
          </w:p>
        </w:tc>
        <w:tc>
          <w:tcPr>
            <w:tcW w:w="4920" w:type="dxa"/>
          </w:tcPr>
          <w:p>
            <w:pPr/>
            <w:r>
              <w:t xml:space="preserve">R1 swp2 </w:t>
            </w:r>
            <w:r>
              <w:rPr>
                <w:rStyle w:val="CodeChar"/>
              </w:rPr>
              <w:t xml:space="preserve">.1</w:t>
            </w:r>
            <w:r>
              <w:t xml:space="preserve"> – R2 swp1 </w:t>
            </w:r>
            <w:r>
              <w:rPr>
                <w:rStyle w:val="CodeChar"/>
              </w:rPr>
              <w:t xml:space="preserve">.2</w:t>
            </w:r>
          </w:p>
        </w:tc>
        <w:tc>
          <w:tcPr>
            <w:tcW w:w="720" w:type="dxa"/>
          </w:tcPr>
          <w:p>
            <w:pPr/>
            <w:r>
              <w:t xml:space="preserve">0</w:t>
            </w:r>
          </w:p>
        </w:tc>
      </w:tr>
      <w:tr>
        <w:tc>
          <w:tcPr>
            <w:tcW w:w="3720" w:type="dxa"/>
          </w:tcPr>
          <w:p>
            <w:pPr/>
            <w:r>
              <w:rPr>
                <w:rStyle w:val="CodeChar"/>
              </w:rPr>
              <w:t xml:space="preserve">192.168.45.0/24</w:t>
            </w:r>
          </w:p>
        </w:tc>
        <w:tc>
          <w:tcPr>
            <w:tcW w:w="4920" w:type="dxa"/>
          </w:tcPr>
          <w:p>
            <w:pPr/>
            <w:r>
              <w:t xml:space="preserve">R2 swp2 </w:t>
            </w:r>
            <w:r>
              <w:rPr>
                <w:rStyle w:val="CodeChar"/>
              </w:rPr>
              <w:t xml:space="preserve">.2</w:t>
            </w:r>
            <w:r>
              <w:t xml:space="preserve"> – R3 swp1 </w:t>
            </w:r>
            <w:r>
              <w:rPr>
                <w:rStyle w:val="CodeChar"/>
              </w:rPr>
              <w:t xml:space="preserve">.3</w:t>
            </w:r>
          </w:p>
        </w:tc>
        <w:tc>
          <w:tcPr>
            <w:tcW w:w="720" w:type="dxa"/>
          </w:tcPr>
          <w:p>
            <w:pPr/>
            <w:r>
              <w:t xml:space="preserve">0</w:t>
            </w:r>
          </w:p>
        </w:tc>
      </w:tr>
      <w:tr>
        <w:tc>
          <w:tcPr>
            <w:tcW w:w="3720" w:type="dxa"/>
          </w:tcPr>
          <w:p>
            <w:pPr/>
            <w:r>
              <w:rPr>
                <w:rStyle w:val="CodeChar"/>
              </w:rPr>
              <w:t xml:space="preserve">192.168.23.0/24</w:t>
            </w:r>
            <w:r>
              <w:t xml:space="preserve"> (segmento do SW)</w:t>
            </w:r>
          </w:p>
        </w:tc>
        <w:tc>
          <w:tcPr>
            <w:tcW w:w="4920" w:type="dxa"/>
          </w:tcPr>
          <w:p>
            <w:pPr/>
            <w:r>
              <w:t xml:space="preserve">R1 swp1 </w:t>
            </w:r>
            <w:r>
              <w:rPr>
                <w:rStyle w:val="CodeChar"/>
              </w:rPr>
              <w:t xml:space="preserve">.1</w:t>
            </w:r>
            <w:r>
              <w:t xml:space="preserve">, R4 swp1 </w:t>
            </w:r>
            <w:r>
              <w:rPr>
                <w:rStyle w:val="CodeChar"/>
              </w:rPr>
              <w:t xml:space="preserve">.4</w:t>
            </w:r>
            <w:r>
              <w:t xml:space="preserve">, R5 swp1 </w:t>
            </w:r>
            <w:r>
              <w:rPr>
                <w:rStyle w:val="CodeChar"/>
              </w:rPr>
              <w:t xml:space="preserve">.5</w:t>
            </w:r>
            <w:r>
              <w:t xml:space="preserve">, todos ligados ao SW</w:t>
            </w:r>
          </w:p>
        </w:tc>
        <w:tc>
          <w:tcPr>
            <w:tcW w:w="720" w:type="dxa"/>
          </w:tcPr>
          <w:p>
            <w:pPr/>
            <w:r>
              <w:t xml:space="preserve">32</w:t>
            </w:r>
          </w:p>
        </w:tc>
      </w:tr>
      <w:tr>
        <w:tc>
          <w:tcPr>
            <w:tcW w:w="3720" w:type="dxa"/>
          </w:tcPr>
          <w:p>
            <w:pPr/>
            <w:r>
              <w:rPr>
                <w:rStyle w:val="CodeChar"/>
              </w:rPr>
              <w:t xml:space="preserve">192.168.13.0/24</w:t>
            </w:r>
          </w:p>
        </w:tc>
        <w:tc>
          <w:tcPr>
            <w:tcW w:w="4920" w:type="dxa"/>
          </w:tcPr>
          <w:p>
            <w:pPr/>
            <w:r>
              <w:t xml:space="preserve">R5 swp2 </w:t>
            </w:r>
            <w:r>
              <w:rPr>
                <w:rStyle w:val="CodeChar"/>
              </w:rPr>
              <w:t xml:space="preserve">.5</w:t>
            </w:r>
            <w:r>
              <w:t xml:space="preserve"> – R6 swp1 </w:t>
            </w:r>
            <w:r>
              <w:rPr>
                <w:rStyle w:val="CodeChar"/>
              </w:rPr>
              <w:t xml:space="preserve">.6</w:t>
            </w:r>
          </w:p>
        </w:tc>
        <w:tc>
          <w:tcPr>
            <w:tcW w:w="720" w:type="dxa"/>
          </w:tcPr>
          <w:p>
            <w:pPr/>
            <w:r>
              <w:t xml:space="preserve">43</w:t>
            </w:r>
          </w:p>
        </w:tc>
      </w:tr>
      <w:tr>
        <w:tc>
          <w:tcPr>
            <w:tcW w:w="3720" w:type="dxa"/>
          </w:tcPr>
          <w:p>
            <w:pPr/>
            <w:r>
              <w:rPr>
                <w:rStyle w:val="CodeChar"/>
              </w:rPr>
              <w:t xml:space="preserve">192.168.12.0/24</w:t>
            </w:r>
          </w:p>
        </w:tc>
        <w:tc>
          <w:tcPr>
            <w:tcW w:w="4920" w:type="dxa"/>
          </w:tcPr>
          <w:p>
            <w:pPr/>
            <w:r>
              <w:t xml:space="preserve">R6 swp2 </w:t>
            </w:r>
            <w:r>
              <w:rPr>
                <w:rStyle w:val="CodeChar"/>
              </w:rPr>
              <w:t xml:space="preserve">.6</w:t>
            </w:r>
            <w:r>
              <w:t xml:space="preserve"> – R7 swp1 </w:t>
            </w:r>
            <w:r>
              <w:rPr>
                <w:rStyle w:val="CodeChar"/>
              </w:rPr>
              <w:t xml:space="preserve">.7</w:t>
            </w:r>
          </w:p>
        </w:tc>
        <w:tc>
          <w:tcPr>
            <w:tcW w:w="720" w:type="dxa"/>
          </w:tcPr>
          <w:p>
            <w:pPr/>
            <w:r>
              <w:t xml:space="preserve">43</w:t>
            </w:r>
          </w:p>
        </w:tc>
      </w:tr>
    </w:tbl>
    <w:p>
      <w:pPr/>
      <w:r>
        <w:t xml:space="preserve">O SW é só um switch L2: uma bridge VLAN-aware com </w:t>
      </w:r>
      <w:r>
        <w:rPr>
          <w:rStyle w:val="CodeChar"/>
        </w:rPr>
        <w:t xml:space="preserve">swp1</w:t>
      </w:r>
      <w:r>
        <w:t xml:space="preserve">, </w:t>
      </w:r>
      <w:r>
        <w:rPr>
          <w:rStyle w:val="CodeChar"/>
        </w:rPr>
        <w:t xml:space="preserve">swp2</w:t>
      </w:r>
      <w:r>
        <w:t xml:space="preserve"> e </w:t>
      </w:r>
      <w:r>
        <w:rPr>
          <w:rStyle w:val="CodeChar"/>
        </w:rPr>
        <w:t xml:space="preserve">swp3</w:t>
      </w:r>
      <w:r>
        <w:t xml:space="preserve"> em acesso na VLAN 1. Não tem OSPF.</w:t>
      </w:r>
    </w:p>
    <w:p>
      <w:pPr>
        <w:pStyle w:val="Heading3"/>
      </w:pPr>
      <w:r>
        <w:t xml:space="preserve">Loopbacks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425"/>
        <w:gridCol w:w="6804"/>
        <w:gridCol w:w="1129"/>
      </w:tblGrid>
      <w:tr>
        <w:trPr>
          <w:tblHeader/>
        </w:trPr>
        <w:tc>
          <w:tcPr>
            <w:tcW w:w="1425" w:type="dxa"/>
            <w:shd w:val="clear" w:color="auto" w:fill="F2F2F2"/>
          </w:tcPr>
          <w:p>
            <w:pPr/>
            <w:r>
              <w:t xml:space="preserve">Router</w:t>
            </w:r>
          </w:p>
        </w:tc>
        <w:tc>
          <w:tcPr>
            <w:tcW w:w="6804" w:type="dxa"/>
            <w:shd w:val="clear" w:color="auto" w:fill="F2F2F2"/>
          </w:tcPr>
          <w:p>
            <w:pPr/>
            <w:r>
              <w:t xml:space="preserve">Loopback(s)</w:t>
            </w:r>
          </w:p>
        </w:tc>
        <w:tc>
          <w:tcPr>
            <w:tcW w:w="1129" w:type="dxa"/>
            <w:shd w:val="clear" w:color="auto" w:fill="F2F2F2"/>
          </w:tcPr>
          <w:p>
            <w:pPr/>
            <w:r>
              <w:t xml:space="preserve">Área</w:t>
            </w:r>
          </w:p>
        </w:tc>
      </w:tr>
      <w:tr>
        <w:tc>
          <w:tcPr>
            <w:tcW w:w="1425" w:type="dxa"/>
          </w:tcPr>
          <w:p>
            <w:pPr/>
            <w:r>
              <w:t xml:space="preserve">R1</w:t>
            </w:r>
          </w:p>
        </w:tc>
        <w:tc>
          <w:tcPr>
            <w:tcW w:w="6804" w:type="dxa"/>
          </w:tcPr>
          <w:p>
            <w:pPr/>
            <w:r>
              <w:rPr>
                <w:rStyle w:val="CodeChar"/>
              </w:rPr>
              <w:t xml:space="preserve">172.16.9.1</w:t>
            </w:r>
            <w:r>
              <w:t xml:space="preserve">, </w:t>
            </w:r>
            <w:r>
              <w:rPr>
                <w:rStyle w:val="CodeChar"/>
              </w:rPr>
              <w:t xml:space="preserve">.33</w:t>
            </w:r>
            <w:r>
              <w:t xml:space="preserve">, </w:t>
            </w:r>
            <w:r>
              <w:rPr>
                <w:rStyle w:val="CodeChar"/>
              </w:rPr>
              <w:t xml:space="preserve">.65</w:t>
            </w:r>
            <w:r>
              <w:t xml:space="preserve"> e </w:t>
            </w:r>
            <w:r>
              <w:rPr>
                <w:rStyle w:val="CodeChar"/>
              </w:rPr>
              <w:t xml:space="preserve">.97</w:t>
            </w:r>
            <w:r>
              <w:t xml:space="preserve"> (todos /27)</w:t>
            </w:r>
          </w:p>
        </w:tc>
        <w:tc>
          <w:tcPr>
            <w:tcW w:w="1129" w:type="dxa"/>
          </w:tcPr>
          <w:p>
            <w:pPr/>
            <w:r>
              <w:t xml:space="preserve">20</w:t>
            </w:r>
          </w:p>
        </w:tc>
      </w:tr>
      <w:tr>
        <w:tc>
          <w:tcPr>
            <w:tcW w:w="1425" w:type="dxa"/>
          </w:tcPr>
          <w:p>
            <w:pPr/>
            <w:r>
              <w:t xml:space="preserve">R3</w:t>
            </w:r>
          </w:p>
        </w:tc>
        <w:tc>
          <w:tcPr>
            <w:tcW w:w="6804" w:type="dxa"/>
          </w:tcPr>
          <w:p>
            <w:pPr/>
            <w:r>
              <w:rPr>
                <w:rStyle w:val="CodeChar"/>
              </w:rPr>
              <w:t xml:space="preserve">172.16.0.1/27</w:t>
            </w:r>
          </w:p>
        </w:tc>
        <w:tc>
          <w:tcPr>
            <w:tcW w:w="1129" w:type="dxa"/>
          </w:tcPr>
          <w:p>
            <w:pPr/>
            <w:r>
              <w:t xml:space="preserve">34</w:t>
            </w:r>
          </w:p>
        </w:tc>
      </w:tr>
      <w:tr>
        <w:tc>
          <w:tcPr>
            <w:tcW w:w="1425" w:type="dxa"/>
          </w:tcPr>
          <w:p>
            <w:pPr/>
            <w:r>
              <w:t xml:space="preserve">R4</w:t>
            </w:r>
          </w:p>
        </w:tc>
        <w:tc>
          <w:tcPr>
            <w:tcW w:w="6804" w:type="dxa"/>
          </w:tcPr>
          <w:p>
            <w:pPr/>
            <w:r>
              <w:rPr>
                <w:rStyle w:val="CodeChar"/>
              </w:rPr>
              <w:t xml:space="preserve">172.16.12.1/27</w:t>
            </w:r>
          </w:p>
        </w:tc>
        <w:tc>
          <w:tcPr>
            <w:tcW w:w="1129" w:type="dxa"/>
          </w:tcPr>
          <w:p>
            <w:pPr/>
            <w:r>
              <w:t xml:space="preserve">32</w:t>
            </w:r>
          </w:p>
        </w:tc>
      </w:tr>
      <w:tr>
        <w:tc>
          <w:tcPr>
            <w:tcW w:w="1425" w:type="dxa"/>
          </w:tcPr>
          <w:p>
            <w:pPr/>
            <w:r>
              <w:t xml:space="preserve">R5</w:t>
            </w:r>
          </w:p>
        </w:tc>
        <w:tc>
          <w:tcPr>
            <w:tcW w:w="6804" w:type="dxa"/>
          </w:tcPr>
          <w:p>
            <w:pPr/>
            <w:r>
              <w:rPr>
                <w:rStyle w:val="CodeChar"/>
              </w:rPr>
              <w:t xml:space="preserve">172.16.11.1/27</w:t>
            </w:r>
          </w:p>
        </w:tc>
        <w:tc>
          <w:tcPr>
            <w:tcW w:w="1129" w:type="dxa"/>
          </w:tcPr>
          <w:p>
            <w:pPr/>
            <w:r>
              <w:t xml:space="preserve">32</w:t>
            </w:r>
          </w:p>
        </w:tc>
      </w:tr>
      <w:tr>
        <w:tc>
          <w:tcPr>
            <w:tcW w:w="1425" w:type="dxa"/>
          </w:tcPr>
          <w:p>
            <w:pPr/>
            <w:r>
              <w:t xml:space="preserve">R7</w:t>
            </w:r>
          </w:p>
        </w:tc>
        <w:tc>
          <w:tcPr>
            <w:tcW w:w="6804" w:type="dxa"/>
          </w:tcPr>
          <w:p>
            <w:pPr/>
            <w:r>
              <w:rPr>
                <w:rStyle w:val="CodeChar"/>
              </w:rPr>
              <w:t xml:space="preserve">172.16.10.1/27</w:t>
            </w:r>
          </w:p>
        </w:tc>
        <w:tc>
          <w:tcPr>
            <w:tcW w:w="1129" w:type="dxa"/>
          </w:tcPr>
          <w:p>
            <w:pPr/>
            <w:r>
              <w:t xml:space="preserve">43</w:t>
            </w:r>
          </w:p>
        </w:tc>
      </w:tr>
    </w:tbl>
    <w:p>
      <w:pPr/>
      <w:r>
        <w:t xml:space="preserve">O R2 e o R6 não têm loopback. As quatro loopbacks do R1 (</w:t>
      </w:r>
      <w:r>
        <w:rPr>
          <w:rStyle w:val="CodeChar"/>
        </w:rPr>
        <w:t xml:space="preserve">172.16.9.0</w:t>
      </w:r>
      <w:r>
        <w:t xml:space="preserve">, </w:t>
      </w:r>
      <w:r>
        <w:rPr>
          <w:rStyle w:val="CodeChar"/>
        </w:rPr>
        <w:t xml:space="preserve">.32</w:t>
      </w:r>
      <w:r>
        <w:t xml:space="preserve">, </w:t>
      </w:r>
      <w:r>
        <w:rPr>
          <w:rStyle w:val="CodeChar"/>
        </w:rPr>
        <w:t xml:space="preserve">.64</w:t>
      </w:r>
      <w:r>
        <w:t xml:space="preserve">, </w:t>
      </w:r>
      <w:r>
        <w:rPr>
          <w:rStyle w:val="CodeChar"/>
        </w:rPr>
        <w:t xml:space="preserve">.96</w:t>
      </w:r>
      <w:r>
        <w:t xml:space="preserve">, todas /27) cabem juntas em </w:t>
      </w:r>
      <w:r>
        <w:rPr>
          <w:rStyle w:val="CodeChar"/>
        </w:rPr>
        <w:t xml:space="preserve">172.16.9.0/25</w:t>
      </w:r>
      <w:r>
        <w:t xml:space="preserve">, e é esse o sumário que o R1 anuncia.</w:t>
      </w:r>
    </w:p>
    <w:p>
      <w:pPr>
        <w:pStyle w:val="Heading2"/>
      </w:pPr>
      <w:r>
        <w:t xml:space="preserve">3. As áreas e o papel de cada router</w:t>
      </w:r>
    </w:p>
    <w:p>
      <w:pPr/>
      <w:r>
        <w:t xml:space="preserve">A rede tem 5 áreas (0, 20, 32, 34 e 43), e cada router tem um papel conforme as áreas a que pertence.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219"/>
        <w:gridCol w:w="1538"/>
        <w:gridCol w:w="6601"/>
      </w:tblGrid>
      <w:tr>
        <w:trPr>
          <w:tblHeader/>
        </w:trPr>
        <w:tc>
          <w:tcPr>
            <w:tcW w:w="1219" w:type="dxa"/>
            <w:shd w:val="clear" w:color="auto" w:fill="F2F2F2"/>
          </w:tcPr>
          <w:p>
            <w:pPr/>
            <w:r>
              <w:t xml:space="preserve">Router</w:t>
            </w:r>
          </w:p>
        </w:tc>
        <w:tc>
          <w:tcPr>
            <w:tcW w:w="1538" w:type="dxa"/>
            <w:shd w:val="clear" w:color="auto" w:fill="F2F2F2"/>
          </w:tcPr>
          <w:p>
            <w:pPr/>
            <w:r>
              <w:t xml:space="preserve">Áreas</w:t>
            </w:r>
          </w:p>
        </w:tc>
        <w:tc>
          <w:tcPr>
            <w:tcW w:w="6601" w:type="dxa"/>
            <w:shd w:val="clear" w:color="auto" w:fill="F2F2F2"/>
          </w:tcPr>
          <w:p>
            <w:pPr/>
            <w:r>
              <w:t xml:space="preserve">Papel</w:t>
            </w:r>
          </w:p>
        </w:tc>
      </w:tr>
      <w:tr>
        <w:tc>
          <w:tcPr>
            <w:tcW w:w="1219" w:type="dxa"/>
          </w:tcPr>
          <w:p>
            <w:pPr/>
            <w:r>
              <w:t xml:space="preserve">R1</w:t>
            </w:r>
          </w:p>
        </w:tc>
        <w:tc>
          <w:tcPr>
            <w:tcW w:w="1538" w:type="dxa"/>
          </w:tcPr>
          <w:p>
            <w:pPr/>
            <w:r>
              <w:t xml:space="preserve">0, 20, 32</w:t>
            </w:r>
          </w:p>
        </w:tc>
        <w:tc>
          <w:tcPr>
            <w:tcW w:w="6601" w:type="dxa"/>
          </w:tcPr>
          <w:p>
            <w:pPr/>
            <w:r>
              <w:t xml:space="preserve">ABR. Resume a área 20 e é o DR do segmento do SW</w:t>
            </w:r>
          </w:p>
        </w:tc>
      </w:tr>
      <w:tr>
        <w:tc>
          <w:tcPr>
            <w:tcW w:w="1219" w:type="dxa"/>
          </w:tcPr>
          <w:p>
            <w:pPr/>
            <w:r>
              <w:t xml:space="preserve">R2</w:t>
            </w:r>
          </w:p>
        </w:tc>
        <w:tc>
          <w:tcPr>
            <w:tcW w:w="1538" w:type="dxa"/>
          </w:tcPr>
          <w:p>
            <w:pPr/>
            <w:r>
              <w:t xml:space="preserve">0</w:t>
            </w:r>
          </w:p>
        </w:tc>
        <w:tc>
          <w:tcPr>
            <w:tcW w:w="6601" w:type="dxa"/>
          </w:tcPr>
          <w:p>
            <w:pPr/>
            <w:r>
              <w:t xml:space="preserve">interno à área 0</w:t>
            </w:r>
          </w:p>
        </w:tc>
      </w:tr>
      <w:tr>
        <w:tc>
          <w:tcPr>
            <w:tcW w:w="1219" w:type="dxa"/>
          </w:tcPr>
          <w:p>
            <w:pPr/>
            <w:r>
              <w:t xml:space="preserve">R3</w:t>
            </w:r>
          </w:p>
        </w:tc>
        <w:tc>
          <w:tcPr>
            <w:tcW w:w="1538" w:type="dxa"/>
          </w:tcPr>
          <w:p>
            <w:pPr/>
            <w:r>
              <w:t xml:space="preserve">0, 34</w:t>
            </w:r>
          </w:p>
        </w:tc>
        <w:tc>
          <w:tcPr>
            <w:tcW w:w="6601" w:type="dxa"/>
          </w:tcPr>
          <w:p>
            <w:pPr/>
            <w:r>
              <w:t xml:space="preserve">ABR e ASBR. Anuncia sempre uma default</w:t>
            </w:r>
          </w:p>
        </w:tc>
      </w:tr>
      <w:tr>
        <w:tc>
          <w:tcPr>
            <w:tcW w:w="1219" w:type="dxa"/>
          </w:tcPr>
          <w:p>
            <w:pPr/>
            <w:r>
              <w:t xml:space="preserve">R4</w:t>
            </w:r>
          </w:p>
        </w:tc>
        <w:tc>
          <w:tcPr>
            <w:tcW w:w="1538" w:type="dxa"/>
          </w:tcPr>
          <w:p>
            <w:pPr/>
            <w:r>
              <w:t xml:space="preserve">32</w:t>
            </w:r>
          </w:p>
        </w:tc>
        <w:tc>
          <w:tcPr>
            <w:tcW w:w="6601" w:type="dxa"/>
          </w:tcPr>
          <w:p>
            <w:pPr/>
            <w:r>
              <w:t xml:space="preserve">interno à área 32</w:t>
            </w:r>
          </w:p>
        </w:tc>
      </w:tr>
      <w:tr>
        <w:tc>
          <w:tcPr>
            <w:tcW w:w="1219" w:type="dxa"/>
          </w:tcPr>
          <w:p>
            <w:pPr/>
            <w:r>
              <w:t xml:space="preserve">R5</w:t>
            </w:r>
          </w:p>
        </w:tc>
        <w:tc>
          <w:tcPr>
            <w:tcW w:w="1538" w:type="dxa"/>
          </w:tcPr>
          <w:p>
            <w:pPr/>
            <w:r>
              <w:t xml:space="preserve">32, 43</w:t>
            </w:r>
          </w:p>
        </w:tc>
        <w:tc>
          <w:tcPr>
            <w:tcW w:w="6601" w:type="dxa"/>
          </w:tcPr>
          <w:p>
            <w:pPr/>
            <w:r>
              <w:t xml:space="preserve">ABR entre a 32 e a 43 (só com </w:t>
            </w:r>
            <w:r>
              <w:rPr>
                <w:rStyle w:val="CodeChar"/>
              </w:rPr>
              <w:t xml:space="preserve">ospf abr-type standard</w:t>
            </w:r>
            <w:r>
              <w:t xml:space="preserve">)</w:t>
            </w:r>
          </w:p>
        </w:tc>
      </w:tr>
      <w:tr>
        <w:tc>
          <w:tcPr>
            <w:tcW w:w="1219" w:type="dxa"/>
          </w:tcPr>
          <w:p>
            <w:pPr/>
            <w:r>
              <w:t xml:space="preserve">R6</w:t>
            </w:r>
          </w:p>
        </w:tc>
        <w:tc>
          <w:tcPr>
            <w:tcW w:w="1538" w:type="dxa"/>
          </w:tcPr>
          <w:p>
            <w:pPr/>
            <w:r>
              <w:t xml:space="preserve">43</w:t>
            </w:r>
          </w:p>
        </w:tc>
        <w:tc>
          <w:tcPr>
            <w:tcW w:w="6601" w:type="dxa"/>
          </w:tcPr>
          <w:p>
            <w:pPr/>
            <w:r>
              <w:t xml:space="preserve">interno à área 43</w:t>
            </w:r>
          </w:p>
        </w:tc>
      </w:tr>
      <w:tr>
        <w:tc>
          <w:tcPr>
            <w:tcW w:w="1219" w:type="dxa"/>
          </w:tcPr>
          <w:p>
            <w:pPr/>
            <w:r>
              <w:t xml:space="preserve">R7</w:t>
            </w:r>
          </w:p>
        </w:tc>
        <w:tc>
          <w:tcPr>
            <w:tcW w:w="1538" w:type="dxa"/>
          </w:tcPr>
          <w:p>
            <w:pPr/>
            <w:r>
              <w:t xml:space="preserve">43</w:t>
            </w:r>
          </w:p>
        </w:tc>
        <w:tc>
          <w:tcPr>
            <w:tcW w:w="6601" w:type="dxa"/>
          </w:tcPr>
          <w:p>
            <w:pPr/>
            <w:r>
              <w:t xml:space="preserve">interno à área 43</w:t>
            </w:r>
          </w:p>
        </w:tc>
      </w:tr>
    </w:tbl>
    <w:p>
      <w:pPr>
        <w:pStyle w:val="Heading3"/>
      </w:pPr>
      <w:r>
        <w:t xml:space="preserve">Conceitos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ABR</w:t>
      </w:r>
      <w:r>
        <w:t xml:space="preserve"> (Area Border Router): tem interfaces em mais de uma área e passa as rotas de uma área para as outras, em forma de resumos.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ASBR:</w:t>
      </w:r>
      <w:r>
        <w:t xml:space="preserve"> injeta rotas de fora do OSPF. Aqui, o R3 injeta a default.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Área 0 (backbone):</w:t>
      </w:r>
      <w:r>
        <w:t xml:space="preserve"> todas as outras áreas têm de se ligar a ela, diretamente ou por um </w:t>
      </w:r>
      <w:r>
        <w:rPr>
          <w:i/>
        </w:rPr>
        <w:t xml:space="preserve">virtual link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DR e BDR:</w:t>
      </w:r>
      <w:r>
        <w:t xml:space="preserve"> num segmento </w:t>
      </w:r>
      <w:r>
        <w:rPr>
          <w:i/>
        </w:rPr>
        <w:t xml:space="preserve">broadcast</w:t>
      </w:r>
      <w:r>
        <w:t xml:space="preserve"> (o do SW) os routers elegem um DR e um BDR, e só se tornam adjacentes a eles. No R1 pôs-se </w:t>
      </w:r>
      <w:r>
        <w:rPr>
          <w:rStyle w:val="CodeChar"/>
        </w:rPr>
        <w:t xml:space="preserve">ip ospf priority 255</w:t>
      </w:r>
      <w:r>
        <w:t xml:space="preserve">, o que o faz ganhar a eleição. O R4 e o R5 ficaram com prioridade 1: o R5 como BDR (</w:t>
      </w:r>
      <w:r>
        <w:rPr>
          <w:rStyle w:val="CodeChar"/>
        </w:rPr>
        <w:t xml:space="preserve">Full/Backup</w:t>
      </w:r>
      <w:r>
        <w:t xml:space="preserve">) e o R4 como </w:t>
      </w:r>
      <w:r>
        <w:rPr>
          <w:rStyle w:val="CodeChar"/>
        </w:rPr>
        <w:t xml:space="preserve">DROther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Point-to-point vs broadcast:</w:t>
      </w:r>
      <w:r>
        <w:t xml:space="preserve"> os links entre dois routers usam </w:t>
      </w:r>
      <w:r>
        <w:rPr>
          <w:rStyle w:val="CodeChar"/>
        </w:rPr>
        <w:t xml:space="preserve">ip ospf network point-to-point</w:t>
      </w:r>
      <w:r>
        <w:t xml:space="preserve">, e só o segmento do SW fica </w:t>
      </w:r>
      <w:r>
        <w:rPr>
          <w:i/>
        </w:rPr>
        <w:t xml:space="preserve">broadcast</w:t>
      </w:r>
      <w:r>
        <w:t xml:space="preserve">, que é onde faz sentido haver DR.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Passive:</w:t>
      </w:r>
      <w:r>
        <w:t xml:space="preserve"> nas loopbacks. O OSPF anuncia a rede mas não tenta formar vizinhanças por elas.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Sumário (</w:t>
      </w:r>
      <w:r>
        <w:rPr>
          <w:rStyle w:val="CodeChar"/>
          <w:b/>
        </w:rPr>
        <w:t xml:space="preserve">area 20 range</w:t>
      </w:r>
      <w:r>
        <w:rPr>
          <w:b/>
        </w:rPr>
        <w:t xml:space="preserve">):</w:t>
      </w:r>
      <w:r>
        <w:t xml:space="preserve"> o R1 anuncia </w:t>
      </w:r>
      <w:r>
        <w:rPr>
          <w:rStyle w:val="CodeChar"/>
        </w:rPr>
        <w:t xml:space="preserve">172.16.9.0/25</w:t>
      </w:r>
      <w:r>
        <w:t xml:space="preserve"> em vez das quatro /27 da área 20, e por isso o R7 vê uma só rota (</w:t>
      </w:r>
      <w:r>
        <w:rPr>
          <w:rStyle w:val="CodeChar"/>
        </w:rPr>
        <w:t xml:space="preserve">172.16.9.0/25</w:t>
      </w:r>
      <w:r>
        <w:t xml:space="preserve">).</w:t>
      </w:r>
    </w:p>
    <w:p>
      <w:pPr>
        <w:pStyle w:val="Heading2"/>
      </w:pPr>
      <w:r>
        <w:t xml:space="preserve">4. A configuração de cada router</w:t>
      </w:r>
    </w:p>
    <w:p>
      <w:pPr/>
      <w:r>
        <w:t xml:space="preserve">Todos os routers usam </w:t>
      </w:r>
      <w:r>
        <w:rPr>
          <w:rStyle w:val="CodeChar"/>
        </w:rPr>
        <w:t xml:space="preserve">vtysh</w:t>
      </w:r>
      <w:r>
        <w:t xml:space="preserve"> para o OSPF e o ficheiro </w:t>
      </w:r>
      <w:r>
        <w:rPr>
          <w:rStyle w:val="CodeChar"/>
        </w:rPr>
        <w:t xml:space="preserve">/etc/network/interfaces</w:t>
      </w:r>
      <w:r>
        <w:t xml:space="preserve"> para os endereços.</w:t>
      </w:r>
    </w:p>
    <w:p>
      <w:pPr>
        <w:pStyle w:val="Code"/>
      </w:pPr>
      <w:r>
        <w:t xml:space="preserve"># R1</w:t>
        <w:br/>
        <w:t xml:space="preserve">router ospf</w:t>
        <w:br/>
        <w:t xml:space="preserve"> ospf router-id 1.1.1.1</w:t>
        <w:br/>
        <w:t xml:space="preserve"> area 20 range 172.16.9.0/25</w:t>
        <w:br/>
        <w:t xml:space="preserve"> area 32 virtual-link 5.5.5.5</w:t>
        <w:br/>
        <w:t xml:space="preserve">interface lo   -&gt; ip ospf area 20 + ip ospf passive</w:t>
        <w:br/>
        <w:t xml:space="preserve">interface swp1 -&gt; ip ospf area 32 + ip ospf network broadcast + ip ospf priority 255</w:t>
        <w:br/>
        <w:t xml:space="preserve">interface swp2 -&gt; ip ospf area 0  + ip ospf network point-to-point</w:t>
        <w:br/>
        <w:br/>
        <w:t xml:space="preserve"># R2</w:t>
        <w:br/>
        <w:t xml:space="preserve">router ospf  -&gt; ospf router-id 2.2.2.2</w:t>
        <w:br/>
        <w:t xml:space="preserve">interface swp1, swp2 -&gt; ip ospf area 0 + ip ospf network point-to-point</w:t>
        <w:br/>
        <w:br/>
        <w:t xml:space="preserve"># R3</w:t>
        <w:br/>
        <w:t xml:space="preserve">router ospf</w:t>
        <w:br/>
        <w:t xml:space="preserve"> ospf router-id 3.3.3.3</w:t>
        <w:br/>
        <w:t xml:space="preserve"> default-information originate always</w:t>
        <w:br/>
        <w:t xml:space="preserve">interface lo   -&gt; ip ospf area 34 + ip ospf passive</w:t>
        <w:br/>
        <w:t xml:space="preserve">interface swp1 -&gt; ip ospf area 0  + ip ospf network point-to-point</w:t>
        <w:br/>
        <w:br/>
        <w:t xml:space="preserve"># R4</w:t>
        <w:br/>
        <w:t xml:space="preserve">router ospf  -&gt; ospf router-id 4.4.4.4</w:t>
        <w:br/>
        <w:t xml:space="preserve">interface lo   -&gt; ip ospf area 32 + ip ospf passive</w:t>
        <w:br/>
        <w:t xml:space="preserve">interface swp1 -&gt; ip ospf area 32 + ip ospf network broadcast</w:t>
        <w:br/>
        <w:br/>
        <w:t xml:space="preserve"># R5</w:t>
        <w:br/>
        <w:t xml:space="preserve">router ospf</w:t>
        <w:br/>
        <w:t xml:space="preserve"> ospf router-id 5.5.5.5</w:t>
        <w:br/>
        <w:t xml:space="preserve"> ospf abr-type standard</w:t>
        <w:br/>
        <w:t xml:space="preserve"> area 32 virtual-link 1.1.1.1</w:t>
        <w:br/>
        <w:t xml:space="preserve">interface lo   -&gt; ip ospf area 32 + ip ospf passive</w:t>
        <w:br/>
        <w:t xml:space="preserve">interface swp1 -&gt; ip ospf area 32 + ip ospf network broadcast</w:t>
        <w:br/>
        <w:t xml:space="preserve">interface swp2 -&gt; ip ospf area 43 + ip ospf network point-to-point</w:t>
        <w:br/>
        <w:br/>
        <w:t xml:space="preserve"># R6</w:t>
        <w:br/>
        <w:t xml:space="preserve">router ospf  -&gt; ospf router-id 6.6.6.6</w:t>
        <w:br/>
        <w:t xml:space="preserve">interface swp1, swp2 -&gt; ip ospf area 43 + ip ospf network point-to-point</w:t>
        <w:br/>
        <w:br/>
        <w:t xml:space="preserve"># R7</w:t>
        <w:br/>
        <w:t xml:space="preserve">router ospf  -&gt; ospf router-id 7.7.7.7</w:t>
        <w:br/>
        <w:t xml:space="preserve">interface lo   -&gt; ip ospf area 43 + ip ospf passive</w:t>
        <w:br/>
        <w:t xml:space="preserve">interface swp1 -&gt; ip ospf area 43 + ip ospf network point-to-point</w:t>
      </w:r>
    </w:p>
    <w:p>
      <w:pPr>
        <w:pStyle w:val="Heading3"/>
      </w:pPr>
      <w:r>
        <w:t xml:space="preserve">O que cada opção faz</w:t>
      </w:r>
    </w:p>
    <w:p>
      <w:pPr>
        <w:pStyle w:val="ListParagraph"/>
        <w:numPr>
          <w:ilvl w:val="0"/>
          <w:numId w:val="4"/>
        </w:numPr>
      </w:pPr>
      <w:r>
        <w:rPr>
          <w:rStyle w:val="CodeChar"/>
          <w:b/>
        </w:rPr>
        <w:t xml:space="preserve">ospf router-id</w:t>
      </w:r>
      <w:r>
        <w:rPr>
          <w:b/>
        </w:rPr>
        <w:t xml:space="preserve">:</w:t>
      </w:r>
      <w:r>
        <w:t xml:space="preserve"> a identidade do router no OSPF. Pus </w:t>
      </w:r>
      <w:r>
        <w:rPr>
          <w:rStyle w:val="CodeChar"/>
        </w:rPr>
        <w:t xml:space="preserve">N.N.N.N</w:t>
      </w:r>
      <w:r>
        <w:t xml:space="preserve"> no router </w:t>
      </w:r>
      <w:r>
        <w:rPr>
          <w:rStyle w:val="CodeChar"/>
        </w:rPr>
        <w:t xml:space="preserve">RN</w:t>
      </w:r>
      <w:r>
        <w:t xml:space="preserve">, para ser fácil de ler nas saídas.</w:t>
      </w:r>
    </w:p>
    <w:p>
      <w:pPr>
        <w:pStyle w:val="ListParagraph"/>
        <w:numPr>
          <w:ilvl w:val="0"/>
          <w:numId w:val="4"/>
        </w:numPr>
      </w:pPr>
      <w:r>
        <w:rPr>
          <w:rStyle w:val="CodeChar"/>
          <w:b/>
        </w:rPr>
        <w:t xml:space="preserve">ip ospf area X</w:t>
      </w:r>
      <w:r>
        <w:rPr>
          <w:b/>
        </w:rPr>
        <w:t xml:space="preserve">:</w:t>
      </w:r>
      <w:r>
        <w:t xml:space="preserve"> põe a interface na área X (não há comando </w:t>
      </w:r>
      <w:r>
        <w:rPr>
          <w:rStyle w:val="CodeChar"/>
        </w:rPr>
        <w:t xml:space="preserve">network</w:t>
      </w:r>
      <w:r>
        <w:t xml:space="preserve"> aqui).</w:t>
      </w:r>
    </w:p>
    <w:p>
      <w:pPr>
        <w:pStyle w:val="ListParagraph"/>
        <w:numPr>
          <w:ilvl w:val="0"/>
          <w:numId w:val="4"/>
        </w:numPr>
      </w:pPr>
      <w:r>
        <w:rPr>
          <w:rStyle w:val="CodeChar"/>
          <w:b/>
        </w:rPr>
        <w:t xml:space="preserve">default-information originate always</w:t>
      </w:r>
      <w:r>
        <w:rPr>
          <w:b/>
        </w:rPr>
        <w:t xml:space="preserve">:</w:t>
      </w:r>
      <w:r>
        <w:t xml:space="preserve"> o R3 anuncia a default mesmo sem ter uma, porque não há Internet real.</w:t>
      </w:r>
    </w:p>
    <w:p>
      <w:pPr>
        <w:pStyle w:val="ListParagraph"/>
        <w:numPr>
          <w:ilvl w:val="0"/>
          <w:numId w:val="4"/>
        </w:numPr>
      </w:pPr>
      <w:r>
        <w:rPr>
          <w:rStyle w:val="CodeChar"/>
          <w:b/>
        </w:rPr>
        <w:t xml:space="preserve">priority 255</w:t>
      </w:r>
      <w:r>
        <w:rPr>
          <w:b/>
        </w:rPr>
        <w:t xml:space="preserve">:</w:t>
      </w:r>
      <w:r>
        <w:t xml:space="preserve"> o R1 ganha a eleição de DR no segmento do SW (a prioridade mais alta ganha).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O R5 só fica como ABR com </w:t>
      </w:r>
      <w:r>
        <w:rPr>
          <w:rStyle w:val="CodeChar"/>
          <w:b/>
        </w:rPr>
        <w:t xml:space="preserve">ospf abr-type standard</w:t>
      </w:r>
      <w:r>
        <w:t xml:space="preserve"> (ver a secção seguinte).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O SW</w:t>
      </w:r>
      <w:r>
        <w:t xml:space="preserve"> não tem OSPF: é uma bridge com </w:t>
      </w:r>
      <w:r>
        <w:rPr>
          <w:rStyle w:val="CodeChar"/>
        </w:rPr>
        <w:t xml:space="preserve">swp1</w:t>
      </w:r>
      <w:r>
        <w:t xml:space="preserve">, </w:t>
      </w:r>
      <w:r>
        <w:rPr>
          <w:rStyle w:val="CodeChar"/>
        </w:rPr>
        <w:t xml:space="preserve">swp2</w:t>
      </w:r>
      <w:r>
        <w:t xml:space="preserve"> e </w:t>
      </w:r>
      <w:r>
        <w:rPr>
          <w:rStyle w:val="CodeChar"/>
        </w:rPr>
        <w:t xml:space="preserve">swp3</w:t>
      </w:r>
      <w:r>
        <w:t xml:space="preserve"> em </w:t>
      </w:r>
      <w:r>
        <w:rPr>
          <w:rStyle w:val="CodeChar"/>
        </w:rPr>
        <w:t xml:space="preserve">bridge-access 1</w:t>
      </w:r>
      <w:r>
        <w:t xml:space="preserve">.</w:t>
      </w:r>
    </w:p>
    <w:p>
      <w:pPr>
        <w:pStyle w:val="Heading2"/>
      </w:pPr>
      <w:r>
        <w:t xml:space="preserve">5. O problema escondido</w:t>
      </w:r>
    </w:p>
    <w:p>
      <w:pPr/>
      <w:r>
        <w:t xml:space="preserve">A área 43 não estava ligada à área 0, por isso o R7 não recebia a default nem as rotas das outras áreas. A correção foi um virtual link entre o R1 e o R5.</w:t>
      </w:r>
    </w:p>
    <w:p>
      <w:pPr>
        <w:pStyle w:val="Heading3"/>
      </w:pPr>
      <w:r>
        <w:t xml:space="preserve">O sintoma</w:t>
      </w:r>
    </w:p>
    <w:p>
      <w:pPr>
        <w:pStyle w:val="ListParagraph"/>
        <w:numPr>
          <w:ilvl w:val="0"/>
          <w:numId w:val="5"/>
        </w:numPr>
      </w:pPr>
      <w:r>
        <w:t xml:space="preserve">O </w:t>
      </w:r>
      <w:r>
        <w:rPr>
          <w:rStyle w:val="CodeChar"/>
        </w:rPr>
        <w:t xml:space="preserve">show ip route</w:t>
      </w:r>
      <w:r>
        <w:t xml:space="preserve"> do R7 só tinha as redes diretas e </w:t>
      </w:r>
      <w:r>
        <w:rPr>
          <w:rStyle w:val="CodeChar"/>
        </w:rPr>
        <w:t xml:space="preserve">192.168.13.0/24</w:t>
      </w:r>
      <w:r>
        <w:t xml:space="preserve">. Não havia default nem as loopbacks dos outros routers.</w:t>
      </w:r>
    </w:p>
    <w:p>
      <w:pPr>
        <w:pStyle w:val="ListParagraph"/>
        <w:numPr>
          <w:ilvl w:val="0"/>
          <w:numId w:val="5"/>
        </w:numPr>
      </w:pPr>
      <w:r>
        <w:t xml:space="preserve">O ping </w:t>
      </w:r>
      <w:r>
        <w:rPr>
          <w:rStyle w:val="CodeChar"/>
        </w:rPr>
        <w:t xml:space="preserve">-I 172.16.10.1 172.16.0.1</w:t>
      </w:r>
      <w:r>
        <w:t xml:space="preserve"> (do R7 para o R3) dava </w:t>
      </w:r>
      <w:r>
        <w:rPr>
          <w:b/>
        </w:rPr>
        <w:t xml:space="preserve">100% de perdas</w:t>
      </w:r>
      <w:r>
        <w:t xml:space="preserve">.</w:t>
      </w:r>
    </w:p>
    <w:p>
      <w:pPr>
        <w:pStyle w:val="ListParagraph"/>
        <w:numPr>
          <w:ilvl w:val="0"/>
          <w:numId w:val="5"/>
        </w:numPr>
      </w:pPr>
      <w:r>
        <w:t xml:space="preserve">No R1 faltavam as rotas da área 43 (</w:t>
      </w:r>
      <w:r>
        <w:rPr>
          <w:rStyle w:val="CodeChar"/>
        </w:rPr>
        <w:t xml:space="preserve">192.168.12.0/24</w:t>
      </w:r>
      <w:r>
        <w:t xml:space="preserve">, </w:t>
      </w:r>
      <w:r>
        <w:rPr>
          <w:rStyle w:val="CodeChar"/>
        </w:rPr>
        <w:t xml:space="preserve">192.168.13.0/24</w:t>
      </w:r>
      <w:r>
        <w:t xml:space="preserve"> e </w:t>
      </w:r>
      <w:r>
        <w:rPr>
          <w:rStyle w:val="CodeChar"/>
        </w:rPr>
        <w:t xml:space="preserve">172.16.10.1/32</w:t>
      </w:r>
      <w:r>
        <w:t xml:space="preserve">).</w:t>
      </w:r>
    </w:p>
    <w:p>
      <w:pPr>
        <w:pStyle w:val="ListParagraph"/>
        <w:numPr>
          <w:ilvl w:val="0"/>
          <w:numId w:val="5"/>
        </w:numPr>
      </w:pPr>
      <w:r>
        <w:t xml:space="preserve">O </w:t>
      </w:r>
      <w:r>
        <w:rPr>
          <w:rStyle w:val="CodeChar"/>
        </w:rPr>
        <w:t xml:space="preserve">show ip ospf</w:t>
      </w:r>
      <w:r>
        <w:t xml:space="preserve"> do R5 tinha </w:t>
      </w:r>
      <w:r>
        <w:rPr>
          <w:b/>
        </w:rPr>
        <w:t xml:space="preserve">2 áreas e nenhuma linha de ABR</w:t>
      </w:r>
      <w:r>
        <w:t xml:space="preserve">, e na área 43 </w:t>
      </w:r>
      <w:r>
        <w:rPr>
          <w:rStyle w:val="CodeChar"/>
        </w:rPr>
        <w:t xml:space="preserve">Number of summary LSA 0</w:t>
      </w:r>
      <w:r>
        <w:t xml:space="preserve">.</w:t>
      </w:r>
    </w:p>
    <w:p>
      <w:pPr>
        <w:pStyle w:val="Heading3"/>
      </w:pPr>
      <w:r>
        <w:t xml:space="preserve">A causa</w:t>
      </w:r>
    </w:p>
    <w:p>
      <w:pPr/>
      <w:r>
        <w:t xml:space="preserve">No OSPF as rotas entre áreas passam sempre pela área 0. O R5 tem interfaces nas áreas 32 e 43, mas nenhuma na 0, por isso não recebia os resumos e a área 43 ficava isolada. A área 32 não é a backbone, e o R1 (que está na 0 e na 32) não tem ligação direta à 43.</w:t>
      </w:r>
    </w:p>
    <w:p>
      <w:pPr>
        <w:pStyle w:val="Heading3"/>
      </w:pPr>
      <w:r>
        <w:t xml:space="preserve">A correção</w:t>
      </w:r>
    </w:p>
    <w:p>
      <w:pPr/>
      <w:r>
        <w:t xml:space="preserve">Um </w:t>
      </w:r>
      <w:r>
        <w:rPr>
          <w:b/>
        </w:rPr>
        <w:t xml:space="preserve">virtual link</w:t>
      </w:r>
      <w:r>
        <w:t xml:space="preserve"> é uma ligação lógica à área 0 através de uma área de trânsito. Aqui a área de trânsito é a 32, e os dois pontos são o R1 (que já está na 0) e o R5.</w:t>
      </w:r>
    </w:p>
    <w:p>
      <w:pPr>
        <w:pStyle w:val="Code"/>
      </w:pPr>
      <w:r>
        <w:t xml:space="preserve"># R1</w:t>
        <w:br/>
        <w:t xml:space="preserve">router ospf</w:t>
        <w:br/>
        <w:t xml:space="preserve"> area 32 virtual-link 5.5.5.5</w:t>
        <w:br/>
        <w:br/>
        <w:t xml:space="preserve"># R5</w:t>
        <w:br/>
        <w:t xml:space="preserve">router ospf</w:t>
        <w:br/>
        <w:t xml:space="preserve"> ospf abr-type standard</w:t>
        <w:br/>
        <w:t xml:space="preserve"> area 32 virtual-link 1.1.1.1</w:t>
      </w:r>
    </w:p>
    <w:p>
      <w:pPr>
        <w:pStyle w:val="ListParagraph"/>
        <w:numPr>
          <w:ilvl w:val="0"/>
          <w:numId w:val="6"/>
        </w:numPr>
      </w:pPr>
      <w:r>
        <w:t xml:space="preserve">O R5 recusou o virtual link com </w:t>
      </w:r>
      <w:r>
        <w:rPr>
          <w:rStyle w:val="CodeChar"/>
        </w:rPr>
        <w:t xml:space="preserve">Configuring VLs on non-ABRs is not allowed</w:t>
      </w:r>
      <w:r>
        <w:t xml:space="preserve">. O FRR, por omissão (tipo </w:t>
      </w:r>
      <w:r>
        <w:rPr>
          <w:i/>
        </w:rPr>
        <w:t xml:space="preserve">cisco</w:t>
      </w:r>
      <w:r>
        <w:t xml:space="preserve">), só considera ABR um router com ligação à área 0, e o R5 não tinha.</w:t>
      </w:r>
    </w:p>
    <w:p>
      <w:pPr>
        <w:pStyle w:val="ListParagraph"/>
        <w:numPr>
          <w:ilvl w:val="0"/>
          <w:numId w:val="6"/>
        </w:numPr>
      </w:pPr>
      <w:r>
        <w:t xml:space="preserve">Com </w:t>
      </w:r>
      <w:r>
        <w:rPr>
          <w:rStyle w:val="CodeChar"/>
        </w:rPr>
        <w:t xml:space="preserve">ospf abr-type standard</w:t>
      </w:r>
      <w:r>
        <w:t xml:space="preserve"> (segundo a RFC 2328) basta ter interfaces em mais de uma área para ser ABR, e o virtual link passou a ser aceite. Foi preciso esperar uns segundos.</w:t>
      </w:r>
    </w:p>
    <w:p>
      <w:pPr>
        <w:pStyle w:val="Heading3"/>
      </w:pPr>
      <w:r>
        <w:t xml:space="preserve">A prova de que ficou resolvido</w:t>
      </w:r>
    </w:p>
    <w:p>
      <w:pPr>
        <w:pStyle w:val="ListParagraph"/>
        <w:numPr>
          <w:ilvl w:val="0"/>
          <w:numId w:val="7"/>
        </w:numPr>
      </w:pPr>
      <w:r>
        <w:t xml:space="preserve">O </w:t>
      </w:r>
      <w:r>
        <w:rPr>
          <w:rStyle w:val="CodeChar"/>
        </w:rPr>
        <w:t xml:space="preserve">show ip ospf</w:t>
      </w:r>
      <w:r>
        <w:t xml:space="preserve"> do R5 passou a mostrar </w:t>
      </w:r>
      <w:r>
        <w:rPr>
          <w:rStyle w:val="CodeChar"/>
        </w:rPr>
        <w:t xml:space="preserve">This router is an ABR, ABR type is: Standard (RFC2328)</w:t>
      </w:r>
      <w:r>
        <w:t xml:space="preserve">, </w:t>
      </w:r>
      <w:r>
        <w:rPr>
          <w:b/>
        </w:rPr>
        <w:t xml:space="preserve">3 áreas</w:t>
      </w:r>
      <w:r>
        <w:t xml:space="preserve">, e </w:t>
      </w:r>
      <w:r>
        <w:rPr>
          <w:rStyle w:val="CodeChar"/>
        </w:rPr>
        <w:t xml:space="preserve">Number of full virtual adjacencies going through this area: 1</w:t>
      </w:r>
      <w:r>
        <w:t xml:space="preserve"> na área 32.</w:t>
      </w:r>
    </w:p>
    <w:p>
      <w:pPr>
        <w:pStyle w:val="ListParagraph"/>
        <w:numPr>
          <w:ilvl w:val="0"/>
          <w:numId w:val="7"/>
        </w:numPr>
      </w:pPr>
      <w:r>
        <w:t xml:space="preserve">O R1 tem o vizinho </w:t>
      </w:r>
      <w:r>
        <w:rPr>
          <w:rStyle w:val="CodeChar"/>
        </w:rPr>
        <w:t xml:space="preserve">5.5.5.5</w:t>
      </w:r>
      <w:r>
        <w:t xml:space="preserve"> na interface </w:t>
      </w:r>
      <w:r>
        <w:rPr>
          <w:rStyle w:val="CodeChar"/>
        </w:rPr>
        <w:t xml:space="preserve">VLINK0</w:t>
      </w:r>
      <w:r>
        <w:t xml:space="preserve">, em </w:t>
      </w:r>
      <w:r>
        <w:rPr>
          <w:rStyle w:val="CodeChar"/>
        </w:rPr>
        <w:t xml:space="preserve">Full</w:t>
      </w:r>
      <w:r>
        <w:t xml:space="preserve">.</w:t>
      </w:r>
    </w:p>
    <w:p>
      <w:pPr>
        <w:pStyle w:val="ListParagraph"/>
        <w:numPr>
          <w:ilvl w:val="0"/>
          <w:numId w:val="7"/>
        </w:numPr>
      </w:pPr>
      <w:r>
        <w:t xml:space="preserve">O R7 passou a ter </w:t>
      </w:r>
      <w:r>
        <w:rPr>
          <w:rStyle w:val="CodeChar"/>
        </w:rPr>
        <w:t xml:space="preserve">0.0.0.0/0</w:t>
      </w:r>
      <w:r>
        <w:t xml:space="preserve">, </w:t>
      </w:r>
      <w:r>
        <w:rPr>
          <w:rStyle w:val="CodeChar"/>
        </w:rPr>
        <w:t xml:space="preserve">172.16.0.1/32</w:t>
      </w:r>
      <w:r>
        <w:t xml:space="preserve"> (custo 50000), </w:t>
      </w:r>
      <w:r>
        <w:rPr>
          <w:rStyle w:val="CodeChar"/>
        </w:rPr>
        <w:t xml:space="preserve">172.16.9.0/25</w:t>
      </w:r>
      <w:r>
        <w:t xml:space="preserve"> (custo 30000) e as restantes rotas, e os 19 endereços respondem de todos os routers.</w:t>
      </w:r>
    </w:p>
    <w:p>
      <w:pPr/>
      <w:r>
        <w:t xml:space="preserve">O custo 50000 até à loopback do R3 é 5 links × 10000: R7–R6, R6–R5, R5–R1, R1–R2 e R2–R3.</w:t>
      </w:r>
    </w:p>
    <w:p>
      <w:pPr>
        <w:pStyle w:val="Heading2"/>
      </w:pPr>
      <w:r>
        <w:t xml:space="preserve">6. Testes e o que entregar</w:t>
      </w:r>
    </w:p>
    <w:p>
      <w:pPr>
        <w:pStyle w:val="Heading3"/>
      </w:pPr>
      <w:r>
        <w:t xml:space="preserve">Como se testou</w:t>
      </w:r>
    </w:p>
    <w:p>
      <w:pPr/>
      <w:r>
        <w:t xml:space="preserve">Em cada router corre-se um ciclo de </w:t>
      </w:r>
      <w:r>
        <w:rPr>
          <w:rStyle w:val="CodeChar"/>
        </w:rPr>
        <w:t xml:space="preserve">ping</w:t>
      </w:r>
      <w:r>
        <w:t xml:space="preserve"> a 19 endereços (as 4 loopbacks do R1, as outras 4 loopbacks e as 11 interfaces das ligações), com o endereço de origem fixo (</w:t>
      </w:r>
      <w:r>
        <w:rPr>
          <w:rStyle w:val="CodeChar"/>
        </w:rPr>
        <w:t xml:space="preserve">-I</w:t>
      </w:r>
      <w:r>
        <w:t xml:space="preserve">):</w:t>
      </w:r>
    </w:p>
    <w:p>
      <w:pPr>
        <w:pStyle w:val="Code"/>
      </w:pPr>
      <w:r>
        <w:t xml:space="preserve">S=172.16.9.1   # a loopback do router onde estás</w:t>
        <w:br/>
        <w:t xml:space="preserve">for d in &lt;os 19 endereços&gt;; do ping -c 1 -W 1 -I $S $d &gt; /dev/null 2&gt;&amp;1 &amp;&amp; echo "OK   $d" || echo "FAIL $d"; done</w:t>
      </w:r>
    </w:p>
    <w:p>
      <w:pPr/>
      <w:r>
        <w:t xml:space="preserve">Com a origem fixa numa loopback, um </w:t>
      </w:r>
      <w:r>
        <w:rPr>
          <w:rStyle w:val="CodeChar"/>
        </w:rPr>
        <w:t xml:space="preserve">OK</w:t>
      </w:r>
      <w:r>
        <w:t xml:space="preserve"> prova que há caminho de ida e de volta entre as redes, e não só entre vizinhos. Os 19 deram </w:t>
      </w:r>
      <w:r>
        <w:rPr>
          <w:rStyle w:val="CodeChar"/>
        </w:rPr>
        <w:t xml:space="preserve">OK</w:t>
      </w:r>
      <w:r>
        <w:t xml:space="preserve"> em todos os routers.</w:t>
      </w:r>
    </w:p>
    <w:p>
      <w:pPr>
        <w:pStyle w:val="Heading3"/>
      </w:pPr>
      <w:r>
        <w:t xml:space="preserve">Ficheiros da entrega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509"/>
        <w:gridCol w:w="5850"/>
      </w:tblGrid>
      <w:tr>
        <w:trPr>
          <w:tblHeader/>
        </w:trPr>
        <w:tc>
          <w:tcPr>
            <w:tcW w:w="3509" w:type="dxa"/>
            <w:shd w:val="clear" w:color="auto" w:fill="F2F2F2"/>
          </w:tcPr>
          <w:p>
            <w:pPr/>
            <w:r>
              <w:t xml:space="preserve">Ficheiro</w:t>
            </w:r>
          </w:p>
        </w:tc>
        <w:tc>
          <w:tcPr>
            <w:tcW w:w="5850" w:type="dxa"/>
            <w:shd w:val="clear" w:color="auto" w:fill="F2F2F2"/>
          </w:tcPr>
          <w:p>
            <w:pPr/>
            <w:r>
              <w:t xml:space="preserve">O que tem</w:t>
            </w:r>
          </w:p>
        </w:tc>
      </w:tr>
      <w:tr>
        <w:tc>
          <w:tcPr>
            <w:tcW w:w="3509" w:type="dxa"/>
          </w:tcPr>
          <w:p>
            <w:pPr/>
            <w:r>
              <w:rPr>
                <w:rStyle w:val="CodeChar"/>
              </w:rPr>
              <w:t xml:space="preserve">R1.txt</w:t>
            </w:r>
            <w:r>
              <w:t xml:space="preserve"> a </w:t>
            </w:r>
            <w:r>
              <w:rPr>
                <w:rStyle w:val="CodeChar"/>
              </w:rPr>
              <w:t xml:space="preserve">R7.txt</w:t>
            </w:r>
            <w:r>
              <w:t xml:space="preserve"> e </w:t>
            </w:r>
            <w:r>
              <w:rPr>
                <w:rStyle w:val="CodeChar"/>
              </w:rPr>
              <w:t xml:space="preserve">SW.txt</w:t>
            </w:r>
          </w:p>
        </w:tc>
        <w:tc>
          <w:tcPr>
            <w:tcW w:w="5850" w:type="dxa"/>
          </w:tcPr>
          <w:p>
            <w:pPr/>
            <w:r>
              <w:rPr>
                <w:rStyle w:val="CodeChar"/>
              </w:rPr>
              <w:t xml:space="preserve">/etc/network/interfaces</w:t>
            </w:r>
            <w:r>
              <w:t xml:space="preserve"> e a configuração do FRR de cada equipamento (do </w:t>
            </w:r>
            <w:r>
              <w:rPr>
                <w:rStyle w:val="CodeChar"/>
              </w:rPr>
              <w:t xml:space="preserve">./collect.py all -o /root/lab2</w:t>
            </w:r>
            <w:r>
              <w:t xml:space="preserve">)</w:t>
            </w:r>
          </w:p>
        </w:tc>
      </w:tr>
      <w:tr>
        <w:tc>
          <w:tcPr>
            <w:tcW w:w="3509" w:type="dxa"/>
          </w:tcPr>
          <w:p>
            <w:pPr/>
            <w:r>
              <w:rPr>
                <w:rStyle w:val="CodeChar"/>
              </w:rPr>
              <w:t xml:space="preserve">lab2-testes.txt</w:t>
            </w:r>
          </w:p>
        </w:tc>
        <w:tc>
          <w:tcPr>
            <w:tcW w:w="5850" w:type="dxa"/>
          </w:tcPr>
          <w:p>
            <w:pPr/>
            <w:r>
              <w:t xml:space="preserve">os testes de conectividade dos 7 routers</w:t>
            </w:r>
          </w:p>
        </w:tc>
      </w:tr>
      <w:tr>
        <w:tc>
          <w:tcPr>
            <w:tcW w:w="3509" w:type="dxa"/>
          </w:tcPr>
          <w:p>
            <w:pPr/>
            <w:r>
              <w:rPr>
                <w:rStyle w:val="CodeChar"/>
              </w:rPr>
              <w:t xml:space="preserve">lab2-antes-depois.txt</w:t>
            </w:r>
          </w:p>
        </w:tc>
        <w:tc>
          <w:tcPr>
            <w:tcW w:w="5850" w:type="dxa"/>
          </w:tcPr>
          <w:p>
            <w:pPr/>
            <w:r>
              <w:t xml:space="preserve">o </w:t>
            </w:r>
            <w:r>
              <w:rPr>
                <w:rStyle w:val="CodeChar"/>
              </w:rPr>
              <w:t xml:space="preserve">show ip route</w:t>
            </w:r>
            <w:r>
              <w:t xml:space="preserve"> e </w:t>
            </w:r>
            <w:r>
              <w:rPr>
                <w:rStyle w:val="CodeChar"/>
              </w:rPr>
              <w:t xml:space="preserve">show ip ospf</w:t>
            </w:r>
            <w:r>
              <w:t xml:space="preserve"> antes e depois da correção, e o R3 (</w:t>
            </w:r>
            <w:r>
              <w:rPr>
                <w:rStyle w:val="CodeChar"/>
              </w:rPr>
              <w:t xml:space="preserve">show ip route</w:t>
            </w:r>
            <w:r>
              <w:t xml:space="preserve"> e </w:t>
            </w:r>
            <w:r>
              <w:rPr>
                <w:rStyle w:val="CodeChar"/>
              </w:rPr>
              <w:t xml:space="preserve">show ip ospf database</w:t>
            </w:r>
            <w:r>
              <w:t xml:space="preserve">)</w:t>
            </w:r>
          </w:p>
        </w:tc>
      </w:tr>
      <w:tr>
        <w:tc>
          <w:tcPr>
            <w:tcW w:w="3509" w:type="dxa"/>
          </w:tcPr>
          <w:p>
            <w:pPr/>
            <w:r>
              <w:rPr>
                <w:rStyle w:val="CodeChar"/>
              </w:rPr>
              <w:t xml:space="preserve">explicação.txt</w:t>
            </w:r>
          </w:p>
        </w:tc>
        <w:tc>
          <w:tcPr>
            <w:tcW w:w="5850" w:type="dxa"/>
          </w:tcPr>
          <w:p>
            <w:pPr/>
            <w:r>
              <w:t xml:space="preserve">a explicação do problema escondido e da correção (secção 5)</w:t>
            </w:r>
          </w:p>
        </w:tc>
      </w:tr>
      <w:tr>
        <w:tc>
          <w:tcPr>
            <w:tcW w:w="3509" w:type="dxa"/>
          </w:tcPr>
          <w:p>
            <w:pPr/>
            <w:r>
              <w:rPr>
                <w:rStyle w:val="CodeChar"/>
              </w:rPr>
              <w:t xml:space="preserve">lab2_OSPF.gns3project</w:t>
            </w:r>
          </w:p>
        </w:tc>
        <w:tc>
          <w:tcPr>
            <w:tcW w:w="5850" w:type="dxa"/>
          </w:tcPr>
          <w:p>
            <w:pPr/>
            <w:r>
              <w:t xml:space="preserve">o projeto exportado (quatro caixas desmarcadas, com o teu nome no README em vez de "John Doe")</w:t>
            </w:r>
          </w:p>
        </w:tc>
      </w:tr>
    </w:tbl>
    <w:p>
      <w:pPr/>
      <w:r>
        <w:t xml:space="preserve">A ordem importa: corre o </w:t>
      </w:r>
      <w:r>
        <w:rPr>
          <w:rStyle w:val="CodeChar"/>
        </w:rPr>
        <w:t xml:space="preserve">collect.py</w:t>
      </w:r>
      <w:r>
        <w:t xml:space="preserve"> antes de exportar o projeto.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Lab 2 – OSPF multi-área guia de estudo</dc:title>
  <dc:description>Claude Docs node/6032389e-aed4@7 docx-w7</dc:description>
  <cp:revision>7</cp:revision>
</cp:coreProperties>
</file>