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md" ContentType="text/markdown"/>
  <Override PartName="/word/media/rId50.md" ContentType="text/markdown"/>
  <Override PartName="/word/media/rId54.md" ContentType="text/markdown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e8d32344df298a38d7b28870dcc9a32277d5f58"/>
    <w:p>
      <w:pPr>
        <w:pStyle w:val="Heading1"/>
      </w:pPr>
      <w:r>
        <w:t xml:space="preserve">Capítulo 3: Avaliação Pré-Operatória e Seleção de Pacientes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Importância Clínica Crítica:</w:t>
      </w:r>
      <w:r>
        <w:t xml:space="preserve"> </w:t>
      </w:r>
      <w:r>
        <w:t xml:space="preserve">A seleção do paciente é o fator determinante do sucesso em cirurgia presbiópica corneana. Ao contrário da cirurgia de catarata, onde a melhoria visual é quase garantida pela remoção da opacidade, a cirurgia refrativa em presbitas (especialmente emétropes ou hipermétropes baixos) envolve um compromisso óptico (trade-off) inevitável entre qualidade de imagem e profundidade de campo. Uma seleção inadequada resulta em insatisfação irreversível. [1]</w:t>
      </w:r>
    </w:p>
    <w:bookmarkStart w:id="14" w:name="X982e25ecacfb071c1238ef9be5f895fd52c19dd"/>
    <w:p>
      <w:pPr>
        <w:pStyle w:val="Heading2"/>
      </w:pPr>
      <w:r>
        <w:t xml:space="preserve">3.1. Perfil do Candidato Ideal à Cirurgia Corneana</w:t>
      </w:r>
    </w:p>
    <w:p>
      <w:pPr>
        <w:pStyle w:val="FirstParagraph"/>
      </w:pPr>
      <w:r>
        <w:t xml:space="preserve">A literatura internacional (Alió, Illueca, Reinstein) define janelas de oportunidade precisas para a abordagem corneana (PresbyLASIK/Custom-Q) versus lenticular (Troca de Lente Refrativa - RLE). [2,3]</w:t>
      </w:r>
    </w:p>
    <w:bookmarkStart w:id="9" w:name="idade-a-variável-crítica"/>
    <w:p>
      <w:pPr>
        <w:pStyle w:val="Heading3"/>
      </w:pPr>
      <w:r>
        <w:t xml:space="preserve">3.1.1. Idade: A Variável Crítica</w:t>
      </w:r>
    </w:p>
    <w:p>
      <w:pPr>
        <w:pStyle w:val="FirstParagraph"/>
      </w:pPr>
      <w:r>
        <w:rPr>
          <w:b/>
          <w:bCs/>
        </w:rPr>
        <w:t xml:space="preserve">Faixa Ideal: 45 a 60 anos</w:t>
      </w:r>
    </w:p>
    <w:p>
      <w:pPr>
        <w:pStyle w:val="BodyText"/>
      </w:pPr>
      <w:r>
        <w:rPr>
          <w:b/>
          <w:bCs/>
        </w:rPr>
        <w:t xml:space="preserve">Justificação Fisiológica: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 Inferior (45 anos):</w:t>
      </w:r>
    </w:p>
    <w:p>
      <w:pPr>
        <w:pStyle w:val="Compact"/>
        <w:numPr>
          <w:ilvl w:val="1"/>
          <w:numId w:val="1002"/>
        </w:numPr>
      </w:pPr>
      <w:r>
        <w:t xml:space="preserve">Acomodação residual: ~3.0-4.0 D (Curva de Duane)</w:t>
      </w:r>
    </w:p>
    <w:p>
      <w:pPr>
        <w:pStyle w:val="Compact"/>
        <w:numPr>
          <w:ilvl w:val="1"/>
          <w:numId w:val="1002"/>
        </w:numPr>
      </w:pPr>
      <w:r>
        <w:t xml:space="preserve">Manifestação clínica de presbiopia já estabelecida</w:t>
      </w:r>
    </w:p>
    <w:p>
      <w:pPr>
        <w:pStyle w:val="Compact"/>
        <w:numPr>
          <w:ilvl w:val="1"/>
          <w:numId w:val="1002"/>
        </w:numPr>
      </w:pPr>
      <w:r>
        <w:t xml:space="preserve">Cristalino ainda transparente na maioria dos casos (DLS Estádio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 Superior (60 anos):</w:t>
      </w:r>
    </w:p>
    <w:p>
      <w:pPr>
        <w:pStyle w:val="Compact"/>
        <w:numPr>
          <w:ilvl w:val="1"/>
          <w:numId w:val="1003"/>
        </w:numPr>
      </w:pPr>
      <w:r>
        <w:t xml:space="preserve">Risco aumentado de catarata incipiente (LOCS II-III)</w:t>
      </w:r>
    </w:p>
    <w:p>
      <w:pPr>
        <w:pStyle w:val="Compact"/>
        <w:numPr>
          <w:ilvl w:val="1"/>
          <w:numId w:val="1003"/>
        </w:numPr>
      </w:pPr>
      <w:r>
        <w:t xml:space="preserve">Aumento das aberrações internas do cristalino</w:t>
      </w:r>
    </w:p>
    <w:p>
      <w:pPr>
        <w:pStyle w:val="Compact"/>
        <w:numPr>
          <w:ilvl w:val="1"/>
          <w:numId w:val="1003"/>
        </w:numPr>
      </w:pPr>
      <w:r>
        <w:t xml:space="preserve">Consideração crescente de RLE como solução mais definitiva</w:t>
      </w:r>
    </w:p>
    <w:p>
      <w:pPr>
        <w:pStyle w:val="FirstParagraph"/>
      </w:pPr>
      <w:r>
        <w:rPr>
          <w:b/>
          <w:bCs/>
        </w:rPr>
        <w:t xml:space="preserve">Casos Especiais:</w:t>
      </w:r>
    </w:p>
    <w:p>
      <w:pPr>
        <w:pStyle w:val="BodyText"/>
      </w:pPr>
      <w:r>
        <w:rPr>
          <w:b/>
          <w:bCs/>
        </w:rPr>
        <w:t xml:space="preserve">Pacientes &lt;45 anos (Presbiopia Precoce):</w:t>
      </w:r>
      <w:r>
        <w:t xml:space="preserve"> </w:t>
      </w:r>
      <w:r>
        <w:t xml:space="preserve">- Possível em hipermétropes altos (compensação acomodativa excessiva levando a fadiga cíclica precoce)</w:t>
      </w:r>
      <w:r>
        <w:t xml:space="preserve"> </w:t>
      </w:r>
      <w:r>
        <w:t xml:space="preserve">- Considerar se sintomas bem documentados e amplitude acomodativa &lt;5.0 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Progressão futura da presbiopia exigirá retoque</w:t>
      </w:r>
    </w:p>
    <w:p>
      <w:pPr>
        <w:pStyle w:val="BodyText"/>
      </w:pPr>
      <w:r>
        <w:rPr>
          <w:b/>
          <w:bCs/>
        </w:rPr>
        <w:t xml:space="preserve">Pacientes &gt;60 anos:</w:t>
      </w:r>
      <w:r>
        <w:t xml:space="preserve"> </w:t>
      </w:r>
      <w:r>
        <w:t xml:space="preserve">- Mandatório: Avaliação lenticular rigorosa (OCT de segmento anterior, densitometria Pentacam)</w:t>
      </w:r>
      <w:r>
        <w:t xml:space="preserve"> </w:t>
      </w:r>
      <w:r>
        <w:t xml:space="preserve">- Se DLS Estádio 2-3: RLE é preferível</w:t>
      </w:r>
      <w:r>
        <w:t xml:space="preserve"> </w:t>
      </w:r>
      <w:r>
        <w:t xml:space="preserve">- Se cristalino excepcionalmente claro: Cirurgia corneana ainda viável</w:t>
      </w:r>
    </w:p>
    <w:bookmarkEnd w:id="9"/>
    <w:bookmarkStart w:id="13" w:name="X864c0606c3fb77bed48cbbd2e5e49490be71976"/>
    <w:p>
      <w:pPr>
        <w:pStyle w:val="Heading3"/>
      </w:pPr>
      <w:r>
        <w:t xml:space="preserve">3.1.2. Erro Refrativo: Estratificação de Resultados</w:t>
      </w:r>
    </w:p>
    <w:p>
      <w:pPr>
        <w:pStyle w:val="FirstParagraph"/>
      </w:pPr>
      <w:r>
        <w:t xml:space="preserve">A satisfação cirúrgica varia dramaticamente conforme o erro refrativo de base.</w:t>
      </w:r>
    </w:p>
    <w:bookmarkStart w:id="10" w:name="X6fff857ffe4d6ebf4877fd30601fd72a05a69e7"/>
    <w:p>
      <w:pPr>
        <w:pStyle w:val="Heading4"/>
      </w:pPr>
      <w:r>
        <w:t xml:space="preserve">Hipermétropes (+0.75 a +4.00 D): Candidatos Ideais</w:t>
      </w:r>
    </w:p>
    <w:p>
      <w:pPr>
        <w:pStyle w:val="FirstParagraph"/>
      </w:pPr>
      <w:r>
        <w:rPr>
          <w:b/>
          <w:bCs/>
        </w:rPr>
        <w:t xml:space="preserve">Taxa de Satisfação Literatura:</w:t>
      </w:r>
      <w:r>
        <w:t xml:space="preserve"> </w:t>
      </w:r>
      <w:r>
        <w:t xml:space="preserve">85-95% [4]</w:t>
      </w:r>
    </w:p>
    <w:p>
      <w:pPr>
        <w:pStyle w:val="BodyText"/>
      </w:pPr>
      <w:r>
        <w:rPr>
          <w:b/>
          <w:bCs/>
        </w:rPr>
        <w:t xml:space="preserve">Razões do Sucesso: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Duplo Benefício Refrativo:</w:t>
      </w:r>
    </w:p>
    <w:p>
      <w:pPr>
        <w:pStyle w:val="Compact"/>
        <w:numPr>
          <w:ilvl w:val="1"/>
          <w:numId w:val="1005"/>
        </w:numPr>
      </w:pPr>
      <w:r>
        <w:t xml:space="preserve">Corrige a hipermetropia de longe (melhoria objetiva)</w:t>
      </w:r>
    </w:p>
    <w:p>
      <w:pPr>
        <w:pStyle w:val="Compact"/>
        <w:numPr>
          <w:ilvl w:val="1"/>
          <w:numId w:val="1005"/>
        </w:numPr>
      </w:pPr>
      <w:r>
        <w:t xml:space="preserve">Adiciona profundidade de campo para perto</w:t>
      </w:r>
    </w:p>
    <w:p>
      <w:pPr>
        <w:pStyle w:val="Compact"/>
        <w:numPr>
          <w:ilvl w:val="1"/>
          <w:numId w:val="1005"/>
        </w:numPr>
      </w:pPr>
      <w:r>
        <w:t xml:space="preserve">Paciente nunca teve boa visão sem óculos; qualquer ganho é percebido positivamente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Compatibilidade Biomecânica:</w:t>
      </w:r>
    </w:p>
    <w:p>
      <w:pPr>
        <w:pStyle w:val="Compact"/>
        <w:numPr>
          <w:ilvl w:val="1"/>
          <w:numId w:val="1006"/>
        </w:numPr>
      </w:pPr>
      <w:r>
        <w:t xml:space="preserve">Ablação hipermetrópica naturalmente cria perfil prolato/hiper-prolato</w:t>
      </w:r>
    </w:p>
    <w:p>
      <w:pPr>
        <w:pStyle w:val="Compact"/>
        <w:numPr>
          <w:ilvl w:val="1"/>
          <w:numId w:val="1006"/>
        </w:numPr>
      </w:pPr>
      <w:r>
        <w:t xml:space="preserve">Sinergismo com algoritmos de indução de aberração esférica negativa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Estabilidade:</w:t>
      </w:r>
    </w:p>
    <w:p>
      <w:pPr>
        <w:pStyle w:val="Compact"/>
        <w:numPr>
          <w:ilvl w:val="1"/>
          <w:numId w:val="1007"/>
        </w:numPr>
      </w:pPr>
      <w:r>
        <w:t xml:space="preserve">Menor risco de regressão comparado a míopes altos (ablação central vs. periférica)</w:t>
      </w:r>
    </w:p>
    <w:p>
      <w:pPr>
        <w:pStyle w:val="FirstParagraph"/>
      </w:pPr>
      <w:r>
        <w:rPr>
          <w:b/>
          <w:bCs/>
        </w:rPr>
        <w:t xml:space="preserve">Limitações por Magnitude: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Hipermetropia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Considerações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+0.75 a +2.50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PresbyLASIK ideal</w:t>
            </w:r>
          </w:p>
        </w:tc>
        <w:tc>
          <w:tcPr/>
          <w:p>
            <w:pPr>
              <w:pStyle w:val="Compact"/>
            </w:pPr>
            <w:r>
              <w:t xml:space="preserve">Ablação &lt;70 μm, estabilidade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+2.50 a +4.00 D</w:t>
            </w:r>
          </w:p>
        </w:tc>
        <w:tc>
          <w:tcPr/>
          <w:p>
            <w:pPr>
              <w:pStyle w:val="Compact"/>
            </w:pPr>
            <w:r>
              <w:t xml:space="preserve">PresbyLASIK ou RLE</w:t>
            </w:r>
          </w:p>
        </w:tc>
        <w:tc>
          <w:tcPr/>
          <w:p>
            <w:pPr>
              <w:pStyle w:val="Compact"/>
            </w:pPr>
            <w:r>
              <w:t xml:space="preserve">Considerar idade e qualidade lenticular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&gt;+4.00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preferível</w:t>
            </w:r>
          </w:p>
        </w:tc>
        <w:tc>
          <w:tcPr/>
          <w:p>
            <w:pPr>
              <w:pStyle w:val="Compact"/>
            </w:pPr>
            <w:r>
              <w:t xml:space="preserve">Ablação &gt;100 μm, risco de regressão e haze</w:t>
            </w:r>
          </w:p>
        </w:tc>
      </w:tr>
    </w:tbl>
    <w:bookmarkEnd w:id="10"/>
    <w:bookmarkStart w:id="11" w:name="X1cf55f87ca3f22dc3e243bb847ea027e0a2fc10"/>
    <w:p>
      <w:pPr>
        <w:pStyle w:val="Heading4"/>
      </w:pPr>
      <w:r>
        <w:t xml:space="preserve">Míopes (-1.00 a -6.00 D): Candidatos Complexos</w:t>
      </w:r>
    </w:p>
    <w:p>
      <w:pPr>
        <w:pStyle w:val="FirstParagraph"/>
      </w:pPr>
      <w:r>
        <w:rPr>
          <w:b/>
          <w:bCs/>
        </w:rPr>
        <w:t xml:space="preserve">Taxa de Satisfação Literatura:</w:t>
      </w:r>
      <w:r>
        <w:t xml:space="preserve"> </w:t>
      </w:r>
      <w:r>
        <w:t xml:space="preserve">70-85% (inferior a hipermétropes) [5]</w:t>
      </w:r>
    </w:p>
    <w:p>
      <w:pPr>
        <w:pStyle w:val="BodyText"/>
      </w:pPr>
      <w:r>
        <w:rPr>
          <w:b/>
          <w:bCs/>
        </w:rPr>
        <w:t xml:space="preserve">Desafios Específicos: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Vantagem Natural para Perto:</w:t>
      </w:r>
    </w:p>
    <w:p>
      <w:pPr>
        <w:pStyle w:val="Compact"/>
        <w:numPr>
          <w:ilvl w:val="1"/>
          <w:numId w:val="1009"/>
        </w:numPr>
      </w:pPr>
      <w:r>
        <w:t xml:space="preserve">Míopes têm excelente visão de perto não corrigida</w:t>
      </w:r>
    </w:p>
    <w:p>
      <w:pPr>
        <w:pStyle w:val="Compact"/>
        <w:numPr>
          <w:ilvl w:val="1"/>
          <w:numId w:val="1009"/>
        </w:numPr>
      </w:pPr>
      <w:r>
        <w:t xml:space="preserve">Cirurgia</w:t>
      </w:r>
      <w:r>
        <w:t xml:space="preserve"> </w:t>
      </w:r>
      <w:r>
        <w:t xml:space="preserve">“remove”</w:t>
      </w:r>
      <w:r>
        <w:t xml:space="preserve"> </w:t>
      </w:r>
      <w:r>
        <w:t xml:space="preserve">esta capacidade</w:t>
      </w:r>
    </w:p>
    <w:p>
      <w:pPr>
        <w:pStyle w:val="Compact"/>
        <w:numPr>
          <w:ilvl w:val="1"/>
          <w:numId w:val="1009"/>
        </w:numPr>
      </w:pPr>
      <w:r>
        <w:t xml:space="preserve">Expectativa psicológica:</w:t>
      </w:r>
      <w:r>
        <w:t xml:space="preserve"> </w:t>
      </w:r>
      <w:r>
        <w:t xml:space="preserve">“Não quero perder a minha leitura”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Oblatividade Pós-LASIK:</w:t>
      </w:r>
    </w:p>
    <w:p>
      <w:pPr>
        <w:pStyle w:val="Compact"/>
        <w:numPr>
          <w:ilvl w:val="1"/>
          <w:numId w:val="1010"/>
        </w:numPr>
      </w:pPr>
      <w:r>
        <w:t xml:space="preserve">LASIK miópico convencional induz Q positivo (oblato)</w:t>
      </w:r>
    </w:p>
    <w:p>
      <w:pPr>
        <w:pStyle w:val="Compact"/>
        <w:numPr>
          <w:ilvl w:val="1"/>
          <w:numId w:val="1010"/>
        </w:numPr>
      </w:pPr>
      <w:r>
        <w:t xml:space="preserve">Para criar presbiopia, precisa reverter esta oblatividade e ainda induzir prolatividade</w:t>
      </w:r>
    </w:p>
    <w:p>
      <w:pPr>
        <w:pStyle w:val="Compact"/>
        <w:numPr>
          <w:ilvl w:val="1"/>
          <w:numId w:val="1010"/>
        </w:numPr>
      </w:pPr>
      <w:r>
        <w:t xml:space="preserve">Consumo de tecido significativo</w:t>
      </w:r>
    </w:p>
    <w:p>
      <w:pPr>
        <w:pStyle w:val="Compact"/>
        <w:numPr>
          <w:ilvl w:val="1"/>
          <w:numId w:val="1010"/>
        </w:numPr>
      </w:pPr>
      <w:r>
        <w:t xml:space="preserve">Risco de aberração esférica positiva excessiva (halos)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Estratégias Adaptadas:</w:t>
      </w:r>
    </w:p>
    <w:p>
      <w:pPr>
        <w:pStyle w:val="FirstParagraph"/>
      </w:pPr>
      <w:r>
        <w:rPr>
          <w:b/>
          <w:bCs/>
        </w:rPr>
        <w:t xml:space="preserve">Monovisão Modificada (Mais Comum):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dominante:</w:t>
      </w:r>
      <w:r>
        <w:t xml:space="preserve"> </w:t>
      </w:r>
      <w:r>
        <w:t xml:space="preserve">Corrigido para emetropia (0.00 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não-dominante:</w:t>
      </w:r>
      <w:r>
        <w:t xml:space="preserve"> </w:t>
      </w:r>
      <w:r>
        <w:t xml:space="preserve">Deixado em miopia residual (-1.25 a -1.75 D)</w:t>
      </w:r>
      <w:r>
        <w:t xml:space="preserve"> </w:t>
      </w:r>
      <w:r>
        <w:t xml:space="preserve">- Perfil asférico mínimo ou nulo</w:t>
      </w:r>
      <w:r>
        <w:t xml:space="preserve"> </w:t>
      </w:r>
      <w:r>
        <w:t xml:space="preserve">- Vantagem: Preserva a</w:t>
      </w:r>
      <w:r>
        <w:t xml:space="preserve"> </w:t>
      </w:r>
      <w:r>
        <w:t xml:space="preserve">“memória muscular”</w:t>
      </w:r>
      <w:r>
        <w:t xml:space="preserve"> </w:t>
      </w:r>
      <w:r>
        <w:t xml:space="preserve">do cérebro de usar um olho para perto</w:t>
      </w:r>
    </w:p>
    <w:p>
      <w:pPr>
        <w:pStyle w:val="BodyText"/>
      </w:pPr>
      <w:r>
        <w:rPr>
          <w:b/>
          <w:bCs/>
        </w:rPr>
        <w:t xml:space="preserve">PresbyLASIK Bilateral (Mais Agressivo):</w:t>
      </w:r>
      <w:r>
        <w:t xml:space="preserve"> </w:t>
      </w:r>
      <w:r>
        <w:t xml:space="preserve">- Indução de SA negativa bilateral</w:t>
      </w:r>
      <w:r>
        <w:t xml:space="preserve"> </w:t>
      </w:r>
      <w:r>
        <w:t xml:space="preserve">- Micro-monovisão (+0.50 D de anisometropia)</w:t>
      </w:r>
      <w:r>
        <w:t xml:space="preserve"> </w:t>
      </w:r>
      <w:r>
        <w:t xml:space="preserve">- Risco: Halos noturnos mais proeminentes devido à pupila tipicamente maior em míopes jovens</w:t>
      </w:r>
    </w:p>
    <w:p>
      <w:pPr>
        <w:pStyle w:val="BodyText"/>
      </w:pPr>
      <w:r>
        <w:rPr>
          <w:b/>
          <w:bCs/>
        </w:rPr>
        <w:t xml:space="preserve">Valores Críticos de Decisão: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Miopia</w:t>
            </w:r>
          </w:p>
        </w:tc>
        <w:tc>
          <w:tcPr/>
          <w:p>
            <w:pPr>
              <w:pStyle w:val="Compact"/>
            </w:pPr>
            <w:r>
              <w:t xml:space="preserve">Pupila Mesópica</w:t>
            </w:r>
          </w:p>
        </w:tc>
        <w:tc>
          <w:tcPr/>
          <w:p>
            <w:pPr>
              <w:pStyle w:val="Compact"/>
            </w:pPr>
            <w:r>
              <w:t xml:space="preserve">Estratégia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-1.00 a -3.00 D</w:t>
            </w:r>
          </w:p>
        </w:tc>
        <w:tc>
          <w:tcPr/>
          <w:p>
            <w:pPr>
              <w:pStyle w:val="Compact"/>
            </w:pPr>
            <w:r>
              <w:t xml:space="preserve">&lt;5.5 mm</w:t>
            </w:r>
          </w:p>
        </w:tc>
        <w:tc>
          <w:tcPr/>
          <w:p>
            <w:pPr>
              <w:pStyle w:val="Compact"/>
            </w:pPr>
            <w:r>
              <w:t xml:space="preserve">PresbyLASIK bilateral viável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-1.00 a -3.00 D</w:t>
            </w:r>
          </w:p>
        </w:tc>
        <w:tc>
          <w:tcPr/>
          <w:p>
            <w:pPr>
              <w:pStyle w:val="Compact"/>
            </w:pPr>
            <w:r>
              <w:t xml:space="preserve">&gt;6.0 mm</w:t>
            </w:r>
          </w:p>
        </w:tc>
        <w:tc>
          <w:tcPr/>
          <w:p>
            <w:pPr>
              <w:pStyle w:val="Compact"/>
            </w:pPr>
            <w:r>
              <w:t xml:space="preserve">Monovisão (evitar SA negativa agressiva)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-3.00 a -6.00 D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Monovisão preferencial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&gt;-6.00 D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Considerar Faco-Refrativa ou RLE</w:t>
            </w:r>
          </w:p>
        </w:tc>
      </w:tr>
    </w:tbl>
    <w:bookmarkEnd w:id="11"/>
    <w:bookmarkStart w:id="12" w:name="emétropes-0.50-d-grupo-de-maior-risco"/>
    <w:p>
      <w:pPr>
        <w:pStyle w:val="Heading4"/>
      </w:pPr>
      <w:r>
        <w:t xml:space="preserve">Emétropes (±0.50 D): Grupo de Maior Risco</w:t>
      </w:r>
    </w:p>
    <w:p>
      <w:pPr>
        <w:pStyle w:val="FirstParagraph"/>
      </w:pPr>
      <w:r>
        <w:rPr>
          <w:b/>
          <w:bCs/>
        </w:rPr>
        <w:t xml:space="preserve">Taxa de Satisfação Literatura:</w:t>
      </w:r>
      <w:r>
        <w:t xml:space="preserve"> </w:t>
      </w:r>
      <w:r>
        <w:t xml:space="preserve">65-80% (mais baixa) [6]</w:t>
      </w:r>
    </w:p>
    <w:p>
      <w:pPr>
        <w:pStyle w:val="BodyText"/>
      </w:pPr>
      <w:r>
        <w:rPr>
          <w:b/>
          <w:bCs/>
        </w:rPr>
        <w:t xml:space="preserve">Razão da Baixa Satisfação: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Excelente visão de longe pré-operatória</w:t>
      </w:r>
    </w:p>
    <w:p>
      <w:pPr>
        <w:pStyle w:val="Compact"/>
        <w:numPr>
          <w:ilvl w:val="0"/>
          <w:numId w:val="1011"/>
        </w:numPr>
      </w:pPr>
      <w:r>
        <w:t xml:space="preserve">Qualquer perda de linhas de CDVA (Corrected Distance Visual Acuity) é altamente perceptível</w:t>
      </w:r>
    </w:p>
    <w:p>
      <w:pPr>
        <w:pStyle w:val="Compact"/>
        <w:numPr>
          <w:ilvl w:val="0"/>
          <w:numId w:val="1011"/>
        </w:numPr>
      </w:pPr>
      <w:r>
        <w:t xml:space="preserve">Não existe</w:t>
      </w:r>
      <w:r>
        <w:t xml:space="preserve"> </w:t>
      </w:r>
      <w:r>
        <w:t xml:space="preserve">“ganho”</w:t>
      </w:r>
      <w:r>
        <w:t xml:space="preserve"> </w:t>
      </w:r>
      <w:r>
        <w:t xml:space="preserve">objetivo em distância</w:t>
      </w:r>
    </w:p>
    <w:p>
      <w:pPr>
        <w:pStyle w:val="Compact"/>
        <w:numPr>
          <w:ilvl w:val="0"/>
          <w:numId w:val="1011"/>
        </w:numPr>
      </w:pPr>
      <w:r>
        <w:t xml:space="preserve">Todo o benefício é em perto, mas com</w:t>
      </w:r>
      <w:r>
        <w:t xml:space="preserve"> </w:t>
      </w:r>
      <w:r>
        <w:t xml:space="preserve">“custo”</w:t>
      </w:r>
      <w:r>
        <w:t xml:space="preserve"> </w:t>
      </w:r>
      <w:r>
        <w:t xml:space="preserve">em longe</w:t>
      </w:r>
    </w:p>
    <w:p>
      <w:pPr>
        <w:pStyle w:val="FirstParagraph"/>
      </w:pPr>
      <w:r>
        <w:rPr>
          <w:b/>
          <w:bCs/>
        </w:rPr>
        <w:t xml:space="preserve">Critérios de Aceitação Estritos: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Teste de Lente de Contacto Obrigatório:</w:t>
      </w:r>
    </w:p>
    <w:p>
      <w:pPr>
        <w:pStyle w:val="Compact"/>
        <w:numPr>
          <w:ilvl w:val="1"/>
          <w:numId w:val="1013"/>
        </w:numPr>
      </w:pPr>
      <w:r>
        <w:t xml:space="preserve">Monovisão simulada por 5-7 dias</w:t>
      </w:r>
    </w:p>
    <w:p>
      <w:pPr>
        <w:pStyle w:val="Compact"/>
        <w:numPr>
          <w:ilvl w:val="1"/>
          <w:numId w:val="1013"/>
        </w:numPr>
      </w:pPr>
      <w:r>
        <w:t xml:space="preserve">Se paciente reporta tontura, desequilíbrio ou perda de profundidade:</w:t>
      </w:r>
      <w:r>
        <w:t xml:space="preserve"> </w:t>
      </w:r>
      <w:r>
        <w:rPr>
          <w:b/>
          <w:bCs/>
        </w:rPr>
        <w:t xml:space="preserve">Contraindicação absoluta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Perfil Psicológico:</w:t>
      </w:r>
    </w:p>
    <w:p>
      <w:pPr>
        <w:pStyle w:val="Compact"/>
        <w:numPr>
          <w:ilvl w:val="1"/>
          <w:numId w:val="1014"/>
        </w:numPr>
      </w:pPr>
      <w:r>
        <w:t xml:space="preserve">Paciente com profissão não-crítica (não engenheiro, não piloto, não cirurgião)</w:t>
      </w:r>
    </w:p>
    <w:p>
      <w:pPr>
        <w:pStyle w:val="Compact"/>
        <w:numPr>
          <w:ilvl w:val="1"/>
          <w:numId w:val="1014"/>
        </w:numPr>
      </w:pPr>
      <w:r>
        <w:t xml:space="preserve">Aceitação explícita documentada do trade-off</w:t>
      </w:r>
    </w:p>
    <w:p>
      <w:pPr>
        <w:pStyle w:val="Compact"/>
        <w:numPr>
          <w:ilvl w:val="1"/>
          <w:numId w:val="1014"/>
        </w:numPr>
      </w:pPr>
      <w:r>
        <w:t xml:space="preserve">Expectativas realistas (</w:t>
      </w:r>
      <w:r>
        <w:t xml:space="preserve">“Vou ler sem óculos, mas a minha visão noturna pode ter halos”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Opção Conservadora:</w:t>
      </w:r>
    </w:p>
    <w:p>
      <w:pPr>
        <w:pStyle w:val="Compact"/>
        <w:numPr>
          <w:ilvl w:val="1"/>
          <w:numId w:val="1015"/>
        </w:numPr>
      </w:pPr>
      <w:r>
        <w:t xml:space="preserve">Target de SA negativa reduzido (-0.30 a -0.40 μm, em vez de -0.50 μm)</w:t>
      </w:r>
    </w:p>
    <w:p>
      <w:pPr>
        <w:pStyle w:val="Compact"/>
        <w:numPr>
          <w:ilvl w:val="1"/>
          <w:numId w:val="1015"/>
        </w:numPr>
      </w:pPr>
      <w:r>
        <w:t xml:space="preserve">Micro-monovisão ligeira (-0.75 D no não-dominante, em vez de -1.25 D)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0" w:name="X2206f6879fc482beff34155ad50ab55998704a9"/>
    <w:p>
      <w:pPr>
        <w:pStyle w:val="Heading2"/>
      </w:pPr>
      <w:r>
        <w:t xml:space="preserve">3.2. Estado do Cristalino: Classificação DLS e Decisão Cirúrgica</w:t>
      </w:r>
    </w:p>
    <w:p>
      <w:pPr>
        <w:pStyle w:val="FirstParagraph"/>
      </w:pPr>
      <w:r>
        <w:t xml:space="preserve">A decisão entre cirurgia corneana e lenticular depende fundamentalmente da classificação do</w:t>
      </w:r>
      <w:r>
        <w:t xml:space="preserve"> </w:t>
      </w:r>
      <w:r>
        <w:rPr>
          <w:b/>
          <w:bCs/>
        </w:rPr>
        <w:t xml:space="preserve">Dysfunctional Lens Syndrome (DLS)</w:t>
      </w:r>
      <w:r>
        <w:t xml:space="preserve">.</w:t>
      </w:r>
    </w:p>
    <w:bookmarkStart w:id="19" w:name="propedêutica-de-avaliação-lenticular"/>
    <w:p>
      <w:pPr>
        <w:pStyle w:val="Heading3"/>
      </w:pPr>
      <w:r>
        <w:t xml:space="preserve">3.2.1. Propedêutica de Avaliação Lenticular</w:t>
      </w:r>
    </w:p>
    <w:bookmarkStart w:id="15" w:name="exame-clínico-à-lâmpada-de-fenda"/>
    <w:p>
      <w:pPr>
        <w:pStyle w:val="Heading4"/>
      </w:pPr>
      <w:r>
        <w:t xml:space="preserve">Exame Clínico à Lâmpada de Fenda</w:t>
      </w:r>
    </w:p>
    <w:p>
      <w:pPr>
        <w:pStyle w:val="FirstParagraph"/>
      </w:pPr>
      <w:r>
        <w:rPr>
          <w:b/>
          <w:bCs/>
        </w:rPr>
        <w:t xml:space="preserve">Sistema de Classificação LOCS III (Lens Opacities Classification System III):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931"/>
        <w:gridCol w:w="193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Grau 0-1</w:t>
            </w:r>
          </w:p>
        </w:tc>
        <w:tc>
          <w:tcPr/>
          <w:p>
            <w:pPr>
              <w:pStyle w:val="Compact"/>
            </w:pPr>
            <w:r>
              <w:t xml:space="preserve">Grau 2-3</w:t>
            </w:r>
          </w:p>
        </w:tc>
        <w:tc>
          <w:tcPr/>
          <w:p>
            <w:pPr>
              <w:pStyle w:val="Compact"/>
            </w:pPr>
            <w:r>
              <w:t xml:space="preserve">Grau 4-6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Nuclear Opalescence (NO)</w:t>
            </w:r>
          </w:p>
        </w:tc>
        <w:tc>
          <w:tcPr/>
          <w:p>
            <w:pPr>
              <w:pStyle w:val="Compact"/>
            </w:pPr>
            <w:r>
              <w:t xml:space="preserve">Claro</w:t>
            </w:r>
          </w:p>
        </w:tc>
        <w:tc>
          <w:tcPr/>
          <w:p>
            <w:pPr>
              <w:pStyle w:val="Compact"/>
            </w:pPr>
            <w:r>
              <w:t xml:space="preserve">Amarelamento ligeiro</w:t>
            </w:r>
          </w:p>
        </w:tc>
        <w:tc>
          <w:tcPr/>
          <w:p>
            <w:pPr>
              <w:pStyle w:val="Compact"/>
            </w:pPr>
            <w:r>
              <w:t xml:space="preserve">Opacidade densa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Nuclear Color (NC)</w:t>
            </w:r>
          </w:p>
        </w:tc>
        <w:tc>
          <w:tcPr/>
          <w:p>
            <w:pPr>
              <w:pStyle w:val="Compact"/>
            </w:pPr>
            <w:r>
              <w:t xml:space="preserve">Incolor</w:t>
            </w:r>
          </w:p>
        </w:tc>
        <w:tc>
          <w:tcPr/>
          <w:p>
            <w:pPr>
              <w:pStyle w:val="Compact"/>
            </w:pPr>
            <w:r>
              <w:t xml:space="preserve">Amarelo/castanho</w:t>
            </w:r>
          </w:p>
        </w:tc>
        <w:tc>
          <w:tcPr/>
          <w:p>
            <w:pPr>
              <w:pStyle w:val="Compact"/>
            </w:pPr>
            <w:r>
              <w:t xml:space="preserve">Castanho escuro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Cortical (C)</w:t>
            </w:r>
          </w:p>
        </w:tc>
        <w:tc>
          <w:tcPr/>
          <w:p>
            <w:pPr>
              <w:pStyle w:val="Compact"/>
            </w:pPr>
            <w:r>
              <w:t xml:space="preserve">Sem opacidades</w:t>
            </w:r>
          </w:p>
        </w:tc>
        <w:tc>
          <w:tcPr/>
          <w:p>
            <w:pPr>
              <w:pStyle w:val="Compact"/>
            </w:pPr>
            <w:r>
              <w:t xml:space="preserve">Raios/vacúolos &lt;25%</w:t>
            </w:r>
          </w:p>
        </w:tc>
        <w:tc>
          <w:tcPr/>
          <w:p>
            <w:pPr>
              <w:pStyle w:val="Compact"/>
            </w:pPr>
            <w:r>
              <w:t xml:space="preserve">Opacidades &gt;25% área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Posterior Subcapsular (P)</w:t>
            </w:r>
          </w:p>
        </w:tc>
        <w:tc>
          <w:tcPr/>
          <w:p>
            <w:pPr>
              <w:pStyle w:val="Compact"/>
            </w:pPr>
            <w:r>
              <w:t xml:space="preserve">Ausente</w:t>
            </w:r>
          </w:p>
        </w:tc>
        <w:tc>
          <w:tcPr/>
          <w:p>
            <w:pPr>
              <w:pStyle w:val="Compact"/>
            </w:pPr>
            <w:r>
              <w:t xml:space="preserve">Placa &lt;2mm</w:t>
            </w:r>
          </w:p>
        </w:tc>
        <w:tc>
          <w:tcPr/>
          <w:p>
            <w:pPr>
              <w:pStyle w:val="Compact"/>
            </w:pPr>
            <w:r>
              <w:t xml:space="preserve">Placa &gt;2mm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 para Cirurgia Presbiópica: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 ≤1 em todos os parâmetros:</w:t>
      </w:r>
      <w:r>
        <w:t xml:space="preserve"> </w:t>
      </w:r>
      <w:r>
        <w:t xml:space="preserve">Cristalino adequado para PresbyLASIK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 2:</w:t>
      </w:r>
      <w:r>
        <w:t xml:space="preserve"> </w:t>
      </w:r>
      <w:r>
        <w:t xml:space="preserve">Zona cinzenta, avaliação complementar obrigatória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 ≥3 em qualquer parâmetro:</w:t>
      </w:r>
      <w:r>
        <w:t xml:space="preserve"> </w:t>
      </w:r>
      <w:r>
        <w:t xml:space="preserve">RLE indicada</w:t>
      </w:r>
    </w:p>
    <w:bookmarkEnd w:id="15"/>
    <w:bookmarkStart w:id="16" w:name="densitometria-de-scheimpflug-pentacam"/>
    <w:p>
      <w:pPr>
        <w:pStyle w:val="Heading4"/>
      </w:pPr>
      <w:r>
        <w:t xml:space="preserve">Densitometria de Scheimpflug (Pentacam)</w:t>
      </w:r>
    </w:p>
    <w:p>
      <w:pPr>
        <w:pStyle w:val="FirstParagraph"/>
      </w:pPr>
      <w:r>
        <w:rPr>
          <w:b/>
          <w:bCs/>
        </w:rPr>
        <w:t xml:space="preserve">Quantificação Objetiva da Opacidade Nuclear:</w:t>
      </w:r>
    </w:p>
    <w:p>
      <w:pPr>
        <w:pStyle w:val="BodyText"/>
      </w:pPr>
      <w:r>
        <w:t xml:space="preserve">Medição da densidade de retroespalhamento luminoso em unidades Pentacam.</w:t>
      </w:r>
    </w:p>
    <w:p>
      <w:pPr>
        <w:pStyle w:val="BodyText"/>
      </w:pPr>
      <w:r>
        <w:rPr>
          <w:b/>
          <w:bCs/>
        </w:rPr>
        <w:t xml:space="preserve">Valores de Referência: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Densidade Média Nuclear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</w:pPr>
            <w:r>
              <w:t xml:space="preserve">Conduta Cirúrgica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&lt;8%</w:t>
            </w:r>
          </w:p>
        </w:tc>
        <w:tc>
          <w:tcPr/>
          <w:p>
            <w:pPr>
              <w:pStyle w:val="Compact"/>
            </w:pPr>
            <w:r>
              <w:t xml:space="preserve">Cristalino jovem, claro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PresbyLASIK seguro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t xml:space="preserve">Alterações precoces</w:t>
            </w:r>
          </w:p>
        </w:tc>
        <w:tc>
          <w:tcPr/>
          <w:p>
            <w:pPr>
              <w:pStyle w:val="Compact"/>
            </w:pPr>
            <w:r>
              <w:t xml:space="preserve">Avaliar scatter (OSI)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12-18%</w:t>
            </w:r>
          </w:p>
        </w:tc>
        <w:tc>
          <w:tcPr/>
          <w:p>
            <w:pPr>
              <w:pStyle w:val="Compact"/>
            </w:pPr>
            <w:r>
              <w:t xml:space="preserve">Disfunção moderada (DLS 2)</w:t>
            </w:r>
          </w:p>
        </w:tc>
        <w:tc>
          <w:tcPr/>
          <w:p>
            <w:pPr>
              <w:pStyle w:val="Compact"/>
            </w:pPr>
            <w:r>
              <w:t xml:space="preserve">Considerar RLE se idade &gt;55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&gt;18%</w:t>
            </w:r>
          </w:p>
        </w:tc>
        <w:tc>
          <w:tcPr/>
          <w:p>
            <w:pPr>
              <w:pStyle w:val="Compact"/>
            </w:pPr>
            <w:r>
              <w:t xml:space="preserve">Catarata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RLE mandatório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Vantagem sobre LOCS:</w:t>
      </w:r>
      <w:r>
        <w:br/>
      </w:r>
      <w:r>
        <w:t xml:space="preserve">Objetivo, reprodutível, independente de observador.</w:t>
      </w:r>
    </w:p>
    <w:bookmarkEnd w:id="16"/>
    <w:bookmarkStart w:id="17" w:name="objective-scatter-index-osi-hd-analyzer"/>
    <w:p>
      <w:pPr>
        <w:pStyle w:val="Heading4"/>
      </w:pPr>
      <w:r>
        <w:t xml:space="preserve">Objective Scatter Index (OSI) – HD Analyzer</w:t>
      </w:r>
    </w:p>
    <w:p>
      <w:pPr>
        <w:pStyle w:val="FirstParagraph"/>
      </w:pPr>
      <w:r>
        <w:t xml:space="preserve">O OSI quantifica o</w:t>
      </w:r>
      <w:r>
        <w:t xml:space="preserve"> </w:t>
      </w:r>
      <w:r>
        <w:rPr>
          <w:b/>
          <w:bCs/>
        </w:rPr>
        <w:t xml:space="preserve">scatter de luz intraocular</w:t>
      </w:r>
      <w:r>
        <w:t xml:space="preserve">, correlacionando diretamente com queixas de glare e halos.</w:t>
      </w:r>
    </w:p>
    <w:p>
      <w:pPr>
        <w:pStyle w:val="BodyText"/>
      </w:pPr>
      <w:r>
        <w:rPr>
          <w:b/>
          <w:bCs/>
        </w:rPr>
        <w:t xml:space="preserve">Metodologia:</w:t>
      </w:r>
      <w:r>
        <w:br/>
      </w:r>
      <w:r>
        <w:t xml:space="preserve">Análise de duplo passo (double-pass) da PSF.</w:t>
      </w:r>
    </w:p>
    <w:p>
      <w:pPr>
        <w:pStyle w:val="BodyText"/>
      </w:pPr>
      <w:r>
        <w:rPr>
          <w:b/>
          <w:bCs/>
        </w:rPr>
        <w:t xml:space="preserve">Valores Normativos: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OSI Normal</w:t>
            </w:r>
          </w:p>
        </w:tc>
        <w:tc>
          <w:tcPr/>
          <w:p>
            <w:pPr>
              <w:pStyle w:val="Compact"/>
            </w:pPr>
            <w:r>
              <w:t xml:space="preserve">OSI Limítrofe</w:t>
            </w:r>
          </w:p>
        </w:tc>
        <w:tc>
          <w:tcPr/>
          <w:p>
            <w:pPr>
              <w:pStyle w:val="Compact"/>
            </w:pPr>
            <w:r>
              <w:t xml:space="preserve">OSI Anormal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20-40 anos</w:t>
            </w:r>
          </w:p>
        </w:tc>
        <w:tc>
          <w:tcPr/>
          <w:p>
            <w:pPr>
              <w:pStyle w:val="Compact"/>
            </w:pPr>
            <w:r>
              <w:t xml:space="preserve">&lt;0.7</w:t>
            </w:r>
          </w:p>
        </w:tc>
        <w:tc>
          <w:tcPr/>
          <w:p>
            <w:pPr>
              <w:pStyle w:val="Compact"/>
            </w:pPr>
            <w:r>
              <w:t xml:space="preserve">0.7-1.0</w:t>
            </w:r>
          </w:p>
        </w:tc>
        <w:tc>
          <w:tcPr/>
          <w:p>
            <w:pPr>
              <w:pStyle w:val="Compact"/>
            </w:pPr>
            <w:r>
              <w:t xml:space="preserve">&gt;1.0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40-55 anos</w:t>
            </w:r>
          </w:p>
        </w:tc>
        <w:tc>
          <w:tcPr/>
          <w:p>
            <w:pPr>
              <w:pStyle w:val="Compact"/>
            </w:pPr>
            <w:r>
              <w:t xml:space="preserve">&lt;1.0</w:t>
            </w:r>
          </w:p>
        </w:tc>
        <w:tc>
          <w:tcPr/>
          <w:p>
            <w:pPr>
              <w:pStyle w:val="Compact"/>
            </w:pPr>
            <w:r>
              <w:t xml:space="preserve">1.0-1.5</w:t>
            </w:r>
          </w:p>
        </w:tc>
        <w:tc>
          <w:tcPr/>
          <w:p>
            <w:pPr>
              <w:pStyle w:val="Compact"/>
            </w:pPr>
            <w:r>
              <w:t xml:space="preserve">&gt;1.5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55-65 anos</w:t>
            </w:r>
          </w:p>
        </w:tc>
        <w:tc>
          <w:tcPr/>
          <w:p>
            <w:pPr>
              <w:pStyle w:val="Compact"/>
            </w:pPr>
            <w:r>
              <w:t xml:space="preserve">&lt;1.5</w:t>
            </w:r>
          </w:p>
        </w:tc>
        <w:tc>
          <w:tcPr/>
          <w:p>
            <w:pPr>
              <w:pStyle w:val="Compact"/>
            </w:pPr>
            <w:r>
              <w:t xml:space="preserve">1.5-2.5</w:t>
            </w:r>
          </w:p>
        </w:tc>
        <w:tc>
          <w:tcPr/>
          <w:p>
            <w:pPr>
              <w:pStyle w:val="Compact"/>
            </w:pPr>
            <w:r>
              <w:t xml:space="preserve">&gt;2.5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&gt;65 anos</w:t>
            </w:r>
          </w:p>
        </w:tc>
        <w:tc>
          <w:tcPr/>
          <w:p>
            <w:pPr>
              <w:pStyle w:val="Compact"/>
            </w:pPr>
            <w:r>
              <w:t xml:space="preserve">&lt;2.0</w:t>
            </w:r>
          </w:p>
        </w:tc>
        <w:tc>
          <w:tcPr/>
          <w:p>
            <w:pPr>
              <w:pStyle w:val="Compact"/>
            </w:pPr>
            <w:r>
              <w:t xml:space="preserve">2.0-3.0</w:t>
            </w:r>
          </w:p>
        </w:tc>
        <w:tc>
          <w:tcPr/>
          <w:p>
            <w:pPr>
              <w:pStyle w:val="Compact"/>
            </w:pPr>
            <w:r>
              <w:t xml:space="preserve">&gt;3.0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 para PresbyLASIK: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OSI &lt;1.0:</w:t>
      </w:r>
      <w:r>
        <w:t xml:space="preserve"> </w:t>
      </w:r>
      <w:r>
        <w:t xml:space="preserve">Excelente qualidade óptica lenticular, candidato ideal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OSI 1.0-2.0:</w:t>
      </w:r>
      <w:r>
        <w:t xml:space="preserve"> </w:t>
      </w:r>
      <w:r>
        <w:t xml:space="preserve">Scatter ligeiro, prosseguir com cautela</w:t>
      </w:r>
    </w:p>
    <w:p>
      <w:pPr>
        <w:pStyle w:val="Compact"/>
        <w:numPr>
          <w:ilvl w:val="1"/>
          <w:numId w:val="1017"/>
        </w:numPr>
      </w:pPr>
      <w:r>
        <w:t xml:space="preserve">Avisar paciente que fenómenos fóticos pós-LASIK podem ser magnificados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OSI &gt;2.0:</w:t>
      </w:r>
      <w:r>
        <w:t xml:space="preserve"> </w:t>
      </w:r>
      <w:r>
        <w:t xml:space="preserve">Alto scatter interno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Contraindicação relativa</w:t>
      </w:r>
      <w:r>
        <w:t xml:space="preserve"> </w:t>
      </w:r>
      <w:r>
        <w:t xml:space="preserve">para PresbyLASIK (adicionar SA negativa corneana não criará DoF eficaz)</w:t>
      </w:r>
    </w:p>
    <w:p>
      <w:pPr>
        <w:pStyle w:val="Compact"/>
        <w:numPr>
          <w:ilvl w:val="1"/>
          <w:numId w:val="1018"/>
        </w:numPr>
      </w:pPr>
      <w:r>
        <w:t xml:space="preserve">Favorecer RLE</w:t>
      </w:r>
    </w:p>
    <w:bookmarkEnd w:id="17"/>
    <w:bookmarkStart w:id="18" w:name="X56357631ca655f3a52a30c0dfa902b7722d2a78"/>
    <w:p>
      <w:pPr>
        <w:pStyle w:val="Heading4"/>
      </w:pPr>
      <w:r>
        <w:t xml:space="preserve">Aberrometria Total vs. Corneana (iTrace / OPD-Scan)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br/>
      </w:r>
      <w:r>
        <w:t xml:space="preserve">Isolar as aberrações internas (predominantemente lenticulares) das aberrações corneanas.</w:t>
      </w:r>
    </w:p>
    <w:p>
      <w:pPr>
        <w:pStyle w:val="BodyText"/>
      </w:pPr>
      <w:r>
        <w:rPr>
          <w:b/>
          <w:bCs/>
        </w:rPr>
        <w:t xml:space="preserve">Cálculo: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Aberrações Internas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Aberrações Totais Oculares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Aberrações Corneanas</m:t>
          </m:r>
        </m:oMath>
      </m:oMathPara>
    </w:p>
    <w:p>
      <w:pPr>
        <w:pStyle w:val="FirstParagraph"/>
      </w:pPr>
      <w:r>
        <w:rPr>
          <w:b/>
          <w:bCs/>
        </w:rPr>
        <w:t xml:space="preserve">Aberração Esférica Interna (</w:t>
      </w:r>
      <m:oMath>
        <m:sSubSup>
          <m:e>
            <m:r>
              <m:t>Z</m:t>
            </m:r>
          </m:e>
          <m:sub>
            <m:r>
              <m:t>4</m:t>
            </m:r>
          </m:sub>
          <m:sup>
            <m:r>
              <m:t>0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interno):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9"/>
        <w:gridCol w:w="2241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 Interna (6 mm)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</w:pPr>
            <w:r>
              <w:t xml:space="preserve">Decisão Cirúrgica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+0.05 a +0.15 μm</w:t>
            </w:r>
          </w:p>
        </w:tc>
        <w:tc>
          <w:tcPr/>
          <w:p>
            <w:pPr>
              <w:pStyle w:val="Compact"/>
            </w:pPr>
            <w:r>
              <w:t xml:space="preserve">Cristalino jovem normal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PresbyLASIK 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+0.15 a +0.30 μm</w:t>
            </w:r>
          </w:p>
        </w:tc>
        <w:tc>
          <w:tcPr/>
          <w:p>
            <w:pPr>
              <w:pStyle w:val="Compact"/>
            </w:pPr>
            <w:r>
              <w:t xml:space="preserve">Envelhecimento lenticular</w:t>
            </w:r>
          </w:p>
        </w:tc>
        <w:tc>
          <w:tcPr/>
          <w:p>
            <w:pPr>
              <w:pStyle w:val="Compact"/>
            </w:pPr>
            <w:r>
              <w:t xml:space="preserve">Prosseguir, mas reduzir target SA negativa corneana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&gt;+0.30 μm</w:t>
            </w:r>
          </w:p>
        </w:tc>
        <w:tc>
          <w:tcPr/>
          <w:p>
            <w:pPr>
              <w:pStyle w:val="Compact"/>
            </w:pPr>
            <w:r>
              <w:t xml:space="preserve">Disfunção óptica lenticular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Contraindicar PresbyLASIK</w:t>
            </w:r>
            <w:r>
              <w:t xml:space="preserve"> </w:t>
            </w:r>
            <w:r>
              <w:t xml:space="preserve">(RLE preferível)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Raciocínio:</w:t>
      </w:r>
      <w:r>
        <w:br/>
      </w:r>
      <w:r>
        <w:t xml:space="preserve">Se o cristalino já possui SA positiva elevada, adicionar SA negativa corneana pode:</w:t>
      </w:r>
      <w:r>
        <w:t xml:space="preserve"> </w:t>
      </w:r>
      <w:r>
        <w:t xml:space="preserve">1. Anular-se mutuamente (sem ganho de DoF)</w:t>
      </w:r>
      <w:r>
        <w:t xml:space="preserve"> </w:t>
      </w:r>
      <w:r>
        <w:t xml:space="preserve">2. Criar aberrações de alta ordem complexas (coma, trefoil) por interação não-linear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1" w:name="propedêutica-corneana-essencial"/>
    <w:p>
      <w:pPr>
        <w:pStyle w:val="Heading2"/>
      </w:pPr>
      <w:r>
        <w:t xml:space="preserve">3.3. Propedêutica Corneana Essencial</w:t>
      </w:r>
    </w:p>
    <w:bookmarkStart w:id="25" w:name="X1a8708102d9e026cd74c2e6016bbd1014cd1683"/>
    <w:p>
      <w:pPr>
        <w:pStyle w:val="Heading3"/>
      </w:pPr>
      <w:r>
        <w:t xml:space="preserve">3.3.1. Tomografia de Segmento Anterior (Pentacam / Galilei)</w:t>
      </w:r>
    </w:p>
    <w:p>
      <w:pPr>
        <w:pStyle w:val="FirstParagraph"/>
      </w:pPr>
      <w:r>
        <w:rPr>
          <w:b/>
          <w:bCs/>
        </w:rPr>
        <w:t xml:space="preserve">Objetivos: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Rastreio de Ectasia (Queratocone Frustre)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Avaliação de Biomecânica (Espessura e Distribuição Paquimétrica)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Medição de Asfericidade (Q-value)</w:t>
      </w:r>
    </w:p>
    <w:bookmarkStart w:id="21" w:name="X9a71dcbd1c588fa93d065ac7d2ed9497981ee32"/>
    <w:p>
      <w:pPr>
        <w:pStyle w:val="Heading4"/>
      </w:pPr>
      <w:r>
        <w:t xml:space="preserve">Protocolo de Interpretação Sistemática (Baseado em Sinjab)</w:t>
      </w:r>
    </w:p>
    <w:p>
      <w:pPr>
        <w:pStyle w:val="FirstParagraph"/>
      </w:pPr>
      <w:r>
        <w:t xml:space="preserve">A análise tomográfica nesta obra segue o rigoroso protocolo</w:t>
      </w:r>
      <w:r>
        <w:t xml:space="preserve"> </w:t>
      </w:r>
      <w:r>
        <w:t xml:space="preserve">“Five Steps to Start”</w:t>
      </w:r>
      <w:r>
        <w:t xml:space="preserve"> </w:t>
      </w:r>
      <w:r>
        <w:t xml:space="preserve">preconizado pelo</w:t>
      </w:r>
      <w:r>
        <w:t xml:space="preserve"> </w:t>
      </w:r>
      <w:r>
        <w:rPr>
          <w:b/>
          <w:bCs/>
        </w:rPr>
        <w:t xml:space="preserve">Prof. Mazen Sinjab</w:t>
      </w:r>
      <w:r>
        <w:t xml:space="preserve"> </w:t>
      </w:r>
      <w:r>
        <w:t xml:space="preserve">[35,36], garantindo uma avaliação hierárquica e à prova de falhas: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Qualidade de Captura (QS):</w:t>
      </w:r>
      <w:r>
        <w:t xml:space="preserve"> </w:t>
      </w:r>
      <w:r>
        <w:t xml:space="preserve">Confirmação técnica prévia.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Mapas de Curvatura (Axial/Tangencial):</w:t>
      </w:r>
      <w:r>
        <w:t xml:space="preserve"> </w:t>
      </w:r>
      <w:r>
        <w:t xml:space="preserve">Identificação de padrões (Symmetric Bowtie, Asymmetric, Skewed).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Mapas de Elevação (BFS):</w:t>
      </w:r>
      <w:r>
        <w:t xml:space="preserve"> </w:t>
      </w:r>
      <w:r>
        <w:t xml:space="preserve">Análise da elevação anterior e posterior (ilhas de elevação).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Mapa Paquimétrico:</w:t>
      </w:r>
      <w:r>
        <w:t xml:space="preserve"> </w:t>
      </w:r>
      <w:r>
        <w:t xml:space="preserve">Avaliação da espessura no ponto mais fino e progressão paquimétrica.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Integração Biomecânica (Tomographic/Biomechanical Index):</w:t>
      </w:r>
      <w:r>
        <w:t xml:space="preserve"> </w:t>
      </w:r>
      <w:r>
        <w:t xml:space="preserve">Correlação final para decisão.</w:t>
      </w:r>
    </w:p>
    <w:p>
      <w:pPr>
        <w:pStyle w:val="FirstParagraph"/>
      </w:pPr>
      <w:r>
        <w:t xml:space="preserve">Esta sistematização é fundamental para distinguir corneas normais, suspeitas e patológicas com precisão.</w:t>
      </w:r>
    </w:p>
    <w:p>
      <w:pPr>
        <w:pStyle w:val="BodyText"/>
      </w:pPr>
      <w:r>
        <w:t xml:space="preserve">Protocolo Tomográfico Padrão Quad-Map</w:t>
      </w:r>
      <w:r>
        <w:t xml:space="preserve"> </w:t>
      </w:r>
      <w:r>
        <w:rPr>
          <w:i/>
          <w:iCs/>
        </w:rPr>
        <w:t xml:space="preserve">Figura 3.0: Visualização tomográfica padrão (Quad-Map) para avaliação sistemática de segurança biomecânica.</w:t>
      </w:r>
    </w:p>
    <w:bookmarkEnd w:id="21"/>
    <w:bookmarkStart w:id="22" w:name="parâmetros-de-rastreio-de-ectasia"/>
    <w:p>
      <w:pPr>
        <w:pStyle w:val="Heading4"/>
      </w:pPr>
      <w:r>
        <w:t xml:space="preserve">Parâmetros de Rastreio de Ectasia</w:t>
      </w:r>
    </w:p>
    <w:p>
      <w:pPr>
        <w:pStyle w:val="FirstParagraph"/>
      </w:pPr>
      <w:r>
        <w:rPr>
          <w:b/>
          <w:bCs/>
        </w:rPr>
        <w:t xml:space="preserve">Índices de Belin-Ambrósio Enhanced Ectasia Display (BAD-D):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Suspeito</w:t>
            </w:r>
          </w:p>
        </w:tc>
        <w:tc>
          <w:tcPr/>
          <w:p>
            <w:pPr>
              <w:pStyle w:val="Compact"/>
            </w:pPr>
            <w:r>
              <w:t xml:space="preserve">Ectásico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BAD-D</w:t>
            </w:r>
          </w:p>
        </w:tc>
        <w:tc>
          <w:tcPr/>
          <w:p>
            <w:pPr>
              <w:pStyle w:val="Compact"/>
            </w:pPr>
            <w:r>
              <w:t xml:space="preserve">&lt;1.60</w:t>
            </w:r>
          </w:p>
        </w:tc>
        <w:tc>
          <w:tcPr/>
          <w:p>
            <w:pPr>
              <w:pStyle w:val="Compact"/>
            </w:pPr>
            <w:r>
              <w:t xml:space="preserve">1.60-2.60</w:t>
            </w:r>
          </w:p>
        </w:tc>
        <w:tc>
          <w:tcPr/>
          <w:p>
            <w:pPr>
              <w:pStyle w:val="Compact"/>
            </w:pPr>
            <w:r>
              <w:t xml:space="preserve">&gt;2.60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TBI (Corvis)</w:t>
            </w:r>
          </w:p>
        </w:tc>
        <w:tc>
          <w:tcPr/>
          <w:p>
            <w:pPr>
              <w:pStyle w:val="Compact"/>
            </w:pPr>
            <w:r>
              <w:t xml:space="preserve">&lt;0.50</w:t>
            </w:r>
          </w:p>
        </w:tc>
        <w:tc>
          <w:tcPr/>
          <w:p>
            <w:pPr>
              <w:pStyle w:val="Compact"/>
            </w:pPr>
            <w:r>
              <w:t xml:space="preserve">0.50-0.79</w:t>
            </w:r>
          </w:p>
        </w:tc>
        <w:tc>
          <w:tcPr/>
          <w:p>
            <w:pPr>
              <w:pStyle w:val="Compact"/>
            </w:pPr>
            <w:r>
              <w:t xml:space="preserve">≥0.80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CBI (Corvis)</w:t>
            </w:r>
          </w:p>
        </w:tc>
        <w:tc>
          <w:tcPr/>
          <w:p>
            <w:pPr>
              <w:pStyle w:val="Compact"/>
            </w:pPr>
            <w:r>
              <w:t xml:space="preserve">&lt;0.50</w:t>
            </w:r>
          </w:p>
        </w:tc>
        <w:tc>
          <w:tcPr/>
          <w:p>
            <w:pPr>
              <w:pStyle w:val="Compact"/>
            </w:pPr>
            <w:r>
              <w:t xml:space="preserve">0.50-0.79</w:t>
            </w:r>
          </w:p>
        </w:tc>
        <w:tc>
          <w:tcPr/>
          <w:p>
            <w:pPr>
              <w:pStyle w:val="Compact"/>
            </w:pPr>
            <w:r>
              <w:t xml:space="preserve">≥0.80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Contraindicação Absoluta de PresbyLASIK:</w:t>
      </w:r>
      <w:r>
        <w:t xml:space="preserve"> </w:t>
      </w:r>
      <w:r>
        <w:t xml:space="preserve">- BAD-D &gt;1.60</w:t>
      </w:r>
      <w:r>
        <w:t xml:space="preserve"> </w:t>
      </w:r>
      <w:r>
        <w:t xml:space="preserve">- ISV (Index of Surface Variance) &gt;37</w:t>
      </w:r>
      <w:r>
        <w:t xml:space="preserve"> </w:t>
      </w:r>
      <w:r>
        <w:t xml:space="preserve">- IVA (Index of Vertical Asymmetry) &gt;0.28</w:t>
      </w:r>
    </w:p>
    <w:p>
      <w:pPr>
        <w:pStyle w:val="BodyText"/>
      </w:pPr>
      <w:r>
        <w:rPr>
          <w:b/>
          <w:bCs/>
        </w:rPr>
        <w:t xml:space="preserve">Raciocínio:</w:t>
      </w:r>
      <w:r>
        <w:br/>
      </w:r>
      <w:r>
        <w:t xml:space="preserve">Ablações presbiópicas (especialmente hipermetrópicas) thin the cornea perifericamente e induzem biomechanical stress. Córneas suspeitas podem sofrer ectasia iatrogénica pós-cirúrgica.</w:t>
      </w:r>
    </w:p>
    <w:bookmarkEnd w:id="22"/>
    <w:bookmarkStart w:id="23" w:name="X53776dd8a599b8bd46afb31533454faf3d5652d"/>
    <w:p>
      <w:pPr>
        <w:pStyle w:val="Heading4"/>
      </w:pPr>
      <w:r>
        <w:t xml:space="preserve">Espessura Corneana e Leito Estromal Residual (RSB)</w:t>
      </w:r>
    </w:p>
    <w:p>
      <w:pPr>
        <w:pStyle w:val="FirstParagraph"/>
      </w:pPr>
      <w:r>
        <w:rPr>
          <w:b/>
          <w:bCs/>
        </w:rPr>
        <w:t xml:space="preserve">Regra de Segurança: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Paquimetria Mínima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Flap/Epitélio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Ablação</m:t>
          </m:r>
          <m:r>
            <m:rPr>
              <m:sty m:val="p"/>
            </m:rPr>
            <m:t>&gt;</m:t>
          </m:r>
          <m:r>
            <m:t>300</m:t>
          </m:r>
          <m:r>
            <m:t> </m:t>
          </m:r>
          <m:r>
            <m:t>μ</m:t>
          </m:r>
          <m:r>
            <m:t>m</m:t>
          </m:r>
        </m:oMath>
      </m:oMathPara>
    </w:p>
    <w:p>
      <w:pPr>
        <w:pStyle w:val="FirstParagraph"/>
      </w:pPr>
      <w:r>
        <w:t xml:space="preserve">Para PRK (sem flap):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Paquimetria Mínima</m:t>
          </m:r>
          <m:r>
            <m:rPr>
              <m:sty m:val="p"/>
            </m:rPr>
            <m:t>−</m:t>
          </m:r>
          <m:r>
            <m:t>50</m:t>
          </m:r>
          <m:r>
            <m:t> </m:t>
          </m:r>
          <m:r>
            <m:t>μ</m:t>
          </m:r>
          <m:r>
            <m:t>m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Ablação</m:t>
          </m:r>
          <m:r>
            <m:rPr>
              <m:sty m:val="p"/>
            </m:rPr>
            <m:t>&gt;</m:t>
          </m:r>
          <m:r>
            <m:t>300</m:t>
          </m:r>
          <m:r>
            <m:t> </m:t>
          </m:r>
          <m:r>
            <m:t>μ</m:t>
          </m:r>
          <m: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Ablação Hiperópica Típica (+2.00 D presbyopic correction, zona óptica 6.0 mm):</w:t>
      </w:r>
      <w:r>
        <w:t xml:space="preserve"> </w:t>
      </w:r>
      <w:r>
        <w:t xml:space="preserve">- Ablação central: ~10-15 μm</w:t>
      </w:r>
      <w:r>
        <w:t xml:space="preserve"> </w:t>
      </w:r>
      <w:r>
        <w:t xml:space="preserve">- Ablação periférica máxima: ~60-80 μm</w:t>
      </w:r>
    </w:p>
    <w:p>
      <w:pPr>
        <w:pStyle w:val="BodyText"/>
      </w:pPr>
      <w:r>
        <w:rPr>
          <w:b/>
          <w:bCs/>
        </w:rPr>
        <w:t xml:space="preserve">Exemplo de Cálculo:</w:t>
      </w:r>
    </w:p>
    <w:p>
      <w:pPr>
        <w:pStyle w:val="BodyText"/>
      </w:pPr>
      <w:r>
        <w:t xml:space="preserve">Paciente: +2.00 D hipermétrope, age 50, candidato PresbyLASIK (LASIK com Q target -0.80).</w:t>
      </w:r>
    </w:p>
    <w:p>
      <w:pPr>
        <w:pStyle w:val="Compact"/>
        <w:numPr>
          <w:ilvl w:val="0"/>
          <w:numId w:val="1021"/>
        </w:numPr>
      </w:pPr>
      <w:r>
        <w:t xml:space="preserve">Paquimetria central: 540 μm</w:t>
      </w:r>
    </w:p>
    <w:p>
      <w:pPr>
        <w:pStyle w:val="Compact"/>
        <w:numPr>
          <w:ilvl w:val="0"/>
          <w:numId w:val="1021"/>
        </w:numPr>
      </w:pPr>
      <w:r>
        <w:t xml:space="preserve">Paquimetria mínima (paracentral): 520 μm</w:t>
      </w:r>
    </w:p>
    <w:p>
      <w:pPr>
        <w:pStyle w:val="Compact"/>
        <w:numPr>
          <w:ilvl w:val="0"/>
          <w:numId w:val="1021"/>
        </w:numPr>
      </w:pPr>
      <w:r>
        <w:t xml:space="preserve">Flap (LASIK 110 μm): 110 μm</w:t>
      </w:r>
    </w:p>
    <w:p>
      <w:pPr>
        <w:pStyle w:val="Compact"/>
        <w:numPr>
          <w:ilvl w:val="0"/>
          <w:numId w:val="1021"/>
        </w:numPr>
      </w:pPr>
      <w:r>
        <w:t xml:space="preserve">Ablação periférica prevista: 75 μm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LER</m:t>
          </m:r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−</m:t>
          </m:r>
          <m:r>
            <m:t>110</m:t>
          </m:r>
          <m:r>
            <m:rPr>
              <m:sty m:val="p"/>
            </m:rPr>
            <m:t>−</m:t>
          </m:r>
          <m:r>
            <m:t>75</m:t>
          </m:r>
          <m:r>
            <m:rPr>
              <m:sty m:val="p"/>
            </m:rPr>
            <m:t>=</m:t>
          </m:r>
          <m:r>
            <m:t>335</m:t>
          </m:r>
          <m:r>
            <m:t> </m:t>
          </m:r>
          <m:r>
            <m:t>μ</m:t>
          </m:r>
          <m:r>
            <m:t>m</m:t>
          </m:r>
          <m:r>
            <m:t> </m:t>
          </m:r>
          <m:r>
            <m:rPr>
              <m:sty m:val="p"/>
            </m:rPr>
            <m:t>✓</m:t>
          </m:r>
          <m:r>
            <m:t> </m:t>
          </m:r>
          <m:r>
            <m:rPr>
              <m:nor/>
              <m:sty m:val="p"/>
            </m:rPr>
            <m:t>(Seguro)</m:t>
          </m:r>
        </m:oMath>
      </m:oMathPara>
    </w:p>
    <w:p>
      <w:pPr>
        <w:pStyle w:val="FirstParagraph"/>
      </w:pPr>
      <w:r>
        <w:t xml:space="preserve">Se paquimetria mínima fosse 480 μm: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LER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110</m:t>
          </m:r>
          <m:r>
            <m:rPr>
              <m:sty m:val="p"/>
            </m:rPr>
            <m:t>−</m:t>
          </m:r>
          <m:r>
            <m:t>75</m:t>
          </m:r>
          <m:r>
            <m:rPr>
              <m:sty m:val="p"/>
            </m:rPr>
            <m:t>=</m:t>
          </m:r>
          <m:r>
            <m:t>295</m:t>
          </m:r>
          <m:r>
            <m:t> </m:t>
          </m:r>
          <m:r>
            <m:t>μ</m:t>
          </m:r>
          <m:r>
            <m:t>m</m:t>
          </m:r>
          <m:r>
            <m:t> </m:t>
          </m:r>
          <m:r>
            <m:rPr>
              <m:sty m:val="p"/>
            </m:rPr>
            <m:t>×</m:t>
          </m:r>
          <m:r>
            <m:t> </m:t>
          </m:r>
          <m:r>
            <m:rPr>
              <m:nor/>
              <m:sty m:val="p"/>
            </m:rPr>
            <m:t>(Limítrofe - Considerar PRK ou RLE)</m:t>
          </m:r>
        </m:oMath>
      </m:oMathPara>
    </w:p>
    <w:bookmarkEnd w:id="23"/>
    <w:bookmarkStart w:id="24" w:name="curvatura-e-asfericidade-corneana"/>
    <w:p>
      <w:pPr>
        <w:pStyle w:val="Heading4"/>
      </w:pPr>
      <w:r>
        <w:t xml:space="preserve">Curvatura e Asfericidade Corneana</w:t>
      </w:r>
    </w:p>
    <w:p>
      <w:pPr>
        <w:pStyle w:val="FirstParagraph"/>
      </w:pPr>
      <w:r>
        <w:rPr>
          <w:b/>
          <w:bCs/>
        </w:rPr>
        <w:t xml:space="preserve">Queratometria (K) e Faixa Operável: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36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 Médio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Implicações PresbyLASIK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Córnea plana</w:t>
            </w:r>
          </w:p>
        </w:tc>
        <w:tc>
          <w:tcPr/>
          <w:p>
            <w:pPr>
              <w:pStyle w:val="Compact"/>
            </w:pPr>
            <w:r>
              <w:t xml:space="preserve">Risco de hipocorreção e regressão; reduzir target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40.00-46.00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Ideal para cirurgia presbiópica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46.00-48.00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Córnea curva</w:t>
            </w:r>
          </w:p>
        </w:tc>
        <w:tc>
          <w:tcPr/>
          <w:p>
            <w:pPr>
              <w:pStyle w:val="Compact"/>
            </w:pPr>
            <w:r>
              <w:t xml:space="preserve">Viável mas aguarda maior indução de aberrações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&gt;48.00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curva</w:t>
            </w:r>
          </w:p>
        </w:tc>
        <w:tc>
          <w:tcPr/>
          <w:p>
            <w:pPr>
              <w:pStyle w:val="Compact"/>
            </w:pPr>
            <w:r>
              <w:t xml:space="preserve">Suspeitar queratocone; rastreio ectasia obrigatório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Asfericidade Pré-Operatória (Q-value):</w:t>
      </w:r>
    </w:p>
    <w:p>
      <w:pPr>
        <w:pStyle w:val="BodyText"/>
      </w:pPr>
      <w:r>
        <w:t xml:space="preserve">Córneas muito oblatas (Q &gt;+0.30, tipicamente pós-LASIK miópico prévio) ou muito prolatas (Q &lt;-0.60) respondem de forma imprevisível à manipulação adicional de asfericidade.</w:t>
      </w:r>
    </w:p>
    <w:p>
      <w:pPr>
        <w:pStyle w:val="BodyText"/>
      </w:pPr>
      <w:r>
        <w:rPr>
          <w:b/>
          <w:bCs/>
        </w:rPr>
        <w:t xml:space="preserve">Regra Clínica:</w:t>
      </w:r>
      <w:r>
        <w:br/>
      </w:r>
      <w:r>
        <w:t xml:space="preserve">Se Q pré-operatório estiver fora da faixa -0.10 a -0.40, o algoritmo de cálculo de Q-target deve ser ajustado ou alternativas não-corneanas devem ser consideradas.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8d7b1a067c3419c6a1128082e57faaeeb76fdcb"/>
    <w:p>
      <w:pPr>
        <w:pStyle w:val="Heading3"/>
      </w:pPr>
      <w:r>
        <w:t xml:space="preserve">3.3.2. Aberrometria e Centragem: Ângulo Kappa/Alpha</w:t>
      </w:r>
    </w:p>
    <w:p>
      <w:pPr>
        <w:pStyle w:val="FirstParagraph"/>
      </w:pPr>
      <w:r>
        <w:t xml:space="preserve">O descentramento da ablação multifocal</w:t>
      </w:r>
      <w:r>
        <w:t xml:space="preserve"> </w:t>
      </w:r>
      <w:r>
        <w:rPr>
          <w:b/>
          <w:bCs/>
        </w:rPr>
        <w:t xml:space="preserve">é a principalcausa de insucesso</w:t>
      </w:r>
      <w:r>
        <w:t xml:space="preserve"> </w:t>
      </w:r>
      <w:r>
        <w:t xml:space="preserve">em PresbyLASIK, induzindo coma vertical e diplopia monocular.</w:t>
      </w:r>
    </w:p>
    <w:bookmarkStart w:id="26" w:name="anatomia-dos-eixos-oculares"/>
    <w:p>
      <w:pPr>
        <w:pStyle w:val="Heading4"/>
      </w:pPr>
      <w:r>
        <w:t xml:space="preserve">Anatomia dos Eixos Oculares</w:t>
      </w:r>
    </w:p>
    <w:p>
      <w:pPr>
        <w:pStyle w:val="FirstParagraph"/>
      </w:pPr>
      <w:r>
        <w:rPr>
          <w:b/>
          <w:bCs/>
        </w:rPr>
        <w:t xml:space="preserve">Eixo Visual:</w:t>
      </w:r>
      <w:r>
        <w:br/>
      </w:r>
      <w:r>
        <w:t xml:space="preserve">Linha que conecta o ponto de fixação foveal ao objeto fixado, passando pelo ponto nodal.</w:t>
      </w:r>
    </w:p>
    <w:p>
      <w:pPr>
        <w:pStyle w:val="BodyText"/>
      </w:pPr>
      <w:r>
        <w:rPr>
          <w:b/>
          <w:bCs/>
        </w:rPr>
        <w:t xml:space="preserve">Eixo Pupilar:</w:t>
      </w:r>
      <w:r>
        <w:br/>
      </w:r>
      <w:r>
        <w:t xml:space="preserve">Linha perpendicular à córnea que passa pelo centro geométrico da pupila de entrada.</w:t>
      </w:r>
    </w:p>
    <w:p>
      <w:pPr>
        <w:pStyle w:val="BodyText"/>
      </w:pPr>
      <w:r>
        <w:rPr>
          <w:b/>
          <w:bCs/>
        </w:rPr>
        <w:t xml:space="preserve">Ângulo Kappa (κ):</w:t>
      </w:r>
      <w:r>
        <w:br/>
      </w:r>
      <w:r>
        <w:t xml:space="preserve">Ângulo entre o eixo visual e o eixo pupilar. Equivalente clínico: distância linear entre o reflexo de Purkinje (1ª imagem de Purkinje = representação do eixo visual) e o centro da pupila.</w:t>
      </w:r>
    </w:p>
    <w:p>
      <w:pPr>
        <w:pStyle w:val="BodyText"/>
      </w:pPr>
      <w:r>
        <w:rPr>
          <w:b/>
          <w:bCs/>
        </w:rPr>
        <w:t xml:space="preserve">Ângulo Alpha (α):</w:t>
      </w:r>
      <w:r>
        <w:br/>
      </w:r>
      <w:r>
        <w:t xml:space="preserve">Ângulo entre o eixo visual e o eixo óptico (linha de simetria do sistema óptico).</w:t>
      </w:r>
    </w:p>
    <w:p>
      <w:pPr>
        <w:pStyle w:val="BodyText"/>
      </w:pPr>
      <w:r>
        <w:rPr>
          <w:b/>
          <w:bCs/>
        </w:rPr>
        <w:t xml:space="preserve">Na Prática Clínica:</w:t>
      </w:r>
      <w:r>
        <w:br/>
      </w:r>
      <w:r>
        <w:t xml:space="preserve">Kappa e Alpha são frequentemente confundidos; a medida relevante é o</w:t>
      </w:r>
      <w:r>
        <w:t xml:space="preserve"> </w:t>
      </w:r>
      <w:r>
        <w:rPr>
          <w:b/>
          <w:bCs/>
        </w:rPr>
        <w:t xml:space="preserve">Chord Mu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Distância Kappa</w:t>
      </w:r>
      <w:r>
        <w:t xml:space="preserve">, medida em mm.</w:t>
      </w:r>
    </w:p>
    <w:bookmarkEnd w:id="26"/>
    <w:bookmarkStart w:id="27" w:name="medição-do-ângulo-kappa"/>
    <w:p>
      <w:pPr>
        <w:pStyle w:val="Heading4"/>
      </w:pPr>
      <w:r>
        <w:t xml:space="preserve">Medição do Ângulo Kappa</w:t>
      </w:r>
    </w:p>
    <w:p>
      <w:pPr>
        <w:pStyle w:val="FirstParagraph"/>
      </w:pPr>
      <w:r>
        <w:rPr>
          <w:b/>
          <w:bCs/>
        </w:rPr>
        <w:t xml:space="preserve">Métodos: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Manual (Offset de Purkinje):</w:t>
      </w:r>
    </w:p>
    <w:p>
      <w:pPr>
        <w:pStyle w:val="Compact"/>
        <w:numPr>
          <w:ilvl w:val="1"/>
          <w:numId w:val="1023"/>
        </w:numPr>
      </w:pPr>
      <w:r>
        <w:t xml:space="preserve">Paciente fixa luz coaxial</w:t>
      </w:r>
    </w:p>
    <w:p>
      <w:pPr>
        <w:pStyle w:val="Compact"/>
        <w:numPr>
          <w:ilvl w:val="1"/>
          <w:numId w:val="1023"/>
        </w:numPr>
      </w:pPr>
      <w:r>
        <w:t xml:space="preserve">Medir distância do reflexo de Purkinje ao centro pupilar</w:t>
      </w:r>
    </w:p>
    <w:p>
      <w:pPr>
        <w:pStyle w:val="Compact"/>
        <w:numPr>
          <w:ilvl w:val="1"/>
          <w:numId w:val="1023"/>
        </w:numPr>
      </w:pPr>
      <w:r>
        <w:t xml:space="preserve">Instrumento: régua milimetrica na lâmpada de fenda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Automatizado (Topografia/Aberrometria):</w:t>
      </w:r>
    </w:p>
    <w:p>
      <w:pPr>
        <w:pStyle w:val="Compact"/>
        <w:numPr>
          <w:ilvl w:val="1"/>
          <w:numId w:val="1024"/>
        </w:numPr>
      </w:pPr>
      <w:r>
        <w:t xml:space="preserve">Pentacam:</w:t>
      </w:r>
      <w:r>
        <w:t xml:space="preserve"> </w:t>
      </w:r>
      <w:r>
        <w:t xml:space="preserve">“Pupil Center Corneal Vertex Distance”</w:t>
      </w:r>
    </w:p>
    <w:p>
      <w:pPr>
        <w:pStyle w:val="Compact"/>
        <w:numPr>
          <w:ilvl w:val="1"/>
          <w:numId w:val="1024"/>
        </w:numPr>
      </w:pPr>
      <w:r>
        <w:t xml:space="preserve">iTrace:</w:t>
      </w:r>
      <w:r>
        <w:t xml:space="preserve"> </w:t>
      </w:r>
      <w:r>
        <w:t xml:space="preserve">“Kappa Angle”</w:t>
      </w:r>
    </w:p>
    <w:p>
      <w:pPr>
        <w:pStyle w:val="Compact"/>
        <w:numPr>
          <w:ilvl w:val="1"/>
          <w:numId w:val="1024"/>
        </w:numPr>
      </w:pPr>
      <w:r>
        <w:t xml:space="preserve">OPD-Scan III:</w:t>
      </w:r>
      <w:r>
        <w:t xml:space="preserve"> </w:t>
      </w:r>
      <w:r>
        <w:t xml:space="preserve">“Angle Kappa”</w:t>
      </w:r>
    </w:p>
    <w:p>
      <w:pPr>
        <w:pStyle w:val="FirstParagraph"/>
      </w:pPr>
      <w:r>
        <w:rPr>
          <w:b/>
          <w:bCs/>
        </w:rPr>
        <w:t xml:space="preserve">Valores de Referência e Decisão Cirúrgica: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605"/>
        <w:gridCol w:w="2354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Kappa (mm)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Risco em PresbyLASIK</w:t>
            </w:r>
          </w:p>
        </w:tc>
        <w:tc>
          <w:tcPr/>
          <w:p>
            <w:pPr>
              <w:pStyle w:val="Compact"/>
            </w:pPr>
            <w:r>
              <w:t xml:space="preserve">Estratégia de Centragem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&lt;0.30 mm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Centrar na pupila (aceitável)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0.30-0.50 mm</w:t>
            </w:r>
          </w:p>
        </w:tc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Centrar no Purkinje ou ponto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0.50-0.70 mm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(coma induzido)</w:t>
            </w:r>
          </w:p>
        </w:tc>
        <w:tc>
          <w:tcPr/>
          <w:p>
            <w:pPr>
              <w:pStyle w:val="Compact"/>
            </w:pPr>
            <w:r>
              <w:t xml:space="preserve">Centrar estritamente no Purkinje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&gt;0.70 mm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Contraindicação relativa</w:t>
            </w:r>
          </w:p>
        </w:tc>
        <w:tc>
          <w:tcPr/>
          <w:p>
            <w:pPr>
              <w:pStyle w:val="Compact"/>
            </w:pPr>
            <w:r>
              <w:t xml:space="preserve">Considerar RLE ou monovisão pura (sem multifocalidade)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 de Indução de Coma por Descentramento:</w:t>
      </w:r>
    </w:p>
    <w:p>
      <w:pPr>
        <w:pStyle w:val="BodyText"/>
      </w:pPr>
      <w:r>
        <w:t xml:space="preserve">Fórmula aproximada (derivada de modelos de Zernike):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≈</m:t>
          </m:r>
          <m:r>
            <m:t>0.12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descentramento em 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potência da ablação em dioptrias</w:t>
      </w:r>
    </w:p>
    <w:p>
      <w:pPr>
        <w:pStyle w:val="BodyText"/>
      </w:pPr>
      <w:r>
        <w:rPr>
          <w:b/>
          <w:bCs/>
        </w:rPr>
        <w:t xml:space="preserve">Exemplo Clínico:</w:t>
      </w:r>
    </w:p>
    <w:p>
      <w:pPr>
        <w:pStyle w:val="BodyText"/>
      </w:pPr>
      <w:r>
        <w:t xml:space="preserve">Paciente hipermétrope +2.50 D com Kappa = 0.60 mm.</w:t>
      </w:r>
    </w:p>
    <w:p>
      <w:pPr>
        <w:pStyle w:val="BodyText"/>
      </w:pPr>
      <w:r>
        <w:t xml:space="preserve">Se a ablação for centrada na pupila (ignorando Kappa):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×</m:t>
          </m:r>
          <m:r>
            <m:t>0.60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2.5</m:t>
              </m:r>
            </m:e>
          </m:rad>
          <m:r>
            <m:rPr>
              <m:sty m:val="p"/>
            </m:rPr>
            <m:t>≈</m:t>
          </m:r>
          <m:r>
            <m:t>0.11</m:t>
          </m:r>
          <m:r>
            <m:t> </m:t>
          </m:r>
          <m:r>
            <m:t>μ</m:t>
          </m:r>
          <m:r>
            <m:t>m</m:t>
          </m:r>
        </m:oMath>
      </m:oMathPara>
    </w:p>
    <w:p>
      <w:pPr>
        <w:pStyle w:val="FirstParagraph"/>
      </w:pPr>
      <w:r>
        <w:t xml:space="preserve">Este valor de coma induzido é suficiente para causar sintomas de</w:t>
      </w:r>
      <w:r>
        <w:t xml:space="preserve"> </w:t>
      </w:r>
      <w:r>
        <w:t xml:space="preserve">“ghosting”</w:t>
      </w:r>
      <w:r>
        <w:t xml:space="preserve"> </w:t>
      </w:r>
      <w:r>
        <w:t xml:space="preserve">vertical (imagem dupla monocular).</w:t>
      </w:r>
    </w:p>
    <w:p>
      <w:pPr>
        <w:pStyle w:val="BodyText"/>
      </w:pPr>
      <w:r>
        <w:rPr>
          <w:b/>
          <w:bCs/>
        </w:rPr>
        <w:t xml:space="preserve">Conduta:</w:t>
      </w:r>
      <w:r>
        <w:br/>
      </w:r>
      <w:r>
        <w:t xml:space="preserve">Centrar ablação no reflexo de Purkinje (eixo visual) em vez do centro pupilar.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uperfície-ocular-e-filme-lacrimal"/>
    <w:p>
      <w:pPr>
        <w:pStyle w:val="Heading3"/>
      </w:pPr>
      <w:r>
        <w:t xml:space="preserve">3.3.3. Superfície Ocular e Filme Lacrimal</w:t>
      </w:r>
    </w:p>
    <w:p>
      <w:pPr>
        <w:pStyle w:val="FirstParagraph"/>
      </w:pPr>
      <w:r>
        <w:rPr>
          <w:b/>
          <w:bCs/>
        </w:rPr>
        <w:t xml:space="preserve">Princípio Fundamental:</w:t>
      </w:r>
      <w:r>
        <w:br/>
      </w:r>
      <w:r>
        <w:t xml:space="preserve">O filme lacrimal é a primeira superfície refrativa do olho (~40% da potência dióptrica total). Irregularidades lacrimais degradam qualquer correção óptica corneana.</w:t>
      </w:r>
    </w:p>
    <w:bookmarkStart w:id="29" w:name="avaliação-da-superfície-ocular"/>
    <w:p>
      <w:pPr>
        <w:pStyle w:val="Heading4"/>
      </w:pPr>
      <w:r>
        <w:t xml:space="preserve">Avaliação da Superfície Ocular</w:t>
      </w:r>
    </w:p>
    <w:p>
      <w:pPr>
        <w:pStyle w:val="FirstParagraph"/>
      </w:pPr>
      <w:r>
        <w:rPr>
          <w:b/>
          <w:bCs/>
        </w:rPr>
        <w:t xml:space="preserve">1. Questionários Validados: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OSDI (Ocular Surface Disease Index):</w:t>
      </w:r>
      <w:r>
        <w:t xml:space="preserve"> </w:t>
      </w:r>
      <w:r>
        <w:t xml:space="preserve">Score 0-100</w:t>
      </w:r>
    </w:p>
    <w:p>
      <w:pPr>
        <w:pStyle w:val="Compact"/>
        <w:numPr>
          <w:ilvl w:val="1"/>
          <w:numId w:val="1026"/>
        </w:numPr>
      </w:pPr>
      <w:r>
        <w:t xml:space="preserve">&lt;13: Normal</w:t>
      </w:r>
    </w:p>
    <w:p>
      <w:pPr>
        <w:pStyle w:val="Compact"/>
        <w:numPr>
          <w:ilvl w:val="1"/>
          <w:numId w:val="1026"/>
        </w:numPr>
      </w:pPr>
      <w:r>
        <w:t xml:space="preserve">13-22: Olho seco ligeiro</w:t>
      </w:r>
    </w:p>
    <w:p>
      <w:pPr>
        <w:pStyle w:val="Compact"/>
        <w:numPr>
          <w:ilvl w:val="1"/>
          <w:numId w:val="1026"/>
        </w:numPr>
      </w:pPr>
      <w:r>
        <w:t xml:space="preserve">23-32: Olho seco moderado</w:t>
      </w:r>
    </w:p>
    <w:p>
      <w:pPr>
        <w:pStyle w:val="BlockText"/>
        <w:numPr>
          <w:ilvl w:val="1"/>
          <w:numId w:val="1026"/>
        </w:numPr>
      </w:pPr>
      <w:r>
        <w:t xml:space="preserve">32: Olho seco severo</w:t>
      </w:r>
    </w:p>
    <w:p>
      <w:pPr>
        <w:pStyle w:val="FirstParagraph"/>
      </w:pPr>
      <w:r>
        <w:rPr>
          <w:b/>
          <w:bCs/>
        </w:rPr>
        <w:t xml:space="preserve">2. Testes Objetivos:</w:t>
      </w:r>
    </w:p>
    <w:p>
      <w:pPr>
        <w:pStyle w:val="BodyText"/>
      </w:pPr>
      <w:r>
        <w:rPr>
          <w:b/>
          <w:bCs/>
        </w:rPr>
        <w:t xml:space="preserve">Tempo de Rutura do Filme Lacrimal (BUT - Break-Up Time):</w:t>
      </w:r>
      <w:r>
        <w:t xml:space="preserve"> </w:t>
      </w:r>
      <w:r>
        <w:t xml:space="preserve">- Normal: &gt;10 segundos</w:t>
      </w:r>
      <w:r>
        <w:t xml:space="preserve"> </w:t>
      </w:r>
      <w:r>
        <w:t xml:space="preserve">- Borderline: 5-10 segundos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Patológico (&lt;5 segundos): Tratar obrigatoriamente antes de cirurgia</w:t>
      </w:r>
    </w:p>
    <w:p>
      <w:pPr>
        <w:pStyle w:val="BodyText"/>
      </w:pPr>
      <w:r>
        <w:rPr>
          <w:b/>
          <w:bCs/>
        </w:rPr>
        <w:t xml:space="preserve">Teste de Schirmer (Produção Lacrimal):</w:t>
      </w:r>
      <w:r>
        <w:t xml:space="preserve"> </w:t>
      </w:r>
      <w:r>
        <w:t xml:space="preserve">- Normal: &gt;15 mm em 5 minutos</w:t>
      </w:r>
      <w:r>
        <w:t xml:space="preserve"> </w:t>
      </w:r>
      <w:r>
        <w:t xml:space="preserve">- Borderline: 10-15 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Severo (&lt;5 mm): Contraindicação relativa; pré-tratar agressivamente</w:t>
      </w:r>
    </w:p>
    <w:p>
      <w:pPr>
        <w:pStyle w:val="BodyText"/>
      </w:pPr>
      <w:r>
        <w:rPr>
          <w:b/>
          <w:bCs/>
        </w:rPr>
        <w:t xml:space="preserve">3. Avaliação das Glândulas de Meibomius:</w:t>
      </w:r>
    </w:p>
    <w:p>
      <w:pPr>
        <w:pStyle w:val="BodyText"/>
      </w:pPr>
      <w:r>
        <w:rPr>
          <w:b/>
          <w:bCs/>
        </w:rPr>
        <w:t xml:space="preserve">Meibografia (LipiView / Sirius):</w:t>
      </w:r>
      <w:r>
        <w:t xml:space="preserve"> </w:t>
      </w:r>
      <w:r>
        <w:t xml:space="preserve">- Grau 0: Sem perda glandular</w:t>
      </w:r>
      <w:r>
        <w:t xml:space="preserve"> </w:t>
      </w:r>
      <w:r>
        <w:t xml:space="preserve">- Grau 1: &lt;25% perda</w:t>
      </w:r>
      <w:r>
        <w:t xml:space="preserve"> </w:t>
      </w:r>
      <w:r>
        <w:t xml:space="preserve">- Grau 2: 25-50% perda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Grau 3-4 (&gt;50% perda): Alto risco de olho seco pós-LASIK severo</w:t>
      </w:r>
    </w:p>
    <w:p>
      <w:pPr>
        <w:pStyle w:val="BodyText"/>
      </w:pPr>
      <w:r>
        <w:rPr>
          <w:b/>
          <w:bCs/>
        </w:rPr>
        <w:t xml:space="preserve">Disfunção de Meibomius (MGD) e PresbyLASIK:</w:t>
      </w:r>
    </w:p>
    <w:p>
      <w:pPr>
        <w:pStyle w:val="BodyText"/>
      </w:pPr>
      <w:r>
        <w:t xml:space="preserve">Pacientes com MGD moderada a severa desenvolvem olho seco sintomático muito agressivo pós-LASIK devido a:</w:t>
      </w:r>
      <w:r>
        <w:t xml:space="preserve"> </w:t>
      </w:r>
      <w:r>
        <w:t xml:space="preserve">1. Transecção de nervos corneanos (diminui reflexo lacrimal)</w:t>
      </w:r>
      <w:r>
        <w:t xml:space="preserve"> </w:t>
      </w:r>
      <w:r>
        <w:t xml:space="preserve">2. Irregularidade da superfície amplifica sintomas de irritação</w:t>
      </w:r>
      <w:r>
        <w:t xml:space="preserve"> </w:t>
      </w:r>
      <w:r>
        <w:t xml:space="preserve">3. Aberrações induzidas magnificam a irregularidade do filme lacrimal</w:t>
      </w:r>
    </w:p>
    <w:p>
      <w:pPr>
        <w:pStyle w:val="BodyText"/>
      </w:pPr>
      <w:r>
        <w:rPr>
          <w:b/>
          <w:bCs/>
        </w:rPr>
        <w:t xml:space="preserve">Protocolo de Pré-Tratamento:</w:t>
      </w:r>
    </w:p>
    <w:p>
      <w:pPr>
        <w:pStyle w:val="BodyText"/>
      </w:pPr>
      <w:r>
        <w:t xml:space="preserve">Antes de PresbyLASIK em paciente com MGD:</w:t>
      </w:r>
      <w:r>
        <w:t xml:space="preserve"> </w:t>
      </w:r>
      <w:r>
        <w:t xml:space="preserve">1. Express glandular (compressas quentes + massagem)</w:t>
      </w:r>
      <w:r>
        <w:t xml:space="preserve"> </w:t>
      </w:r>
      <w:r>
        <w:t xml:space="preserve">2. Lágrimas artificiais sem conservante 4x/dia</w:t>
      </w:r>
      <w:r>
        <w:t xml:space="preserve"> </w:t>
      </w:r>
      <w:r>
        <w:t xml:space="preserve">3. Suplementação oral Ómega-3 (1000-2000 mg/dia)</w:t>
      </w:r>
      <w:r>
        <w:t xml:space="preserve"> </w:t>
      </w:r>
      <w:r>
        <w:t xml:space="preserve">4. Considerar IPL (Intense Pulsed Light) ou expressão glandular profissional (Lipiflow)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Reavaliação após 3 meses de tratamento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X419f490385a73c3fb1650d5e5a1b0c9d2b2b7cd"/>
    <w:p>
      <w:pPr>
        <w:pStyle w:val="Heading2"/>
      </w:pPr>
      <w:r>
        <w:t xml:space="preserve">3.4. Testes Funcionais e Simulação Pré-Operatória</w:t>
      </w:r>
    </w:p>
    <w:bookmarkStart w:id="32" w:name="X6e4f2a7b54bc6a19842707f1fd23271cc6578fa"/>
    <w:p>
      <w:pPr>
        <w:pStyle w:val="Heading3"/>
      </w:pPr>
      <w:r>
        <w:t xml:space="preserve">3.4.1. Teste de Tolerância à Monovisão (Lente de Contacto)</w:t>
      </w:r>
    </w:p>
    <w:p>
      <w:pPr>
        <w:pStyle w:val="FirstParagraph"/>
      </w:pPr>
      <w:r>
        <w:rPr>
          <w:b/>
          <w:bCs/>
        </w:rPr>
        <w:t xml:space="preserve">Gold Standard</w:t>
      </w:r>
      <w:r>
        <w:t xml:space="preserve"> </w:t>
      </w:r>
      <w:r>
        <w:t xml:space="preserve">para prever neuroadaptação.</w:t>
      </w:r>
    </w:p>
    <w:p>
      <w:pPr>
        <w:pStyle w:val="BodyText"/>
      </w:pPr>
      <w:r>
        <w:rPr>
          <w:b/>
          <w:bCs/>
        </w:rPr>
        <w:t xml:space="preserve">Protocolo: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Dominância Ocular:</w:t>
      </w:r>
    </w:p>
    <w:p>
      <w:pPr>
        <w:pStyle w:val="Compact"/>
        <w:numPr>
          <w:ilvl w:val="1"/>
          <w:numId w:val="1028"/>
        </w:numPr>
      </w:pPr>
      <w:r>
        <w:t xml:space="preserve">Teste do buraco (Hole-in-Card test)</w:t>
      </w:r>
    </w:p>
    <w:p>
      <w:pPr>
        <w:pStyle w:val="Compact"/>
        <w:numPr>
          <w:ilvl w:val="1"/>
          <w:numId w:val="1028"/>
        </w:numPr>
      </w:pPr>
      <w:r>
        <w:t xml:space="preserve">Teste de convergência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Simulação: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Olho dominante:</w:t>
      </w:r>
      <w:r>
        <w:t xml:space="preserve"> </w:t>
      </w:r>
      <w:r>
        <w:t xml:space="preserve">Lente de contacto para emetropia (0.00 D)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Olho não-dominante:</w:t>
      </w:r>
      <w:r>
        <w:t xml:space="preserve"> </w:t>
      </w:r>
      <w:r>
        <w:t xml:space="preserve">Lente de contacto induzindo miopia de -1.25 a -1.50 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Período de Teste:</w:t>
      </w:r>
    </w:p>
    <w:p>
      <w:pPr>
        <w:pStyle w:val="Compact"/>
        <w:numPr>
          <w:ilvl w:val="1"/>
          <w:numId w:val="1030"/>
        </w:numPr>
      </w:pPr>
      <w:r>
        <w:t xml:space="preserve">Mínimo: 3-5 dias</w:t>
      </w:r>
    </w:p>
    <w:p>
      <w:pPr>
        <w:pStyle w:val="Compact"/>
        <w:numPr>
          <w:ilvl w:val="1"/>
          <w:numId w:val="1030"/>
        </w:numPr>
      </w:pPr>
      <w:r>
        <w:t xml:space="preserve">Ideal: 7-10 dias (permite neuroadaptação inicial)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Avaliação:</w:t>
      </w:r>
    </w:p>
    <w:p>
      <w:pPr>
        <w:pStyle w:val="FirstParagraph"/>
      </w:pPr>
      <w:r>
        <w:rPr>
          <w:b/>
          <w:bCs/>
        </w:rPr>
        <w:t xml:space="preserve">Sucesso (Prosseguir Cirurgia):</w:t>
      </w:r>
      <w:r>
        <w:t xml:space="preserve"> </w:t>
      </w:r>
      <w:r>
        <w:t xml:space="preserve">- Visão binocular confortável</w:t>
      </w:r>
      <w:r>
        <w:t xml:space="preserve"> </w:t>
      </w:r>
      <w:r>
        <w:t xml:space="preserve">- Leitura funcional sem óculos</w:t>
      </w:r>
      <w:r>
        <w:t xml:space="preserve"> </w:t>
      </w:r>
      <w:r>
        <w:t xml:space="preserve">- Sem tontura, náusea ou desequilíbrio</w:t>
      </w:r>
      <w:r>
        <w:t xml:space="preserve"> </w:t>
      </w:r>
      <w:r>
        <w:t xml:space="preserve">- Condução sem limitações</w:t>
      </w:r>
    </w:p>
    <w:p>
      <w:pPr>
        <w:pStyle w:val="BodyText"/>
      </w:pPr>
      <w:r>
        <w:rPr>
          <w:b/>
          <w:bCs/>
        </w:rPr>
        <w:t xml:space="preserve">Falha (Contraindicação):</w:t>
      </w:r>
      <w:r>
        <w:t xml:space="preserve"> </w:t>
      </w:r>
      <w:r>
        <w:t xml:space="preserve">- Queixas de</w:t>
      </w:r>
      <w:r>
        <w:t xml:space="preserve"> </w:t>
      </w:r>
      <w:r>
        <w:t xml:space="preserve">“visão estranha”</w:t>
      </w:r>
      <w:r>
        <w:t xml:space="preserve"> </w:t>
      </w:r>
      <w:r>
        <w:t xml:space="preserve">persistentes</w:t>
      </w:r>
      <w:r>
        <w:t xml:space="preserve"> </w:t>
      </w:r>
      <w:r>
        <w:t xml:space="preserve">- Tontura ou náusea</w:t>
      </w:r>
      <w:r>
        <w:t xml:space="preserve"> </w:t>
      </w:r>
      <w:r>
        <w:t xml:space="preserve">- Dificuldade em tarefas de percepção de profundidade (estacionar, subir escadas)</w:t>
      </w:r>
      <w:r>
        <w:t xml:space="preserve"> </w:t>
      </w:r>
      <w:r>
        <w:t xml:space="preserve">- Paciente remove lente de contacto frequentemente</w:t>
      </w:r>
    </w:p>
    <w:p>
      <w:pPr>
        <w:pStyle w:val="BodyText"/>
      </w:pPr>
      <w:r>
        <w:rPr>
          <w:b/>
          <w:bCs/>
        </w:rPr>
        <w:t xml:space="preserve">Taxa de Intolerância na Literatura:</w:t>
      </w:r>
      <w:r>
        <w:t xml:space="preserve"> </w:t>
      </w:r>
      <w:r>
        <w:t xml:space="preserve">10-15% dos pacientes falham teste de monovisão [7]</w:t>
      </w:r>
    </w:p>
    <w:bookmarkEnd w:id="32"/>
    <w:bookmarkStart w:id="33" w:name="X2f907ea3e7b61c9c7d9fd57151b86bc00aacbe6"/>
    <w:p>
      <w:pPr>
        <w:pStyle w:val="Heading3"/>
      </w:pPr>
      <w:r>
        <w:t xml:space="preserve">3.4.2. Simulação Visual com Software (iTrace Vision Simulator)</w:t>
      </w:r>
    </w:p>
    <w:p>
      <w:pPr>
        <w:pStyle w:val="FirstParagraph"/>
      </w:pPr>
      <w:r>
        <w:t xml:space="preserve">Permite ao paciente</w:t>
      </w:r>
      <w:r>
        <w:t xml:space="preserve"> </w:t>
      </w:r>
      <w:r>
        <w:t xml:space="preserve">“ver”</w:t>
      </w:r>
      <w:r>
        <w:t xml:space="preserve"> </w:t>
      </w:r>
      <w:r>
        <w:t xml:space="preserve">como será a sua visão pós-cirurgia através de: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Captura de Frente de Onda Pré-Operatória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Modelação do Tratamento Planeado</w:t>
      </w:r>
      <w:r>
        <w:t xml:space="preserve"> </w:t>
      </w:r>
      <w:r>
        <w:t xml:space="preserve">(incorporando Q-target, SA induzida)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Cálculo de Frente de Onda Pós-Operatória Prevista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Geração de Imagens Simuladas:</w:t>
      </w:r>
    </w:p>
    <w:p>
      <w:pPr>
        <w:pStyle w:val="Compact"/>
        <w:numPr>
          <w:ilvl w:val="1"/>
          <w:numId w:val="1032"/>
        </w:numPr>
      </w:pPr>
      <w:r>
        <w:t xml:space="preserve">Leitura de texto (jornal, menu)</w:t>
      </w:r>
    </w:p>
    <w:p>
      <w:pPr>
        <w:pStyle w:val="Compact"/>
        <w:numPr>
          <w:ilvl w:val="1"/>
          <w:numId w:val="1032"/>
        </w:numPr>
      </w:pPr>
      <w:r>
        <w:t xml:space="preserve">Cena noturna (luzes de automóveis, street lights)</w:t>
      </w:r>
    </w:p>
    <w:p>
      <w:pPr>
        <w:pStyle w:val="Compact"/>
        <w:numPr>
          <w:ilvl w:val="1"/>
          <w:numId w:val="1032"/>
        </w:numPr>
      </w:pPr>
      <w:r>
        <w:t xml:space="preserve">Rosto humano (reconhecimento facial)</w:t>
      </w:r>
    </w:p>
    <w:p>
      <w:pPr>
        <w:pStyle w:val="FirstParagraph"/>
      </w:pPr>
      <w:r>
        <w:rPr>
          <w:b/>
          <w:bCs/>
        </w:rPr>
        <w:t xml:space="preserve">Valor Clínico:</w:t>
      </w:r>
      <w:r>
        <w:br/>
      </w:r>
      <w:r>
        <w:t xml:space="preserve">Gestão de expectativas e consentimento informado visual. Paciente pode rejeitar cirurgia ao ver simulação de halos noturnos.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ntraindicações-absolutas-e-relativas"/>
    <w:p>
      <w:pPr>
        <w:pStyle w:val="Heading2"/>
      </w:pPr>
      <w:r>
        <w:t xml:space="preserve">3.5. Contraindicações: Absolutas e Relativas</w:t>
      </w:r>
    </w:p>
    <w:bookmarkStart w:id="35" w:name="contraindicações-absolutas"/>
    <w:p>
      <w:pPr>
        <w:pStyle w:val="Heading3"/>
      </w:pPr>
      <w:r>
        <w:t xml:space="preserve">3.5.1. Contraindicações Absolutas</w:t>
      </w:r>
    </w:p>
    <w:p>
      <w:pPr>
        <w:pStyle w:val="FirstParagraph"/>
      </w:pPr>
      <w:r>
        <w:rPr>
          <w:b/>
          <w:bCs/>
        </w:rPr>
        <w:t xml:space="preserve">Não operar sob qualquer circunstância: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Queratocone ou Ectasia Corneana:</w:t>
      </w:r>
    </w:p>
    <w:p>
      <w:pPr>
        <w:pStyle w:val="Compact"/>
        <w:numPr>
          <w:ilvl w:val="1"/>
          <w:numId w:val="1034"/>
        </w:numPr>
      </w:pPr>
      <w:r>
        <w:t xml:space="preserve">Diagnóstico clínico ou topográfico (BAD-D &gt;2.60)</w:t>
      </w:r>
    </w:p>
    <w:p>
      <w:pPr>
        <w:pStyle w:val="Compact"/>
        <w:numPr>
          <w:ilvl w:val="1"/>
          <w:numId w:val="1034"/>
        </w:numPr>
      </w:pPr>
      <w:r>
        <w:t xml:space="preserve">Pellucid marginal degeneration</w:t>
      </w:r>
    </w:p>
    <w:p>
      <w:pPr>
        <w:pStyle w:val="Compact"/>
        <w:numPr>
          <w:ilvl w:val="1"/>
          <w:numId w:val="1034"/>
        </w:numPr>
      </w:pPr>
      <w:r>
        <w:t xml:space="preserve">Ectasia pós-LASIK prévia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Catarata Clinicamente Significativa:</w:t>
      </w:r>
    </w:p>
    <w:p>
      <w:pPr>
        <w:pStyle w:val="Compact"/>
        <w:numPr>
          <w:ilvl w:val="1"/>
          <w:numId w:val="1035"/>
        </w:numPr>
      </w:pPr>
      <w:r>
        <w:t xml:space="preserve">LOCS III ≥3</w:t>
      </w:r>
    </w:p>
    <w:p>
      <w:pPr>
        <w:pStyle w:val="Compact"/>
        <w:numPr>
          <w:ilvl w:val="1"/>
          <w:numId w:val="1035"/>
        </w:numPr>
      </w:pPr>
      <w:r>
        <w:t xml:space="preserve">BCVA afetada pela opacidade lenticular</w:t>
      </w:r>
    </w:p>
    <w:p>
      <w:pPr>
        <w:pStyle w:val="Compact"/>
        <w:numPr>
          <w:ilvl w:val="1"/>
          <w:numId w:val="1035"/>
        </w:numPr>
      </w:pPr>
      <w:r>
        <w:t xml:space="preserve">OSI &gt;3.0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Doença Autoimune Ativa Não Controlada:</w:t>
      </w:r>
    </w:p>
    <w:p>
      <w:pPr>
        <w:pStyle w:val="Compact"/>
        <w:numPr>
          <w:ilvl w:val="1"/>
          <w:numId w:val="1036"/>
        </w:numPr>
      </w:pPr>
      <w:r>
        <w:t xml:space="preserve">Síndrome de Sjögren</w:t>
      </w:r>
    </w:p>
    <w:p>
      <w:pPr>
        <w:pStyle w:val="Compact"/>
        <w:numPr>
          <w:ilvl w:val="1"/>
          <w:numId w:val="1036"/>
        </w:numPr>
      </w:pPr>
      <w:r>
        <w:t xml:space="preserve">Lúpus eritematoso sistémico</w:t>
      </w:r>
    </w:p>
    <w:p>
      <w:pPr>
        <w:pStyle w:val="Compact"/>
        <w:numPr>
          <w:ilvl w:val="1"/>
          <w:numId w:val="1036"/>
        </w:numPr>
      </w:pPr>
      <w:r>
        <w:t xml:space="preserve">Artrite reumatoide com envolvimento ocular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Olho Seco Severo:</w:t>
      </w:r>
    </w:p>
    <w:p>
      <w:pPr>
        <w:pStyle w:val="Compact"/>
        <w:numPr>
          <w:ilvl w:val="1"/>
          <w:numId w:val="1037"/>
        </w:numPr>
      </w:pPr>
      <w:r>
        <w:t xml:space="preserve">OSDI &gt;32</w:t>
      </w:r>
    </w:p>
    <w:p>
      <w:pPr>
        <w:pStyle w:val="Compact"/>
        <w:numPr>
          <w:ilvl w:val="1"/>
          <w:numId w:val="1037"/>
        </w:numPr>
      </w:pPr>
      <w:r>
        <w:t xml:space="preserve">Schirmer &lt;3 mm</w:t>
      </w:r>
    </w:p>
    <w:p>
      <w:pPr>
        <w:pStyle w:val="Compact"/>
        <w:numPr>
          <w:ilvl w:val="1"/>
          <w:numId w:val="1037"/>
        </w:numPr>
      </w:pPr>
      <w:r>
        <w:t xml:space="preserve">Ceratopatia punctata grau 3-4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Expectativas Irrealistas Documentadas:</w:t>
      </w:r>
    </w:p>
    <w:p>
      <w:pPr>
        <w:pStyle w:val="Compact"/>
        <w:numPr>
          <w:ilvl w:val="1"/>
          <w:numId w:val="1038"/>
        </w:numPr>
      </w:pPr>
      <w:r>
        <w:t xml:space="preserve">“Quero ver como via aos 20 anos”</w:t>
      </w:r>
    </w:p>
    <w:p>
      <w:pPr>
        <w:pStyle w:val="Compact"/>
        <w:numPr>
          <w:ilvl w:val="1"/>
          <w:numId w:val="1038"/>
        </w:numPr>
      </w:pPr>
      <w:r>
        <w:t xml:space="preserve">“Não aceito halos ou qualquer perda de qualidade visual”</w:t>
      </w:r>
    </w:p>
    <w:p>
      <w:pPr>
        <w:pStyle w:val="Compact"/>
        <w:numPr>
          <w:ilvl w:val="1"/>
          <w:numId w:val="1038"/>
        </w:numPr>
      </w:pPr>
      <w:r>
        <w:t xml:space="preserve">Recusa do teste de lente de contacto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Instabilidade Refrativa:</w:t>
      </w:r>
    </w:p>
    <w:p>
      <w:pPr>
        <w:pStyle w:val="Compact"/>
        <w:numPr>
          <w:ilvl w:val="1"/>
          <w:numId w:val="1039"/>
        </w:numPr>
      </w:pPr>
      <w:r>
        <w:t xml:space="preserve">Mudança &gt;0.50 D em 12 meses</w:t>
      </w:r>
    </w:p>
    <w:p>
      <w:pPr>
        <w:pStyle w:val="Compact"/>
        <w:numPr>
          <w:ilvl w:val="1"/>
          <w:numId w:val="1039"/>
        </w:numPr>
      </w:pPr>
      <w:r>
        <w:t xml:space="preserve">Gravidez ou lactação</w:t>
      </w:r>
    </w:p>
    <w:p>
      <w:pPr>
        <w:pStyle w:val="Compact"/>
        <w:numPr>
          <w:ilvl w:val="1"/>
          <w:numId w:val="1039"/>
        </w:numPr>
      </w:pPr>
      <w:r>
        <w:t xml:space="preserve">Uso de medicação que afeta refração (corticoides sistémicos, tamoxifeno)</w:t>
      </w:r>
    </w:p>
    <w:bookmarkEnd w:id="35"/>
    <w:bookmarkStart w:id="36" w:name="contraindicações-relativas"/>
    <w:p>
      <w:pPr>
        <w:pStyle w:val="Heading3"/>
      </w:pPr>
      <w:r>
        <w:t xml:space="preserve">3.5.2. Contraindicações Relativas</w:t>
      </w:r>
    </w:p>
    <w:p>
      <w:pPr>
        <w:pStyle w:val="FirstParagraph"/>
      </w:pPr>
      <w:r>
        <w:rPr>
          <w:b/>
          <w:bCs/>
        </w:rPr>
        <w:t xml:space="preserve">Prosseguir com extrema cautela ou considerar alternativas: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Profissões de Alta Demanda Visual: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Pilotos comerciais:</w:t>
      </w:r>
      <w:r>
        <w:t xml:space="preserve"> </w:t>
      </w:r>
      <w:r>
        <w:t xml:space="preserve">Regulamentação pode não permitir multifocalidade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Condutores profissionais noturnos:</w:t>
      </w:r>
      <w:r>
        <w:t xml:space="preserve"> </w:t>
      </w:r>
      <w:r>
        <w:t xml:space="preserve">Halos podem comprometer segurança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Cirurgiões, dentistas:</w:t>
      </w:r>
      <w:r>
        <w:t xml:space="preserve"> </w:t>
      </w:r>
      <w:r>
        <w:t xml:space="preserve">Perda de sensibilidade ao contraste em distâncias intermediárias críticas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Engenheiros, arquitetos:</w:t>
      </w:r>
      <w:r>
        <w:t xml:space="preserve"> </w:t>
      </w:r>
      <w:r>
        <w:t xml:space="preserve">Precisão visual extrema necessária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Ângulo Kappa &gt;0.60 mm:</w:t>
      </w:r>
    </w:p>
    <w:p>
      <w:pPr>
        <w:pStyle w:val="Compact"/>
        <w:numPr>
          <w:ilvl w:val="1"/>
          <w:numId w:val="1042"/>
        </w:numPr>
      </w:pPr>
      <w:r>
        <w:t xml:space="preserve">Alto risco de descentramento e coma</w:t>
      </w:r>
    </w:p>
    <w:p>
      <w:pPr>
        <w:pStyle w:val="Compact"/>
        <w:numPr>
          <w:ilvl w:val="1"/>
          <w:numId w:val="1042"/>
        </w:numPr>
      </w:pPr>
      <w:r>
        <w:t xml:space="preserve">Alternativa: Monovisão pura sem perfil asférico multifocal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Pupila Mesópica &gt;7.0 mm:</w:t>
      </w:r>
    </w:p>
    <w:p>
      <w:pPr>
        <w:pStyle w:val="Compact"/>
        <w:numPr>
          <w:ilvl w:val="1"/>
          <w:numId w:val="1043"/>
        </w:numPr>
      </w:pPr>
      <w:r>
        <w:t xml:space="preserve">Magnificação excessiva de aberrações</w:t>
      </w:r>
    </w:p>
    <w:p>
      <w:pPr>
        <w:pStyle w:val="Compact"/>
        <w:numPr>
          <w:ilvl w:val="1"/>
          <w:numId w:val="1043"/>
        </w:numPr>
      </w:pPr>
      <w:r>
        <w:t xml:space="preserve">Halos noturnos intoleráveis</w:t>
      </w:r>
    </w:p>
    <w:p>
      <w:pPr>
        <w:pStyle w:val="Compact"/>
        <w:numPr>
          <w:ilvl w:val="1"/>
          <w:numId w:val="1043"/>
        </w:numPr>
      </w:pPr>
      <w:r>
        <w:t xml:space="preserve">Alternativa: Reduzir SA target ou considerar RLE com IOL de pupila-independente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Córnea Plana (K &lt;40.00 D):</w:t>
      </w:r>
    </w:p>
    <w:p>
      <w:pPr>
        <w:pStyle w:val="Compact"/>
        <w:numPr>
          <w:ilvl w:val="1"/>
          <w:numId w:val="1044"/>
        </w:numPr>
      </w:pPr>
      <w:r>
        <w:t xml:space="preserve">Resposta biomecânica imprevisível</w:t>
      </w:r>
    </w:p>
    <w:p>
      <w:pPr>
        <w:pStyle w:val="Compact"/>
        <w:numPr>
          <w:ilvl w:val="1"/>
          <w:numId w:val="1044"/>
        </w:numPr>
      </w:pPr>
      <w:r>
        <w:t xml:space="preserve">Alta taxa de hipocorreção e regressão</w:t>
      </w:r>
    </w:p>
    <w:p>
      <w:pPr>
        <w:pStyle w:val="Compact"/>
        <w:numPr>
          <w:ilvl w:val="1"/>
          <w:numId w:val="1044"/>
        </w:numPr>
      </w:pPr>
      <w:r>
        <w:t xml:space="preserve">Alternativa: RLE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História de Depressão ou Ansiedade:</w:t>
      </w:r>
    </w:p>
    <w:p>
      <w:pPr>
        <w:pStyle w:val="Compact"/>
        <w:numPr>
          <w:ilvl w:val="1"/>
          <w:numId w:val="1045"/>
        </w:numPr>
      </w:pPr>
      <w:r>
        <w:t xml:space="preserve">Período de neuroadaptação pode ser psicologicamente desafiante</w:t>
      </w:r>
    </w:p>
    <w:p>
      <w:pPr>
        <w:pStyle w:val="Compact"/>
        <w:numPr>
          <w:ilvl w:val="1"/>
          <w:numId w:val="1045"/>
        </w:numPr>
      </w:pPr>
      <w:r>
        <w:t xml:space="preserve">Necessário apoio psicológico e follow-up frequente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Diabetes Mellitus:</w:t>
      </w:r>
    </w:p>
    <w:p>
      <w:pPr>
        <w:pStyle w:val="Compact"/>
        <w:numPr>
          <w:ilvl w:val="1"/>
          <w:numId w:val="1046"/>
        </w:numPr>
      </w:pPr>
      <w:r>
        <w:t xml:space="preserve">Controlo glicémico deve ser rigoroso (HbA1c &lt;7.0%)</w:t>
      </w:r>
    </w:p>
    <w:p>
      <w:pPr>
        <w:pStyle w:val="Compact"/>
        <w:numPr>
          <w:ilvl w:val="1"/>
          <w:numId w:val="1046"/>
        </w:numPr>
      </w:pPr>
      <w:r>
        <w:t xml:space="preserve">Sem retinopatia diabética</w:t>
      </w:r>
    </w:p>
    <w:p>
      <w:pPr>
        <w:pStyle w:val="Compact"/>
        <w:numPr>
          <w:ilvl w:val="1"/>
          <w:numId w:val="1046"/>
        </w:numPr>
      </w:pPr>
      <w:r>
        <w:t xml:space="preserve">Risco aumentado de cicatrização irregular e flutuação refrativa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54da14bf727d593432f2f92acbfaf3c6a5d6343"/>
    <w:p>
      <w:pPr>
        <w:pStyle w:val="Heading2"/>
      </w:pPr>
      <w:r>
        <w:t xml:space="preserve">3.6. Consentimento Informado: Documentação de Riscos Específicos</w:t>
      </w:r>
    </w:p>
    <w:p>
      <w:pPr>
        <w:pStyle w:val="FirstParagraph"/>
      </w:pPr>
      <w:r>
        <w:t xml:space="preserve">Para além do consentimento cirúrgico padrão, o PresbyLASIK exige documentação explícita de:</w:t>
      </w:r>
    </w:p>
    <w:bookmarkStart w:id="38" w:name="riscos-e-limitações-a-documentar"/>
    <w:p>
      <w:pPr>
        <w:pStyle w:val="Heading3"/>
      </w:pPr>
      <w:r>
        <w:t xml:space="preserve">Riscos e Limitações a Documentar: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Halos e Glare Noturnos:</w:t>
      </w:r>
    </w:p>
    <w:p>
      <w:pPr>
        <w:pStyle w:val="Compact"/>
        <w:numPr>
          <w:ilvl w:val="1"/>
          <w:numId w:val="1048"/>
        </w:numPr>
      </w:pPr>
      <w:r>
        <w:t xml:space="preserve">Presente em &gt;70% dos pacientes nos primeiros 3 meses</w:t>
      </w:r>
    </w:p>
    <w:p>
      <w:pPr>
        <w:pStyle w:val="Compact"/>
        <w:numPr>
          <w:ilvl w:val="1"/>
          <w:numId w:val="1048"/>
        </w:numPr>
      </w:pPr>
      <w:r>
        <w:t xml:space="preserve">Permanente em ~15-20% (geralmente tolerável)</w:t>
      </w:r>
    </w:p>
    <w:p>
      <w:pPr>
        <w:pStyle w:val="Compact"/>
        <w:numPr>
          <w:ilvl w:val="1"/>
          <w:numId w:val="1048"/>
        </w:numPr>
      </w:pPr>
      <w:r>
        <w:t xml:space="preserve">Pode limitar condução noturna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Redução de Contraste:</w:t>
      </w:r>
    </w:p>
    <w:p>
      <w:pPr>
        <w:pStyle w:val="Compact"/>
        <w:numPr>
          <w:ilvl w:val="1"/>
          <w:numId w:val="1049"/>
        </w:numPr>
      </w:pPr>
      <w:r>
        <w:t xml:space="preserve">Perda de ~0.1-0.3 log units em sensibilidade ao contraste</w:t>
      </w:r>
    </w:p>
    <w:p>
      <w:pPr>
        <w:pStyle w:val="Compact"/>
        <w:numPr>
          <w:ilvl w:val="1"/>
          <w:numId w:val="1049"/>
        </w:numPr>
      </w:pPr>
      <w:r>
        <w:t xml:space="preserve">Mais evidente em condições de baixa luminância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Necessidade de Óculos Residuais:</w:t>
      </w:r>
    </w:p>
    <w:p>
      <w:pPr>
        <w:pStyle w:val="Compact"/>
        <w:numPr>
          <w:ilvl w:val="1"/>
          <w:numId w:val="1050"/>
        </w:numPr>
      </w:pPr>
      <w:r>
        <w:t xml:space="preserve">Para condução noturna prolongada: ~30% necessitam</w:t>
      </w:r>
    </w:p>
    <w:p>
      <w:pPr>
        <w:pStyle w:val="Compact"/>
        <w:numPr>
          <w:ilvl w:val="1"/>
          <w:numId w:val="1050"/>
        </w:numPr>
      </w:pPr>
      <w:r>
        <w:t xml:space="preserve">Para leitura prolongada (&gt;1 hora): ~20% necessitam</w:t>
      </w:r>
    </w:p>
    <w:p>
      <w:pPr>
        <w:pStyle w:val="Compact"/>
        <w:numPr>
          <w:ilvl w:val="1"/>
          <w:numId w:val="1050"/>
        </w:numPr>
      </w:pPr>
      <w:r>
        <w:t xml:space="preserve">“Spectacle independence”</w:t>
      </w:r>
      <w:r>
        <w:t xml:space="preserve"> </w:t>
      </w:r>
      <w:r>
        <w:t xml:space="preserve">vs. </w:t>
      </w:r>
      <w:r>
        <w:t xml:space="preserve">“Spectacle freedom”</w:t>
      </w:r>
      <w:r>
        <w:t xml:space="preserve"> </w:t>
      </w:r>
      <w:r>
        <w:t xml:space="preserve">(diferença semântica crítica)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Período de Neuroadaptação:</w:t>
      </w:r>
    </w:p>
    <w:p>
      <w:pPr>
        <w:pStyle w:val="Compact"/>
        <w:numPr>
          <w:ilvl w:val="1"/>
          <w:numId w:val="1051"/>
        </w:numPr>
      </w:pPr>
      <w:r>
        <w:t xml:space="preserve">3-6 meses para estabilização completa</w:t>
      </w:r>
    </w:p>
    <w:p>
      <w:pPr>
        <w:pStyle w:val="Compact"/>
        <w:numPr>
          <w:ilvl w:val="1"/>
          <w:numId w:val="1051"/>
        </w:numPr>
      </w:pPr>
      <w:r>
        <w:t xml:space="preserve">Visão flutuante inicial</w:t>
      </w:r>
    </w:p>
    <w:p>
      <w:pPr>
        <w:pStyle w:val="Compact"/>
        <w:numPr>
          <w:ilvl w:val="1"/>
          <w:numId w:val="1051"/>
        </w:numPr>
      </w:pPr>
      <w:r>
        <w:t xml:space="preserve">“Semana do arrependimento”</w:t>
      </w:r>
      <w:r>
        <w:t xml:space="preserve"> </w:t>
      </w:r>
      <w:r>
        <w:t xml:space="preserve">(primeira semana pós-operatória)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Taxa de Retoque Cirúrgico:</w:t>
      </w:r>
    </w:p>
    <w:p>
      <w:pPr>
        <w:pStyle w:val="Compact"/>
        <w:numPr>
          <w:ilvl w:val="1"/>
          <w:numId w:val="1052"/>
        </w:numPr>
      </w:pPr>
      <w:r>
        <w:t xml:space="preserve">10-20% dos pacientes requerem ajuste refrativo</w:t>
      </w:r>
    </w:p>
    <w:p>
      <w:pPr>
        <w:pStyle w:val="Compact"/>
        <w:numPr>
          <w:ilvl w:val="1"/>
          <w:numId w:val="1052"/>
        </w:numPr>
      </w:pPr>
      <w:r>
        <w:t xml:space="preserve">Geralmente após 6-12 meses (após estabilização)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Não-Reversibilidade:</w:t>
      </w:r>
    </w:p>
    <w:p>
      <w:pPr>
        <w:pStyle w:val="Compact"/>
        <w:numPr>
          <w:ilvl w:val="1"/>
          <w:numId w:val="1053"/>
        </w:numPr>
      </w:pPr>
      <w:r>
        <w:t xml:space="preserve">Alteração permanente da curvatura corneana</w:t>
      </w:r>
    </w:p>
    <w:p>
      <w:pPr>
        <w:pStyle w:val="Compact"/>
        <w:numPr>
          <w:ilvl w:val="1"/>
          <w:numId w:val="1053"/>
        </w:numPr>
      </w:pPr>
      <w:r>
        <w:t xml:space="preserve">Reversão completa é impossível (pode atenuar-se com ablação subsequente, mas não eliminar totalmente)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ferências-bibliográficas"/>
    <w:p>
      <w:pPr>
        <w:pStyle w:val="Heading2"/>
      </w:pPr>
      <w:r>
        <w:t xml:space="preserve">Referências Bibliográficas</w:t>
      </w:r>
    </w:p>
    <w:p>
      <w:pPr>
        <w:numPr>
          <w:ilvl w:val="0"/>
          <w:numId w:val="1054"/>
        </w:numPr>
      </w:pPr>
      <w:r>
        <w:t xml:space="preserve">Alió JL, Amparo F, Ortiz D, Moreno L. Corneal multifocality with excimer laser for presbyopia correction.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2009;20(4):264-271. doi:10.1097/ICU.0b013e32832a7ded</w:t>
      </w:r>
    </w:p>
    <w:p>
      <w:pPr>
        <w:numPr>
          <w:ilvl w:val="0"/>
          <w:numId w:val="1054"/>
        </w:numPr>
      </w:pPr>
      <w:r>
        <w:t xml:space="preserve">Luger MH, Ewering T, Arba-Mosquera S. Consecutive myopic LASIK and photorefractive keratectomy for presbyopia and myopia.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2012;28(1):17-23. doi:10.3928/1081597X-20111103-01</w:t>
      </w:r>
    </w:p>
    <w:p>
      <w:pPr>
        <w:numPr>
          <w:ilvl w:val="0"/>
          <w:numId w:val="1054"/>
        </w:numPr>
      </w:pPr>
      <w:r>
        <w:t xml:space="preserve">Reinstein DZ, Archer TJ, Gobbe M. LASIK for myopic astigmatism and presbyopia using non-linear aspheric micro-monovision with the Carl Zeiss Meditec MEL 80.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2011;27(1):23-37. doi:10.3928/1081597X-20100212-04</w:t>
      </w:r>
    </w:p>
    <w:p>
      <w:pPr>
        <w:numPr>
          <w:ilvl w:val="0"/>
          <w:numId w:val="1054"/>
        </w:numPr>
      </w:pPr>
      <w:r>
        <w:t xml:space="preserve">Alió JL, Chaubard JJ, Caliz A, Sala E, Patel S. Correction of presbyopia by technovision central multifocal LASIK (presbyLASIK).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2006;22(5):453-460.</w:t>
      </w:r>
    </w:p>
    <w:p>
      <w:pPr>
        <w:numPr>
          <w:ilvl w:val="0"/>
          <w:numId w:val="1054"/>
        </w:numPr>
      </w:pPr>
      <w:r>
        <w:t xml:space="preserve">Epstein RL, Gurgos MA. Presbyopia treatment by monovision.</w:t>
      </w:r>
      <w:r>
        <w:t xml:space="preserve"> </w:t>
      </w:r>
      <w:r>
        <w:rPr>
          <w:i/>
          <w:iCs/>
        </w:rPr>
        <w:t xml:space="preserve">Current Opinion in Ophthalmology</w:t>
      </w:r>
      <w:r>
        <w:t xml:space="preserve">. 2009;20(4):238-240. doi:10.1097/ICU.0b013e32832a7dfa</w:t>
      </w:r>
    </w:p>
    <w:p>
      <w:pPr>
        <w:numPr>
          <w:ilvl w:val="0"/>
          <w:numId w:val="1054"/>
        </w:numPr>
      </w:pPr>
      <w:r>
        <w:t xml:space="preserve">Luger MH, McAlinden C, Buckhurst PJ, Wolffsohn JS, Verma S, Arba Mosquera S. Presbyopic LASIK using hybrid bi-aspheric micro-monovision ablation profile for presbyopic corneal treatment.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2015;160(3):493-505. doi:10.1016/j.ajo.2015.05.021</w:t>
      </w:r>
    </w:p>
    <w:p>
      <w:pPr>
        <w:numPr>
          <w:ilvl w:val="0"/>
          <w:numId w:val="1054"/>
        </w:numPr>
      </w:pPr>
      <w:r>
        <w:t xml:space="preserve">Evans BJ. Monovision: a review.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. 2007;27(5):417-439. doi:10.1111/j.1475-1313.2007.00488.x</w:t>
      </w:r>
    </w:p>
    <w:p>
      <w:pPr>
        <w:numPr>
          <w:ilvl w:val="0"/>
          <w:numId w:val="1054"/>
        </w:numPr>
      </w:pPr>
      <w:r>
        <w:t xml:space="preserve">Ambrósio R Jr, Belin MW. Imaging of the cornea: topography vs tomography.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2010;26(11):847-849. doi:10.3928/1081597X-20101006-01</w:t>
      </w:r>
    </w:p>
    <w:p>
      <w:pPr>
        <w:numPr>
          <w:ilvl w:val="0"/>
          <w:numId w:val="1054"/>
        </w:numPr>
      </w:pPr>
      <w:r>
        <w:t xml:space="preserve">Randleman JB, Trattler WB, Stulting RD. Validation of the Ectasia Risk Score System for preoperative laser in situ keratomileusis screening.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2008;145(5):813-818. doi:10.1016/j.ajo.2007.12.033</w:t>
      </w:r>
    </w:p>
    <w:p>
      <w:pPr>
        <w:numPr>
          <w:ilvl w:val="0"/>
          <w:numId w:val="1054"/>
        </w:numPr>
      </w:pPr>
      <w:r>
        <w:t xml:space="preserve">Rocha KM, Waring GO IV, Stulting RD. Dysfunctional lens index: a new method to assess vision quality in pseudophakic and non-pseudophakic patients.</w:t>
      </w:r>
      <w:r>
        <w:t xml:space="preserve"> </w:t>
      </w:r>
      <w:r>
        <w:rPr>
          <w:i/>
          <w:iCs/>
        </w:rPr>
        <w:t xml:space="preserve">Journal of Cataract &amp; Refractive Surgery</w:t>
      </w:r>
      <w:r>
        <w:t xml:space="preserve">. 2016;42(5):738-744. doi:10.1016/j.jcrs.2016.02.024</w:t>
      </w:r>
    </w:p>
    <w:p>
      <w:pPr>
        <w:numPr>
          <w:ilvl w:val="0"/>
          <w:numId w:val="1054"/>
        </w:numPr>
      </w:pPr>
      <w:r>
        <w:t xml:space="preserve">Reinstein DZ, Archer TJ, Gobbe M. The corneal light reflex, pupil centre, and visual axis in refractive surgery.</w:t>
      </w:r>
      <w:r>
        <w:t xml:space="preserve"> </w:t>
      </w:r>
      <w:r>
        <w:rPr>
          <w:i/>
          <w:iCs/>
        </w:rPr>
        <w:t xml:space="preserve">Journal of Refractive Surgery</w:t>
      </w:r>
      <w:r>
        <w:t xml:space="preserve">. 2009;25(12):1071-1074. doi:10.3928/1081597X-20091117-04</w:t>
      </w:r>
    </w:p>
    <w:p>
      <w:pPr>
        <w:numPr>
          <w:ilvl w:val="0"/>
          <w:numId w:val="1054"/>
        </w:numPr>
      </w:pPr>
      <w:r>
        <w:t xml:space="preserve">Lemp MA, Bron AJ, Baudouin C, et al. Tear osmolarity in the diagnosis and management of olho seco disease.</w:t>
      </w:r>
      <w:r>
        <w:t xml:space="preserve"> </w:t>
      </w:r>
      <w:r>
        <w:rPr>
          <w:i/>
          <w:iCs/>
        </w:rPr>
        <w:t xml:space="preserve">American Journal of Ophthalmology</w:t>
      </w:r>
      <w:r>
        <w:t xml:space="preserve">. 2011;151(5):792-798. doi:10.1016/j.ajo.2010.10.032</w:t>
      </w:r>
    </w:p>
    <w:p>
      <w:pPr>
        <w:numPr>
          <w:ilvl w:val="0"/>
          <w:numId w:val="1054"/>
        </w:numPr>
      </w:pPr>
      <w:r>
        <w:t xml:space="preserve">Blackie CA, Korb DR, Knop E, Bedi R, Knop N, Holland EJ. Nonobvious obstructive meibomian gland dysfunction.</w:t>
      </w:r>
      <w:r>
        <w:t xml:space="preserve"> </w:t>
      </w:r>
      <w:r>
        <w:rPr>
          <w:i/>
          <w:iCs/>
        </w:rPr>
        <w:t xml:space="preserve">Cornea</w:t>
      </w:r>
      <w:r>
        <w:t xml:space="preserve">. 2010;29(12):1333-1345. doi:10.1097/ICO.0b013e3181d4f366</w:t>
      </w:r>
    </w:p>
    <w:p>
      <w:pPr>
        <w:numPr>
          <w:ilvl w:val="0"/>
          <w:numId w:val="1054"/>
        </w:numPr>
      </w:pPr>
      <w:r>
        <w:t xml:space="preserve">Wright KW, Spiegel PH, Thompson LS.</w:t>
      </w:r>
      <w:r>
        <w:t xml:space="preserve"> </w:t>
      </w:r>
      <w:r>
        <w:rPr>
          <w:i/>
          <w:iCs/>
        </w:rPr>
        <w:t xml:space="preserve">Handbook of Pediatric Strabismus and Amblyopia</w:t>
      </w:r>
      <w:r>
        <w:t xml:space="preserve">. New York: Springer; 2006. (Capítulo sobre dominância ocular)</w:t>
      </w:r>
    </w:p>
    <w:p>
      <w:pPr>
        <w:numPr>
          <w:ilvl w:val="0"/>
          <w:numId w:val="1054"/>
        </w:numPr>
      </w:pPr>
      <w:r>
        <w:t xml:space="preserve">Charman WN. Developments in the correction of presbyopia II: surgical approaches.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. 2014;34(4):397-426. doi:10.1111/opo.12129</w:t>
      </w:r>
    </w:p>
    <w:p>
      <w:r>
        <w:pict>
          <v:rect style="width:0;height:1.5pt" o:hralign="center" o:hrstd="t" o:hr="t"/>
        </w:pict>
      </w:r>
    </w:p>
    <w:bookmarkEnd w:id="40"/>
    <w:bookmarkStart w:id="58" w:name="infográficos-clínicos-sugeridos"/>
    <w:p>
      <w:pPr>
        <w:pStyle w:val="Heading2"/>
      </w:pPr>
      <w:r>
        <w:t xml:space="preserve">Infográficos Clínicos Sugeridos</w:t>
      </w:r>
    </w:p>
    <w:bookmarkStart w:id="41" w:name="X2df66f14f465d5dbe8bb7a622016acf7b550143"/>
    <w:p>
      <w:pPr>
        <w:pStyle w:val="Heading3"/>
      </w:pPr>
      <w:r>
        <w:t xml:space="preserve">Infográfico 3.1: Fluxograma de Decisão</w:t>
      </w:r>
      <w:r>
        <w:t xml:space="preserve"> </w:t>
      </w:r>
      <w:r>
        <w:t xml:space="preserve">“Go / No-Go”</w:t>
      </w:r>
      <w:r>
        <w:t xml:space="preserve"> </w:t>
      </w:r>
      <w:r>
        <w:t xml:space="preserve">(Algoritmo de Triagem)</w:t>
      </w:r>
    </w:p>
    <w:p>
      <w:pPr>
        <w:pStyle w:val="FirstParagraph"/>
      </w:pPr>
      <w:r>
        <w:t xml:space="preserve">Fluxograma de Decisão Clinical UI</w:t>
      </w:r>
      <w:r>
        <w:t xml:space="preserve"> </w:t>
      </w:r>
      <w:r>
        <w:rPr>
          <w:i/>
          <w:iCs/>
        </w:rPr>
        <w:t xml:space="preserve">Figura 3.1: Algoritmo de decisão clínica para triagem de candidatos a cirurgia presbiópica corneana (Interface Clínica).</w:t>
      </w:r>
    </w:p>
    <w:p>
      <w:r>
        <w:pict>
          <v:rect style="width:0;height:1.5pt" o:hralign="center" o:hrstd="t" o:hr="t"/>
        </w:pict>
      </w:r>
    </w:p>
    <w:bookmarkEnd w:id="41"/>
    <w:bookmarkStart w:id="45" w:name="Xf874d390251289619132d3c84aabe70729556b3"/>
    <w:p>
      <w:pPr>
        <w:pStyle w:val="Heading3"/>
      </w:pPr>
      <w:r>
        <w:t xml:space="preserve">Infográfico 3.2: Matriz de Risco – Candidato Ideal vs. Alto Risco</w:t>
      </w:r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Matriz de Risco" title="" id="43" name="Picture"/>
            <a:graphic>
              <a:graphicData uri="http://schemas.openxmlformats.org/drawingml/2006/picture">
                <pic:pic>
                  <pic:nvPicPr>
                    <pic:cNvPr descr="figures/chapter3/risk_matrix_v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3.2: Comparativo visual</w:t>
      </w:r>
      <w:r>
        <w:rPr>
          <w:i/>
          <w:iCs/>
        </w:rPr>
        <w:t xml:space="preserve"> </w:t>
      </w:r>
      <w:r>
        <w:rPr>
          <w:i/>
          <w:iCs/>
        </w:rPr>
        <w:t xml:space="preserve">“Go/No-Go”</w:t>
      </w:r>
      <w:r>
        <w:rPr>
          <w:i/>
          <w:iCs/>
        </w:rPr>
        <w:t xml:space="preserve"> </w:t>
      </w:r>
      <w:r>
        <w:rPr>
          <w:i/>
          <w:iCs/>
        </w:rPr>
        <w:t xml:space="preserve">destacando os perfis polares de candidatos.</w:t>
      </w:r>
    </w:p>
    <w:p>
      <w:r>
        <w:pict>
          <v:rect style="width:0;height:1.5pt" o:hralign="center" o:hrstd="t" o:hr="t"/>
        </w:pict>
      </w:r>
    </w:p>
    <w:bookmarkEnd w:id="45"/>
    <w:bookmarkStart w:id="49" w:name="X75343d86fc321570ca209f116cc8aab49d3c1cc"/>
    <w:p>
      <w:pPr>
        <w:pStyle w:val="Heading3"/>
      </w:pPr>
      <w:r>
        <w:t xml:space="preserve">Infográfico 3.5: Espessura Corneana e Cálculo de RSB (Visual Calculator)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Calculadora Visual de RSB" title="" id="47" name="Picture"/>
            <a:graphic>
              <a:graphicData uri="http://schemas.openxmlformats.org/drawingml/2006/picture">
                <pic:pic>
                  <pic:nvPicPr>
                    <pic:cNvPr descr="figures/chapter3/infographic_3_5_rsb_calculator.md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3.5: Diagrama esquemático ilustrando a</w:t>
      </w:r>
      <w:r>
        <w:rPr>
          <w:i/>
          <w:iCs/>
        </w:rPr>
        <w:t xml:space="preserve"> </w:t>
      </w:r>
      <w:r>
        <w:rPr>
          <w:i/>
          <w:iCs/>
        </w:rPr>
        <w:t xml:space="preserve">“regra de ouro”</w:t>
      </w:r>
      <w:r>
        <w:rPr>
          <w:i/>
          <w:iCs/>
        </w:rPr>
        <w:t xml:space="preserve"> </w:t>
      </w:r>
      <w:r>
        <w:rPr>
          <w:i/>
          <w:iCs/>
        </w:rPr>
        <w:t xml:space="preserve">da segurança biomecânica, contrastando o consumo tecidual com o leito estromal preservado.</w:t>
      </w:r>
    </w:p>
    <w:p>
      <w:r>
        <w:pict>
          <v:rect style="width:0;height:1.5pt" o:hralign="center" o:hrstd="t" o:hr="t"/>
        </w:pict>
      </w:r>
    </w:p>
    <w:bookmarkEnd w:id="49"/>
    <w:bookmarkStart w:id="53" w:name="Xd57e486abff52ff221e9e84c4bc802d33646e95"/>
    <w:p>
      <w:pPr>
        <w:pStyle w:val="Heading3"/>
      </w:pPr>
      <w:r>
        <w:t xml:space="preserve">Infográfico 3.6: O Filtro Psicológico de Holland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O Filtro Psicológico de Holland" title="" id="51" name="Picture"/>
            <a:graphic>
              <a:graphicData uri="http://schemas.openxmlformats.org/drawingml/2006/picture">
                <pic:pic>
                  <pic:nvPicPr>
                    <pic:cNvPr descr="figures/chapter3/infographic_3_6_holland_filter.md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3.6: Matriz de decisão psicofísica correlacionando traços de personalidade (Perfeccionista vs. Adaptativo) com a tolerância ao</w:t>
      </w:r>
      <w:r>
        <w:rPr>
          <w:i/>
          <w:iCs/>
        </w:rPr>
        <w:t xml:space="preserve"> </w:t>
      </w:r>
      <w:r>
        <w:rPr>
          <w:i/>
          <w:iCs/>
        </w:rPr>
        <w:t xml:space="preserve">“blur”</w:t>
      </w:r>
      <w:r>
        <w:rPr>
          <w:i/>
          <w:iCs/>
        </w:rPr>
        <w:t xml:space="preserve"> </w:t>
      </w:r>
      <w:r>
        <w:rPr>
          <w:i/>
          <w:iCs/>
        </w:rPr>
        <w:t xml:space="preserve">induzido cirurgicamente.</w:t>
      </w:r>
    </w:p>
    <w:p>
      <w:r>
        <w:pict>
          <v:rect style="width:0;height:1.5pt" o:hralign="center" o:hrstd="t" o:hr="t"/>
        </w:pict>
      </w:r>
    </w:p>
    <w:bookmarkEnd w:id="53"/>
    <w:bookmarkStart w:id="57" w:name="X9ca6c40d13395bbcbe90a689c5f56eb093926a5"/>
    <w:p>
      <w:pPr>
        <w:pStyle w:val="Heading3"/>
      </w:pPr>
      <w:r>
        <w:t xml:space="preserve">Infográfico 3.7: As Janelas de Oportunidade Cirúrgica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Janelas de Oportunidade Cirúrgica" title="" id="55" name="Picture"/>
            <a:graphic>
              <a:graphicData uri="http://schemas.openxmlformats.org/drawingml/2006/picture">
                <pic:pic>
                  <pic:nvPicPr>
                    <pic:cNvPr descr="figures/chapter3/infographic_3_7_opportunity_windows.md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3.7: Linha do tempo decisional baseada na idade e no estágio de disfunção do cristalino (DLS), definindo o</w:t>
      </w:r>
      <w:r>
        <w:rPr>
          <w:i/>
          <w:iCs/>
        </w:rPr>
        <w:t xml:space="preserve"> </w:t>
      </w:r>
      <w:r>
        <w:rPr>
          <w:i/>
          <w:iCs/>
        </w:rPr>
        <w:t xml:space="preserve">“Gold Standard”</w:t>
      </w:r>
      <w:r>
        <w:rPr>
          <w:i/>
          <w:iCs/>
        </w:rPr>
        <w:t xml:space="preserve"> </w:t>
      </w:r>
      <w:r>
        <w:rPr>
          <w:i/>
          <w:iCs/>
        </w:rPr>
        <w:t xml:space="preserve">para cada década de vida.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Capítulo 3 está agora</w:t>
      </w:r>
      <w:r>
        <w:t xml:space="preserve"> </w:t>
      </w:r>
      <w:r>
        <w:rPr>
          <w:b/>
          <w:bCs/>
        </w:rPr>
        <w:t xml:space="preserve">completo e visualmente estruturado</w:t>
      </w:r>
      <w:r>
        <w:t xml:space="preserve">, pronto para ser copiado para o Google Drive! Continuamos com o Capítulo 4?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md" /><Relationship Type="http://schemas.openxmlformats.org/officeDocument/2006/relationships/image" Id="rId50" Target="media/rId50.md" /><Relationship Type="http://schemas.openxmlformats.org/officeDocument/2006/relationships/image" Id="rId54" Target="media/rId54.md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2026-01-07T01:25:49Z</dcterms:created>
  <dcterms:modified xsi:type="dcterms:W3CDTF">2026-01-07T01:25:49Z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