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17A1A5"/>
          <w:sz w:val="17"/>
        </w:rPr>
        <w:t>PROJETO DE PESQUISA · BRAIN / RIO DE JANEIRO · JUNHO 2026</w:t>
      </w:r>
    </w:p>
    <w:p>
      <w:pPr>
        <w:spacing w:after="160" w:line="276" w:lineRule="auto"/>
      </w:pPr>
      <w:r>
        <w:rPr>
          <w:rFonts w:ascii="Georgia" w:hAnsi="Georgia"/>
          <w:b/>
          <w:color w:val="0B1A2E"/>
          <w:sz w:val="40"/>
        </w:rPr>
        <w:t>Índice de Coerência do Eixo (ICE):</w:t>
        <w:br/>
        <w:t>Um preditor pré-operatório de resultado visual no implante de anel intraestromal</w:t>
      </w:r>
    </w:p>
    <w:p>
      <w:pPr>
        <w:spacing w:after="400"/>
      </w:pPr>
      <w:r>
        <w:rPr>
          <w:rFonts w:ascii="Arial" w:hAnsi="Arial"/>
          <w:i/>
          <w:color w:val="4A5F73"/>
          <w:sz w:val="21"/>
        </w:rPr>
        <w:t>Documento científico detalhado para avaliação de relevância clínica e validação do protocolo retrospectivo/prospectivo em ceratocone.</w:t>
      </w:r>
    </w:p>
    <w:tbl>
      <w:tblPr>
        <w:tblW w:type="auto" w:w="0"/>
        <w:tblLayout w:type="autofit"/>
        <w:tblLook w:firstColumn="1" w:firstRow="1" w:lastColumn="0" w:lastRow="0" w:noHBand="0" w:noVBand="1" w:val="04A0"/>
      </w:tblPr>
      <w:tblGrid>
        <w:gridCol w:w="4680"/>
        <w:gridCol w:w="4680"/>
      </w:tblGrid>
      <w:tr>
        <w:tc>
          <w:tcPr>
            <w:tcW w:type="dxa" w:w="4680"/>
          </w:tcPr>
          <w:p>
            <w:pPr>
              <w:spacing w:after="80"/>
            </w:pPr>
            <w:r>
              <w:rPr>
                <w:b/>
                <w:color w:val="0B1A2E"/>
                <w:sz w:val="19"/>
              </w:rPr>
              <w:t xml:space="preserve">Investigador Principal: </w:t>
            </w:r>
            <w:r>
              <w:rPr>
                <w:color w:val="1E2D42"/>
                <w:sz w:val="19"/>
              </w:rPr>
              <w:t>Miguel Reis — Biomecânica Corneana Computacional</w:t>
            </w:r>
          </w:p>
        </w:tc>
        <w:tc>
          <w:tcPr>
            <w:tcW w:type="dxa" w:w="4680"/>
          </w:tcPr>
          <w:p>
            <w:pPr>
              <w:spacing w:after="80"/>
            </w:pPr>
            <w:r>
              <w:rPr>
                <w:b/>
                <w:color w:val="0B1A2E"/>
                <w:sz w:val="19"/>
              </w:rPr>
              <w:t xml:space="preserve">Destinado para Parecer de: </w:t>
            </w:r>
            <w:r>
              <w:rPr>
                <w:color w:val="1E2D42"/>
                <w:sz w:val="19"/>
              </w:rPr>
              <w:t>Prof. Dr. Renato Ambrósio Jr. — BrAIn</w:t>
            </w:r>
          </w:p>
        </w:tc>
      </w:tr>
      <w:tr>
        <w:tc>
          <w:tcPr>
            <w:tcW w:type="dxa" w:w="4680"/>
          </w:tcPr>
          <w:p>
            <w:pPr>
              <w:spacing w:after="80"/>
            </w:pPr>
            <w:r>
              <w:rPr>
                <w:b/>
                <w:color w:val="0B1A2E"/>
                <w:sz w:val="19"/>
              </w:rPr>
              <w:t xml:space="preserve">Data de Submissão: </w:t>
            </w:r>
            <w:r>
              <w:rPr>
                <w:color w:val="1E2D42"/>
                <w:sz w:val="19"/>
              </w:rPr>
              <w:t>Junho 2026</w:t>
            </w:r>
          </w:p>
        </w:tc>
        <w:tc>
          <w:tcPr>
            <w:tcW w:type="dxa" w:w="4680"/>
          </w:tcPr>
          <w:p>
            <w:pPr>
              <w:spacing w:after="80"/>
            </w:pPr>
            <w:r>
              <w:rPr>
                <w:b/>
                <w:color w:val="0B1A2E"/>
                <w:sz w:val="19"/>
              </w:rPr>
              <w:t xml:space="preserve">Objetivo do Envio: </w:t>
            </w:r>
            <w:r>
              <w:rPr>
                <w:color w:val="1E2D42"/>
                <w:sz w:val="19"/>
              </w:rPr>
              <w:t>Apresentação e Parecer de Relevância Científica</w:t>
            </w:r>
          </w:p>
        </w:tc>
      </w:tr>
    </w:tbl>
    <w:p>
      <w:pPr>
        <w:spacing w:after="240"/>
      </w:pPr>
    </w:p>
    <w:p>
      <w:pPr>
        <w:keepNext/>
        <w:spacing w:before="400" w:after="120"/>
        <w:pBdr>
          <w:bottom w:val="single" w:sz="6" w:space="4" w:color="E2EAF4"/>
        </w:pBdr>
      </w:pPr>
      <w:r>
        <w:rPr>
          <w:rFonts w:ascii="Arial" w:hAnsi="Arial"/>
          <w:b/>
          <w:color w:val="17A1A5"/>
          <w:sz w:val="18"/>
        </w:rPr>
        <w:t xml:space="preserve">SEÇÃO 1: </w:t>
      </w:r>
      <w:r>
        <w:rPr>
          <w:rFonts w:ascii="Georgia" w:hAnsi="Georgia"/>
          <w:b/>
          <w:color w:val="0B1A2E"/>
          <w:sz w:val="28"/>
        </w:rPr>
        <w:t>Sumário Executivo</w:t>
      </w:r>
    </w:p>
    <w:tbl>
      <w:tblPr>
        <w:tblW w:type="auto" w:w="0"/>
        <w:tblLayout w:type="fixed"/>
        <w:tblLook w:firstColumn="1" w:firstRow="1" w:lastColumn="0" w:lastRow="0" w:noHBand="0" w:noVBand="1" w:val="04A0"/>
      </w:tblPr>
      <w:tblGrid>
        <w:gridCol w:w="9360"/>
      </w:tblGrid>
      <w:tr>
        <w:tc>
          <w:tcPr>
            <w:tcW w:type="dxa" w:w="9360"/>
            <w:shd w:fill="FDF9F0"/>
            <w:tcBorders>
              <w:left w:val="single" w:sz="36" w:space="0" w:color="C9A84C"/>
              <w:top w:val="none"/>
              <w:right w:val="none"/>
              <w:bottom w:val="none"/>
            </w:tcBorders>
            <w:tcMar>
              <w:top w:w="140" w:type="dxa"/>
              <w:bottom w:w="140" w:type="dxa"/>
              <w:left w:w="200" w:type="dxa"/>
              <w:right w:w="140" w:type="dxa"/>
            </w:tcMar>
          </w:tcPr>
          <w:p>
            <w:pPr>
              <w:spacing w:before="0" w:after="80"/>
            </w:pPr>
            <w:r>
              <w:rPr>
                <w:rFonts w:ascii="Georgia" w:hAnsi="Georgia"/>
                <w:i/>
                <w:color w:val="1E2D42"/>
                <w:sz w:val="22"/>
              </w:rPr>
              <w:t>"O Kmax informa a altura do incêndio. O ICE informa se a saída de emergência ainda está alinhada."</w:t>
            </w:r>
          </w:p>
          <w:p>
            <w:pPr>
              <w:spacing w:before="0" w:after="0"/>
            </w:pPr>
            <w:r>
              <w:rPr>
                <w:rFonts w:ascii="Arial" w:hAnsi="Arial"/>
                <w:color w:val="4A5F73"/>
                <w:sz w:val="18"/>
              </w:rPr>
              <w:t>Analogia central do projeto: gravidade estrutural e coerência funcional são dimensões independentes.</w:t>
            </w:r>
          </w:p>
        </w:tc>
      </w:tr>
    </w:tbl>
    <w:p>
      <w:pPr>
        <w:spacing w:after="160" w:line="276" w:lineRule="auto"/>
      </w:pPr>
      <w:r>
        <w:rPr>
          <w:rFonts w:ascii="Arial" w:hAnsi="Arial"/>
          <w:i w:val="0"/>
          <w:color w:val="1E2D42"/>
          <w:sz w:val="20"/>
        </w:rPr>
        <w:t>O Índice de Coerência do Eixo (ICE) é um índice pré-operatório desenvolvido para responder a uma pergunta que os índices existentes não respondem: se o anel intraestromal corrigir a curvatura, o sistema visual deste paciente conseguirá converter essa melhora geométrica em ganho visual real?</w:t>
      </w:r>
    </w:p>
    <w:p>
      <w:pPr>
        <w:spacing w:after="160" w:line="276" w:lineRule="auto"/>
      </w:pPr>
      <w:r>
        <w:rPr>
          <w:rFonts w:ascii="Arial" w:hAnsi="Arial"/>
          <w:i w:val="0"/>
          <w:color w:val="1E2D42"/>
          <w:sz w:val="20"/>
        </w:rPr>
        <w:t>O paradoxo que motivou o projeto é documentado clinicamente: pacientes com Kmax idêntico, mesma paquimetria, mesmo estadiamento — e respostas visuais radicalmente diferentes ao anel. A hipótese do ICE é que a causa dessa variabilidade está no desacoplamento entre três eixos ópticos: o eixo de maior curvatura (topografia), o eixo do cilindro manifesto (refração) e o eixo da aberração comática (aberrometria). Quando esses três eixos apontam em direções diferentes, a melhora geométrica produzida pelo anel se fragmenta ao longo do sistema óptico e não se integra em ganho de acuidade.</w:t>
      </w:r>
    </w:p>
    <w:p>
      <w:pPr>
        <w:spacing w:after="80" w:line="276" w:lineRule="auto"/>
      </w:pPr>
      <w:r>
        <w:rPr>
          <w:rFonts w:ascii="Arial" w:hAnsi="Arial"/>
          <w:i w:val="0"/>
          <w:color w:val="1E2D42"/>
          <w:sz w:val="20"/>
        </w:rPr>
        <w:t>Indicadores Base do Projeto:</w:t>
      </w:r>
    </w:p>
    <w:p>
      <w:pPr>
        <w:pStyle w:val="ListBullet"/>
        <w:spacing w:after="80" w:line="276" w:lineRule="auto"/>
      </w:pPr>
      <w:r>
        <w:rPr>
          <w:rFonts w:ascii="Arial" w:hAnsi="Arial"/>
          <w:b/>
          <w:color w:val="0B1A2E"/>
          <w:sz w:val="20"/>
        </w:rPr>
        <w:t>443</w:t>
      </w:r>
      <w:r>
        <w:rPr>
          <w:rFonts w:ascii="Arial" w:hAnsi="Arial"/>
          <w:color w:val="1E2D42"/>
          <w:sz w:val="20"/>
        </w:rPr>
        <w:t xml:space="preserve"> pares clínicos pareados com Pentacam + OCT Triton.</w:t>
      </w:r>
    </w:p>
    <w:p>
      <w:pPr>
        <w:pStyle w:val="ListBullet"/>
        <w:spacing w:after="80" w:line="276" w:lineRule="auto"/>
      </w:pPr>
      <w:r>
        <w:rPr>
          <w:rFonts w:ascii="Arial" w:hAnsi="Arial"/>
          <w:b/>
          <w:color w:val="0B1A2E"/>
          <w:sz w:val="20"/>
        </w:rPr>
        <w:t>660</w:t>
      </w:r>
      <w:r>
        <w:rPr>
          <w:rFonts w:ascii="Arial" w:hAnsi="Arial"/>
          <w:color w:val="1E2D42"/>
          <w:sz w:val="20"/>
        </w:rPr>
        <w:t xml:space="preserve"> perfis de curvatura analisados via elevação por polinômios ortogonais (SPR).</w:t>
      </w:r>
    </w:p>
    <w:p>
      <w:pPr>
        <w:pStyle w:val="ListBullet"/>
        <w:spacing w:after="80" w:line="276" w:lineRule="auto"/>
      </w:pPr>
      <w:r>
        <w:rPr>
          <w:rFonts w:ascii="Arial" w:hAnsi="Arial"/>
          <w:b/>
          <w:color w:val="0B1A2E"/>
          <w:sz w:val="20"/>
        </w:rPr>
        <w:t>24</w:t>
      </w:r>
      <w:r>
        <w:rPr>
          <w:rFonts w:ascii="Arial" w:hAnsi="Arial"/>
          <w:color w:val="1E2D42"/>
          <w:sz w:val="20"/>
        </w:rPr>
        <w:t xml:space="preserve"> modelos de elementos finitos (FEM) com material anisotrópico HGO.</w:t>
      </w:r>
    </w:p>
    <w:p>
      <w:pPr>
        <w:pStyle w:val="ListBullet"/>
        <w:spacing w:after="80" w:line="276" w:lineRule="auto"/>
      </w:pPr>
      <w:r>
        <w:rPr>
          <w:rFonts w:ascii="Arial" w:hAnsi="Arial"/>
          <w:b/>
          <w:color w:val="0B1A2E"/>
          <w:sz w:val="20"/>
        </w:rPr>
        <w:t>0,82</w:t>
      </w:r>
      <w:r>
        <w:rPr>
          <w:rFonts w:ascii="Arial" w:hAnsi="Arial"/>
          <w:color w:val="1E2D42"/>
          <w:sz w:val="20"/>
        </w:rPr>
        <w:t xml:space="preserve"> de Área Sob a Curva ROC retrospectiva na predição de ganho &gt;= 3 linhas de visão.</w:t>
      </w:r>
    </w:p>
    <w:p>
      <w:pPr>
        <w:keepNext/>
        <w:spacing w:before="400" w:after="120"/>
        <w:pBdr>
          <w:bottom w:val="single" w:sz="6" w:space="4" w:color="E2EAF4"/>
        </w:pBdr>
      </w:pPr>
      <w:r>
        <w:rPr>
          <w:rFonts w:ascii="Arial" w:hAnsi="Arial"/>
          <w:b/>
          <w:color w:val="17A1A5"/>
          <w:sz w:val="18"/>
        </w:rPr>
        <w:t xml:space="preserve">SEÇÃO 2: </w:t>
      </w:r>
      <w:r>
        <w:rPr>
          <w:rFonts w:ascii="Georgia" w:hAnsi="Georgia"/>
          <w:b/>
          <w:color w:val="0B1A2E"/>
          <w:sz w:val="28"/>
        </w:rPr>
        <w:t>Problema e Hipótese</w:t>
      </w:r>
    </w:p>
    <w:p>
      <w:pPr>
        <w:spacing w:after="160" w:line="276" w:lineRule="auto"/>
      </w:pPr>
      <w:r>
        <w:rPr>
          <w:rFonts w:ascii="Arial" w:hAnsi="Arial"/>
          <w:i w:val="0"/>
          <w:color w:val="1E2D42"/>
          <w:sz w:val="20"/>
        </w:rPr>
        <w:t>A literatura de ICRS em ceratocone documenta consistentemente uma variabilidade clínica que os nomogramas atuais não explicam. Estudos com mais de 300 olhos mostram que, entre pacientes operados com indicação tecnicamente adequada, cerca de 27% obtêm ganho de BCVA inferior a duas linhas, mesmo com melhora objetiva da topografia. Essa dissociação entre resultado topográfico e resultado visual é o problema central que o ICE busca predizer.</w:t>
      </w:r>
    </w:p>
    <w:tbl>
      <w:tblPr>
        <w:tblW w:type="auto" w:w="0"/>
        <w:tblLook w:firstColumn="1" w:firstRow="1" w:lastColumn="0" w:lastRow="0" w:noHBand="0" w:noVBand="1" w:val="04A0"/>
      </w:tblPr>
      <w:tblGrid>
        <w:gridCol w:w="9360"/>
      </w:tblGrid>
      <w:tr>
        <w:tc>
          <w:tcPr>
            <w:tcW w:type="dxa" w:w="9360"/>
            <w:shd w:fill="F0F7FF"/>
            <w:tcBorders>
              <w:left w:val="single" w:sz="24" w:space="0" w:color="2892D7"/>
              <w:top w:val="none"/>
              <w:right w:val="none"/>
              <w:bottom w:val="none"/>
            </w:tcBorders>
            <w:tcMar>
              <w:top w:w="100" w:type="dxa"/>
              <w:bottom w:w="100" w:type="dxa"/>
              <w:left w:w="150" w:type="dxa"/>
              <w:right w:w="150" w:type="dxa"/>
            </w:tcMar>
          </w:tcPr>
          <w:p>
            <w:r>
              <w:rPr>
                <w:b/>
                <w:color w:val="17A1A5"/>
                <w:sz w:val="18"/>
              </w:rPr>
              <w:t>HIPÓTESE PRINCIPAL:</w:t>
              <w:br/>
            </w:r>
            <w:r>
              <w:rPr>
                <w:color w:val="0B1A2E"/>
                <w:sz w:val="20"/>
              </w:rPr>
              <w:t>O grau de coerência entre o eixo topográfico, o eixo refrativo e o eixo comático — quantificado pelo ICE — é um preditor independente do ganho de BCVA após ICRS, com desempenho discriminativo superior ao Kmax isolado (AUC &gt; 0,75 no estudo prospectivo).</w:t>
            </w:r>
          </w:p>
        </w:tc>
      </w:tr>
    </w:tbl>
    <w:p>
      <w:pPr>
        <w:spacing w:after="120"/>
      </w:pPr>
    </w:p>
    <w:p>
      <w:pPr>
        <w:spacing w:after="160" w:line="276" w:lineRule="auto"/>
      </w:pPr>
      <w:r>
        <w:rPr>
          <w:rFonts w:ascii="Arial" w:hAnsi="Arial"/>
          <w:b/>
          <w:color w:val="0B1A2E"/>
          <w:sz w:val="20"/>
        </w:rPr>
        <w:t xml:space="preserve">Por que o Kmax é insuficiente: </w:t>
      </w:r>
      <w:r>
        <w:rPr>
          <w:rFonts w:ascii="Arial" w:hAnsi="Arial"/>
          <w:i w:val="0"/>
          <w:color w:val="1E2D42"/>
          <w:sz w:val="20"/>
        </w:rPr>
        <w:t>O Kmax mede a magnitude da deformação corneana, mas não mede como essa deformação se propaga pelo sistema óptico. Dois olhos com Kmax de 62 D podem ter:</w:t>
      </w:r>
    </w:p>
    <w:p>
      <w:pPr>
        <w:pStyle w:val="ListBullet"/>
        <w:spacing w:after="80" w:line="276" w:lineRule="auto"/>
      </w:pPr>
      <w:r>
        <w:rPr>
          <w:rFonts w:ascii="Arial" w:hAnsi="Arial"/>
          <w:b/>
          <w:color w:val="0B1A2E"/>
          <w:sz w:val="20"/>
        </w:rPr>
        <w:t>Eixo topográfico</w:t>
      </w:r>
      <w:r>
        <w:rPr>
          <w:rFonts w:ascii="Arial" w:hAnsi="Arial"/>
          <w:color w:val="1E2D42"/>
          <w:sz w:val="20"/>
        </w:rPr>
        <w:t xml:space="preserve"> e cilindro manifesto coincidentes (ICE alto) — sistema coerente, ganho esperado.</w:t>
      </w:r>
    </w:p>
    <w:p>
      <w:pPr>
        <w:pStyle w:val="ListBullet"/>
        <w:spacing w:after="80" w:line="276" w:lineRule="auto"/>
      </w:pPr>
      <w:r>
        <w:rPr>
          <w:rFonts w:ascii="Arial" w:hAnsi="Arial"/>
          <w:b/>
          <w:color w:val="0B1A2E"/>
          <w:sz w:val="20"/>
        </w:rPr>
        <w:t>Eixo topográfico</w:t>
      </w:r>
      <w:r>
        <w:rPr>
          <w:rFonts w:ascii="Arial" w:hAnsi="Arial"/>
          <w:color w:val="1E2D42"/>
          <w:sz w:val="20"/>
        </w:rPr>
        <w:t>, cilindro e coma em meridianos diferentes (ICE baixo) — sistema fragmentado, ganho improvável.</w:t>
      </w:r>
    </w:p>
    <w:p>
      <w:pPr>
        <w:spacing w:after="160" w:line="276" w:lineRule="auto"/>
      </w:pPr>
      <w:r>
        <w:rPr>
          <w:rFonts w:ascii="Arial" w:hAnsi="Arial"/>
          <w:b/>
          <w:color w:val="0B1A2E"/>
          <w:sz w:val="20"/>
        </w:rPr>
        <w:t xml:space="preserve">O achado que sustenta a hipótese: </w:t>
      </w:r>
      <w:r>
        <w:rPr>
          <w:rFonts w:ascii="Arial" w:hAnsi="Arial"/>
          <w:i w:val="0"/>
          <w:color w:val="1E2D42"/>
          <w:sz w:val="20"/>
        </w:rPr>
        <w:t>Na análise de 660 perfis SPR, a correlação espacial entre os ápices da superfície anterior e posterior da córnea foi de r = 0,028 (p = 0,50) — estatisticamente nula. O ápice posterior está, em média, 2,6 mm mais periférico, e em posição angular diferente. Isso significa que o eixo de referência convencional (K-steep) pode estar sistematicamente deslocado em relação ao eixo real do cone.</w:t>
      </w:r>
    </w:p>
    <w:p>
      <w:pPr>
        <w:keepNext/>
        <w:spacing w:before="400" w:after="120"/>
        <w:pBdr>
          <w:bottom w:val="single" w:sz="6" w:space="4" w:color="E2EAF4"/>
        </w:pBdr>
      </w:pPr>
      <w:r>
        <w:rPr>
          <w:rFonts w:ascii="Arial" w:hAnsi="Arial"/>
          <w:b/>
          <w:color w:val="17A1A5"/>
          <w:sz w:val="18"/>
        </w:rPr>
        <w:t xml:space="preserve">SEÇÃO 3: </w:t>
      </w:r>
      <w:r>
        <w:rPr>
          <w:rFonts w:ascii="Georgia" w:hAnsi="Georgia"/>
          <w:b/>
          <w:color w:val="0B1A2E"/>
          <w:sz w:val="28"/>
        </w:rPr>
        <w:t>O Índice ICE — Definição Formal</w:t>
      </w:r>
    </w:p>
    <w:p>
      <w:pPr>
        <w:spacing w:after="160" w:line="276" w:lineRule="auto"/>
      </w:pPr>
      <w:r>
        <w:rPr>
          <w:rFonts w:ascii="Arial" w:hAnsi="Arial"/>
          <w:i w:val="0"/>
          <w:color w:val="1E2D42"/>
          <w:sz w:val="20"/>
        </w:rPr>
        <w:t>O ICE é um índice contínuo entre 0 e 1, produto de três componentes independentes, cada um capturando uma dimensão distinta da coerência óptico-geométrica.</w:t>
      </w:r>
    </w:p>
    <w:tbl>
      <w:tblPr>
        <w:tblW w:type="auto" w:w="0"/>
        <w:tblLook w:firstColumn="1" w:firstRow="1" w:lastColumn="0" w:lastRow="0" w:noHBand="0" w:noVBand="1" w:val="04A0"/>
      </w:tblPr>
      <w:tblGrid>
        <w:gridCol w:w="9360"/>
      </w:tblGrid>
      <w:tr>
        <w:tc>
          <w:tcPr>
            <w:tcW w:type="dxa" w:w="9360"/>
            <w:shd w:fill="0B1A2E"/>
            <w:tcMar>
              <w:top w:w="140" w:type="dxa"/>
              <w:bottom w:w="140" w:type="dxa"/>
              <w:left w:w="180" w:type="dxa"/>
              <w:right w:w="180" w:type="dxa"/>
            </w:tcMar>
          </w:tcPr>
          <w:p>
            <w:r>
              <w:rPr>
                <w:b/>
                <w:color w:val="17A1A5"/>
                <w:sz w:val="18"/>
              </w:rPr>
              <w:t>FÓRMULA ICE 2.0 — TRIÁDICO</w:t>
              <w:br/>
              <w:br/>
            </w:r>
            <w:r>
              <w:rPr>
                <w:rFonts w:ascii="Georgia" w:hAnsi="Georgia"/>
                <w:b/>
                <w:color w:val="FFFFFF"/>
                <w:sz w:val="24"/>
              </w:rPr>
              <w:t>ICE = ICE_astig  x  Optical_coherence  x  ICE_axis_triad</w:t>
              <w:br/>
            </w:r>
            <w:r>
              <w:rPr>
                <w:rFonts w:ascii="Georgia" w:hAnsi="Georgia"/>
                <w:color w:val="DCE8F5"/>
                <w:sz w:val="21"/>
              </w:rPr>
              <w:t xml:space="preserve">      = [1 - |Astig_T - Cyl| / (Astig_T + Cyl)]  x  [LOA / (LOA + HOA)]  x  [1 - D_max / 90°]</w:t>
              <w:br/>
              <w:br/>
            </w:r>
            <w:r>
              <w:rPr>
                <w:color w:val="B4C8DC"/>
                <w:sz w:val="17"/>
              </w:rPr>
              <w:t>Onde:</w:t>
              <w:br/>
              <w:t>• D_max = max( |θ_topo - θ_cyl|, |θ_topo - θ_coma|, |θ_cyl - θ_coma| )</w:t>
              <w:br/>
              <w:t>• Astig_T = astigmatismo topográfico  ·  Cyl = cilindro manifesto</w:t>
              <w:br/>
              <w:t>• LOA = aberrações de baixa ordem  ·  HOA = aberrações de alta ordem</w:t>
            </w:r>
          </w:p>
        </w:tc>
      </w:tr>
    </w:tbl>
    <w:p>
      <w:pPr>
        <w:spacing w:after="160"/>
      </w:pPr>
    </w:p>
    <w:p>
      <w:pPr>
        <w:spacing w:after="160" w:line="276" w:lineRule="auto"/>
      </w:pPr>
      <w:r>
        <w:rPr>
          <w:rFonts w:ascii="Arial" w:hAnsi="Arial"/>
          <w:b/>
          <w:color w:val="0B1A2E"/>
          <w:sz w:val="20"/>
        </w:rPr>
        <w:t xml:space="preserve">Bloco 1 — Coerência de magnitude: </w:t>
      </w:r>
      <w:r>
        <w:rPr>
          <w:rFonts w:ascii="Arial" w:hAnsi="Arial"/>
          <w:i w:val="0"/>
          <w:color w:val="1E2D42"/>
          <w:sz w:val="20"/>
        </w:rPr>
        <w:t>Compara a magnitude do astigmatismo topográfico com o cilindro manifesto. Dissociação entre os dois indica que o sistema refrativo não está 'lendo' o que a córnea impõe — frequentemente por adaptação neural ou erro de medida.</w:t>
      </w:r>
    </w:p>
    <w:p>
      <w:pPr>
        <w:spacing w:after="160" w:line="276" w:lineRule="auto"/>
      </w:pPr>
      <w:r>
        <w:rPr>
          <w:rFonts w:ascii="Arial" w:hAnsi="Arial"/>
          <w:b/>
          <w:color w:val="0B1A2E"/>
          <w:sz w:val="20"/>
        </w:rPr>
        <w:t xml:space="preserve">Bloco 2 — Pureza óptica: </w:t>
      </w:r>
      <w:r>
        <w:rPr>
          <w:rFonts w:ascii="Arial" w:hAnsi="Arial"/>
          <w:i w:val="0"/>
          <w:color w:val="1E2D42"/>
          <w:sz w:val="20"/>
        </w:rPr>
        <w:t>Razão entre aberrações de baixa ordem (corrigíveis) e totais. Quando aberrações de alta ordem dominam, halos e imagens duplas persistem mesmo com boa refração manifesta — o ganho de BCVA é estruturalmente limitado.</w:t>
      </w:r>
    </w:p>
    <w:p>
      <w:pPr>
        <w:spacing w:after="160" w:line="276" w:lineRule="auto"/>
      </w:pPr>
      <w:r>
        <w:rPr>
          <w:rFonts w:ascii="Arial" w:hAnsi="Arial"/>
          <w:b/>
          <w:color w:val="0B1A2E"/>
          <w:sz w:val="20"/>
        </w:rPr>
        <w:t xml:space="preserve">Bloco 3 — Coerência angular triádica: </w:t>
      </w:r>
      <w:r>
        <w:rPr>
          <w:rFonts w:ascii="Arial" w:hAnsi="Arial"/>
          <w:i w:val="0"/>
          <w:color w:val="1E2D42"/>
          <w:sz w:val="20"/>
        </w:rPr>
        <w:t>Maior discordância angular entre os três eixos (topográfico, refrativo, comático). Eixos a &lt;15°: alta coerência. A &gt;30°: o anel posicionado no K-steep pode aumentar o coma ao invés de reduzi-lo.</w:t>
      </w:r>
    </w:p>
    <w:p>
      <w:pPr>
        <w:spacing w:after="80" w:line="276" w:lineRule="auto"/>
      </w:pPr>
      <w:r>
        <w:rPr>
          <w:rFonts w:ascii="Arial" w:hAnsi="Arial"/>
          <w:i w:val="0"/>
          <w:color w:val="1E2D42"/>
          <w:sz w:val="20"/>
        </w:rPr>
        <w:t>Classificação Clínica e Condutas do ICE:</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rPr>
              <w:t>Faixa ICE</w:t>
            </w:r>
          </w:p>
        </w:tc>
        <w:tc>
          <w:tcPr>
            <w:tcW w:type="dxa" w:w="2340"/>
          </w:tcPr>
          <w:p>
            <w:r>
              <w:rPr>
                <w:b/>
              </w:rPr>
              <w:t>Classificação</w:t>
            </w:r>
          </w:p>
        </w:tc>
        <w:tc>
          <w:tcPr>
            <w:tcW w:type="dxa" w:w="2340"/>
          </w:tcPr>
          <w:p>
            <w:r>
              <w:rPr>
                <w:b/>
              </w:rPr>
              <w:t>Interpretação</w:t>
            </w:r>
          </w:p>
        </w:tc>
        <w:tc>
          <w:tcPr>
            <w:tcW w:type="dxa" w:w="2340"/>
          </w:tcPr>
          <w:p>
            <w:r>
              <w:rPr>
                <w:b/>
              </w:rPr>
              <w:t>Conduta Proposta</w:t>
            </w:r>
          </w:p>
        </w:tc>
      </w:tr>
      <w:tr>
        <w:tc>
          <w:tcPr>
            <w:tcW w:type="dxa" w:w="2340"/>
          </w:tcPr>
          <w:p>
            <w:pPr>
              <w:spacing w:after="40"/>
            </w:pPr>
            <w:r>
              <w:rPr>
                <w:b/>
                <w:sz w:val="18"/>
              </w:rPr>
              <w:t>&gt;= 0,65</w:t>
            </w:r>
          </w:p>
        </w:tc>
        <w:tc>
          <w:tcPr>
            <w:tcW w:type="dxa" w:w="2340"/>
          </w:tcPr>
          <w:p>
            <w:pPr>
              <w:spacing w:after="40"/>
            </w:pPr>
            <w:r>
              <w:rPr>
                <w:sz w:val="18"/>
              </w:rPr>
              <w:t>Tipo 1 — Coerente</w:t>
            </w:r>
          </w:p>
        </w:tc>
        <w:tc>
          <w:tcPr>
            <w:tcW w:type="dxa" w:w="2340"/>
          </w:tcPr>
          <w:p>
            <w:pPr>
              <w:spacing w:after="40"/>
            </w:pPr>
            <w:r>
              <w:rPr>
                <w:sz w:val="18"/>
              </w:rPr>
              <w:t>Eixos alinhados, HOA controladas, magnitude concordante</w:t>
            </w:r>
          </w:p>
        </w:tc>
        <w:tc>
          <w:tcPr>
            <w:tcW w:type="dxa" w:w="2340"/>
          </w:tcPr>
          <w:p>
            <w:pPr>
              <w:spacing w:after="40"/>
            </w:pPr>
            <w:r>
              <w:rPr>
                <w:sz w:val="18"/>
              </w:rPr>
              <w:t>Operar. Maximizar VEsférico. Prometer ganho objetivo.</w:t>
            </w:r>
          </w:p>
        </w:tc>
      </w:tr>
      <w:tr>
        <w:tc>
          <w:tcPr>
            <w:tcW w:type="dxa" w:w="2340"/>
          </w:tcPr>
          <w:p>
            <w:pPr>
              <w:spacing w:after="40"/>
            </w:pPr>
            <w:r>
              <w:rPr>
                <w:b/>
                <w:sz w:val="18"/>
              </w:rPr>
              <w:t>0,50 – 0,64</w:t>
            </w:r>
          </w:p>
        </w:tc>
        <w:tc>
          <w:tcPr>
            <w:tcW w:type="dxa" w:w="2340"/>
          </w:tcPr>
          <w:p>
            <w:pPr>
              <w:spacing w:after="40"/>
            </w:pPr>
            <w:r>
              <w:rPr>
                <w:sz w:val="18"/>
              </w:rPr>
              <w:t>Zona cinzenta</w:t>
            </w:r>
          </w:p>
        </w:tc>
        <w:tc>
          <w:tcPr>
            <w:tcW w:type="dxa" w:w="2340"/>
          </w:tcPr>
          <w:p>
            <w:pPr>
              <w:spacing w:after="40"/>
            </w:pPr>
            <w:r>
              <w:rPr>
                <w:sz w:val="18"/>
              </w:rPr>
              <w:t>Coerência parcial; pelo menos um bloco comprometido</w:t>
            </w:r>
          </w:p>
        </w:tc>
        <w:tc>
          <w:tcPr>
            <w:tcW w:type="dxa" w:w="2340"/>
          </w:tcPr>
          <w:p>
            <w:pPr>
              <w:spacing w:after="40"/>
            </w:pPr>
            <w:r>
              <w:rPr>
                <w:sz w:val="18"/>
              </w:rPr>
              <w:t>Operar com cautela. Expectativa parcial com o paciente.</w:t>
            </w:r>
          </w:p>
        </w:tc>
      </w:tr>
      <w:tr>
        <w:tc>
          <w:tcPr>
            <w:tcW w:type="dxa" w:w="2340"/>
          </w:tcPr>
          <w:p>
            <w:pPr>
              <w:spacing w:after="40"/>
            </w:pPr>
            <w:r>
              <w:rPr>
                <w:b/>
                <w:sz w:val="18"/>
              </w:rPr>
              <w:t>&lt; 0,50</w:t>
            </w:r>
          </w:p>
        </w:tc>
        <w:tc>
          <w:tcPr>
            <w:tcW w:type="dxa" w:w="2340"/>
          </w:tcPr>
          <w:p>
            <w:pPr>
              <w:spacing w:after="40"/>
            </w:pPr>
            <w:r>
              <w:rPr>
                <w:sz w:val="18"/>
              </w:rPr>
              <w:t>Tipo 2 — Discordante</w:t>
            </w:r>
          </w:p>
        </w:tc>
        <w:tc>
          <w:tcPr>
            <w:tcW w:type="dxa" w:w="2340"/>
          </w:tcPr>
          <w:p>
            <w:pPr>
              <w:spacing w:after="40"/>
            </w:pPr>
            <w:r>
              <w:rPr>
                <w:sz w:val="18"/>
              </w:rPr>
              <w:t>Eixos fragmentados, HOA dominantes ou magnitude dissociada</w:t>
            </w:r>
          </w:p>
        </w:tc>
        <w:tc>
          <w:tcPr>
            <w:tcW w:type="dxa" w:w="2340"/>
          </w:tcPr>
          <w:p>
            <w:pPr>
              <w:spacing w:after="40"/>
            </w:pPr>
            <w:r>
              <w:rPr>
                <w:sz w:val="18"/>
              </w:rPr>
              <w:t>Redefinir objetivo. Considerar CXL, lente escleral ou anel tectônico.</w:t>
            </w:r>
          </w:p>
        </w:tc>
      </w:tr>
    </w:tbl>
    <w:p>
      <w:pPr>
        <w:keepNext/>
        <w:spacing w:before="400" w:after="120"/>
        <w:pBdr>
          <w:bottom w:val="single" w:sz="6" w:space="4" w:color="E2EAF4"/>
        </w:pBdr>
      </w:pPr>
      <w:r>
        <w:rPr>
          <w:rFonts w:ascii="Arial" w:hAnsi="Arial"/>
          <w:b/>
          <w:color w:val="17A1A5"/>
          <w:sz w:val="18"/>
        </w:rPr>
        <w:t xml:space="preserve">SEÇÃO 4: </w:t>
      </w:r>
      <w:r>
        <w:rPr>
          <w:rFonts w:ascii="Georgia" w:hAnsi="Georgia"/>
          <w:b/>
          <w:color w:val="0B1A2E"/>
          <w:sz w:val="28"/>
        </w:rPr>
        <w:t>Fundamento Biomecânico — Modelos FEM</w:t>
      </w:r>
    </w:p>
    <w:p>
      <w:pPr>
        <w:spacing w:after="160" w:line="276" w:lineRule="auto"/>
      </w:pPr>
      <w:r>
        <w:rPr>
          <w:rFonts w:ascii="Arial" w:hAnsi="Arial"/>
          <w:i w:val="0"/>
          <w:color w:val="1E2D42"/>
          <w:sz w:val="20"/>
        </w:rPr>
        <w:t>Para validar a premissa física do ICE — de que o desalinhamento entre o eixo do anel e o eixo real do cone reduz a eficácia da correção — foram desenvolvidos 24 modelos de elementos finitos utilizando o software FEBio com material anisotrópico Holzapfel-Gasser-Ogden (HGO), que reproduz a organização fibrilar do estroma.</w:t>
      </w:r>
    </w:p>
    <w:p>
      <w:pPr>
        <w:spacing w:after="160" w:line="276" w:lineRule="auto"/>
      </w:pPr>
      <w:r>
        <w:rPr>
          <w:rFonts w:ascii="Arial" w:hAnsi="Arial"/>
          <w:b/>
          <w:color w:val="0B1A2E"/>
          <w:sz w:val="20"/>
        </w:rPr>
        <w:t xml:space="preserve">Resultado principal — FEM: </w:t>
      </w:r>
      <w:r>
        <w:rPr>
          <w:rFonts w:ascii="Arial" w:hAnsi="Arial"/>
          <w:i w:val="0"/>
          <w:color w:val="1E2D42"/>
          <w:sz w:val="20"/>
        </w:rPr>
        <w:t>O anel alinhado ao eixo principal do cone gera resposta apical 1,24x mais eficiente do que o anel desalinhado em 30°. O desalinhamento de 30° reduz a eficácia apical em ~19%, com redistribuição da tensão para o meridiano perpendicular — potencialmente agravando o coma ao invés de reduzi-lo.</w:t>
      </w:r>
    </w:p>
    <w:p>
      <w:pPr>
        <w:spacing w:after="160" w:line="276" w:lineRule="auto"/>
      </w:pPr>
      <w:r>
        <w:rPr>
          <w:rFonts w:ascii="Arial" w:hAnsi="Arial"/>
          <w:b/>
          <w:color w:val="0B1A2E"/>
          <w:sz w:val="20"/>
        </w:rPr>
        <w:t xml:space="preserve">Implicação clínica direta: </w:t>
      </w:r>
      <w:r>
        <w:rPr>
          <w:rFonts w:ascii="Arial" w:hAnsi="Arial"/>
          <w:i w:val="0"/>
          <w:color w:val="1E2D42"/>
          <w:sz w:val="20"/>
        </w:rPr>
        <w:t>ICE alto significa que o eixo convencional de referência (K-steep) e o eixo real do cone estão alinhados — o anel posicionado pelo nomograma padrão está no campo de força correto. ICE baixo significa desperdício mecânico: parte da força corretiva age no meridiano errado.</w:t>
      </w:r>
    </w:p>
    <w:tbl>
      <w:tblPr>
        <w:tblW w:type="auto" w:w="0"/>
        <w:tblLook w:firstColumn="1" w:firstRow="1" w:lastColumn="0" w:lastRow="0" w:noHBand="0" w:noVBand="1" w:val="04A0"/>
      </w:tblPr>
      <w:tblGrid>
        <w:gridCol w:w="9360"/>
      </w:tblGrid>
      <w:tr>
        <w:tc>
          <w:tcPr>
            <w:tcW w:type="dxa" w:w="9360"/>
            <w:shd w:fill="F0FBFB"/>
            <w:tcBorders>
              <w:left w:val="single" w:sz="24" w:space="0" w:color="17A1A5"/>
              <w:top w:val="none"/>
              <w:right w:val="none"/>
              <w:bottom w:val="none"/>
            </w:tcBorders>
            <w:tcMar>
              <w:top w:w="100" w:type="dxa"/>
              <w:bottom w:w="100" w:type="dxa"/>
              <w:left w:w="150" w:type="dxa"/>
              <w:right w:w="150" w:type="dxa"/>
            </w:tcMar>
          </w:tcPr>
          <w:p>
            <w:r>
              <w:rPr>
                <w:b/>
                <w:color w:val="17A1A5"/>
                <w:sz w:val="18"/>
              </w:rPr>
              <w:t>NOTA SOBRE A DISSOCIAÇÃO ANTERIOR-POSTERIOR:</w:t>
              <w:br/>
            </w:r>
            <w:r>
              <w:t>Na análise de 660 olhos, a correlação entre posição do ápice anterior e posterior foi de r = 0,028 (p = 0,50 — nula). Isso significa que o ápice anterior — ponto de referência para o K-steep — não prediz a posição do ápice posterior, que é o verdadeiro motor biomecânico do ceratocone. O ICE captura parte dessa dissociação ao incluir o eixo comático, que reflete aberrações produzidas pela superfície posterior.</w:t>
            </w:r>
          </w:p>
        </w:tc>
      </w:tr>
    </w:tbl>
    <w:p>
      <w:pPr>
        <w:keepNext/>
        <w:spacing w:before="400" w:after="120"/>
        <w:pBdr>
          <w:bottom w:val="single" w:sz="6" w:space="4" w:color="E2EAF4"/>
        </w:pBdr>
      </w:pPr>
      <w:r>
        <w:rPr>
          <w:rFonts w:ascii="Arial" w:hAnsi="Arial"/>
          <w:b/>
          <w:color w:val="17A1A5"/>
          <w:sz w:val="18"/>
        </w:rPr>
        <w:t xml:space="preserve">SEÇÃO 5: </w:t>
      </w:r>
      <w:r>
        <w:rPr>
          <w:rFonts w:ascii="Georgia" w:hAnsi="Georgia"/>
          <w:b/>
          <w:color w:val="0B1A2E"/>
          <w:sz w:val="28"/>
        </w:rPr>
        <w:t>Dados Preliminares (Retrospectivo)</w:t>
      </w:r>
    </w:p>
    <w:p>
      <w:pPr>
        <w:spacing w:after="160" w:line="276" w:lineRule="auto"/>
      </w:pPr>
      <w:r>
        <w:rPr>
          <w:rFonts w:ascii="Arial" w:hAnsi="Arial"/>
          <w:i w:val="0"/>
          <w:color w:val="1E2D42"/>
          <w:sz w:val="20"/>
        </w:rPr>
        <w:t>A análise retrospectiva utilizou dados de 8 estudos publicados entre 2013 e 2024, totalizando 300 olhos com ICRS, recodificados segundo os critérios ICE a partir dos dados disponibilizados nos artigos. Os grupos foram definidos pelo ICE calculado retroativamente com os Blocos 1 e 2 (sem aberrometria — ICE biádico).</w:t>
      </w:r>
    </w:p>
    <w:p>
      <w:pPr>
        <w:spacing w:after="80" w:line="276" w:lineRule="auto"/>
      </w:pPr>
      <w:r>
        <w:rPr>
          <w:rFonts w:ascii="Arial" w:hAnsi="Arial"/>
          <w:i w:val="0"/>
          <w:color w:val="1E2D42"/>
          <w:sz w:val="20"/>
        </w:rPr>
        <w:t>Resultados por Grupo de ICE:</w:t>
      </w:r>
    </w:p>
    <w:p>
      <w:pPr>
        <w:pStyle w:val="ListBullet"/>
        <w:spacing w:after="80" w:line="276" w:lineRule="auto"/>
      </w:pPr>
      <w:r>
        <w:rPr>
          <w:rFonts w:ascii="Arial" w:hAnsi="Arial"/>
          <w:b/>
          <w:color w:val="0B1A2E"/>
          <w:sz w:val="20"/>
        </w:rPr>
        <w:t>ICE Alto (n = 118):</w:t>
      </w:r>
      <w:r>
        <w:rPr>
          <w:rFonts w:ascii="Arial" w:hAnsi="Arial"/>
          <w:color w:val="1E2D42"/>
          <w:sz w:val="20"/>
        </w:rPr>
        <w:t xml:space="preserve"> +4,2 linhas de BCVA médio.</w:t>
      </w:r>
    </w:p>
    <w:p>
      <w:pPr>
        <w:pStyle w:val="ListBullet"/>
        <w:spacing w:after="80" w:line="276" w:lineRule="auto"/>
      </w:pPr>
      <w:r>
        <w:rPr>
          <w:rFonts w:ascii="Arial" w:hAnsi="Arial"/>
          <w:b/>
          <w:color w:val="0B1A2E"/>
          <w:sz w:val="20"/>
        </w:rPr>
        <w:t>ICE Moderado (n = 102):</w:t>
      </w:r>
      <w:r>
        <w:rPr>
          <w:rFonts w:ascii="Arial" w:hAnsi="Arial"/>
          <w:color w:val="1E2D42"/>
          <w:sz w:val="20"/>
        </w:rPr>
        <w:t xml:space="preserve"> +2,8 linhas de BCVA médio.</w:t>
      </w:r>
    </w:p>
    <w:p>
      <w:pPr>
        <w:pStyle w:val="ListBullet"/>
        <w:spacing w:after="80" w:line="276" w:lineRule="auto"/>
      </w:pPr>
      <w:r>
        <w:rPr>
          <w:rFonts w:ascii="Arial" w:hAnsi="Arial"/>
          <w:b/>
          <w:color w:val="0B1A2E"/>
          <w:sz w:val="20"/>
        </w:rPr>
        <w:t>ICE Baixo (n = 80):</w:t>
      </w:r>
      <w:r>
        <w:rPr>
          <w:rFonts w:ascii="Arial" w:hAnsi="Arial"/>
          <w:color w:val="1E2D42"/>
          <w:sz w:val="20"/>
        </w:rPr>
        <w:t xml:space="preserve"> +1,6 linhas de BCVA médio.</w:t>
      </w:r>
    </w:p>
    <w:p>
      <w:pPr>
        <w:spacing w:after="80" w:line="276" w:lineRule="auto"/>
      </w:pPr>
      <w:r>
        <w:rPr>
          <w:rFonts w:ascii="Arial" w:hAnsi="Arial"/>
          <w:i w:val="0"/>
          <w:color w:val="1E2D42"/>
          <w:sz w:val="20"/>
        </w:rPr>
        <w:t>Desempenho de Predição (Ganho de BCVA &gt;= 3 linhas Snellen):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rPr>
              <w:t>Métrica</w:t>
            </w:r>
          </w:p>
        </w:tc>
        <w:tc>
          <w:tcPr>
            <w:tcW w:type="dxa" w:w="2340"/>
          </w:tcPr>
          <w:p>
            <w:r>
              <w:rPr>
                <w:b/>
              </w:rPr>
              <w:t>AUC (Área Sob a Curva)</w:t>
            </w:r>
          </w:p>
        </w:tc>
        <w:tc>
          <w:tcPr>
            <w:tcW w:type="dxa" w:w="2340"/>
          </w:tcPr>
          <w:p>
            <w:r>
              <w:rPr>
                <w:b/>
              </w:rPr>
              <w:t>Intervalo de Confiança</w:t>
            </w:r>
          </w:p>
        </w:tc>
        <w:tc>
          <w:tcPr>
            <w:tcW w:type="dxa" w:w="2340"/>
          </w:tcPr>
          <w:p>
            <w:r>
              <w:rPr>
                <w:b/>
              </w:rPr>
              <w:t>Comparação com ICE</w:t>
            </w:r>
          </w:p>
        </w:tc>
      </w:tr>
      <w:tr>
        <w:tc>
          <w:tcPr>
            <w:tcW w:type="dxa" w:w="2340"/>
          </w:tcPr>
          <w:p>
            <w:pPr>
              <w:spacing w:after="40"/>
            </w:pPr>
            <w:r>
              <w:rPr>
                <w:b/>
                <w:sz w:val="18"/>
              </w:rPr>
              <w:t>ICE</w:t>
            </w:r>
          </w:p>
        </w:tc>
        <w:tc>
          <w:tcPr>
            <w:tcW w:type="dxa" w:w="2340"/>
          </w:tcPr>
          <w:p>
            <w:pPr>
              <w:spacing w:after="40"/>
            </w:pPr>
            <w:r>
              <w:rPr>
                <w:sz w:val="18"/>
              </w:rPr>
              <w:t>0,82</w:t>
            </w:r>
          </w:p>
        </w:tc>
        <w:tc>
          <w:tcPr>
            <w:tcW w:type="dxa" w:w="2340"/>
          </w:tcPr>
          <w:p>
            <w:pPr>
              <w:spacing w:after="40"/>
            </w:pPr>
            <w:r>
              <w:rPr>
                <w:sz w:val="18"/>
              </w:rPr>
              <w:t>0,76 – 0,87</w:t>
            </w:r>
          </w:p>
        </w:tc>
        <w:tc>
          <w:tcPr>
            <w:tcW w:type="dxa" w:w="2340"/>
          </w:tcPr>
          <w:p>
            <w:pPr>
              <w:spacing w:after="40"/>
            </w:pPr>
            <w:r>
              <w:rPr>
                <w:sz w:val="18"/>
              </w:rPr>
              <w:t>—</w:t>
            </w:r>
          </w:p>
        </w:tc>
      </w:tr>
      <w:tr>
        <w:tc>
          <w:tcPr>
            <w:tcW w:type="dxa" w:w="2340"/>
          </w:tcPr>
          <w:p>
            <w:pPr>
              <w:spacing w:after="40"/>
            </w:pPr>
            <w:r>
              <w:rPr>
                <w:b/>
                <w:sz w:val="18"/>
              </w:rPr>
              <w:t>Kmax</w:t>
            </w:r>
          </w:p>
        </w:tc>
        <w:tc>
          <w:tcPr>
            <w:tcW w:type="dxa" w:w="2340"/>
          </w:tcPr>
          <w:p>
            <w:pPr>
              <w:spacing w:after="40"/>
            </w:pPr>
            <w:r>
              <w:rPr>
                <w:sz w:val="18"/>
              </w:rPr>
              <w:t>0,68</w:t>
            </w:r>
          </w:p>
        </w:tc>
        <w:tc>
          <w:tcPr>
            <w:tcW w:type="dxa" w:w="2340"/>
          </w:tcPr>
          <w:p>
            <w:pPr>
              <w:spacing w:after="40"/>
            </w:pPr>
            <w:r>
              <w:rPr>
                <w:sz w:val="18"/>
              </w:rPr>
              <w:t>0,61 – 0,75</w:t>
            </w:r>
          </w:p>
        </w:tc>
        <w:tc>
          <w:tcPr>
            <w:tcW w:type="dxa" w:w="2340"/>
          </w:tcPr>
          <w:p>
            <w:pPr>
              <w:spacing w:after="40"/>
            </w:pPr>
            <w:r>
              <w:rPr>
                <w:sz w:val="18"/>
              </w:rPr>
              <w:t>p = 0,012 (DeLong)</w:t>
            </w:r>
          </w:p>
        </w:tc>
      </w:tr>
      <w:tr>
        <w:tc>
          <w:tcPr>
            <w:tcW w:type="dxa" w:w="2340"/>
          </w:tcPr>
          <w:p>
            <w:pPr>
              <w:spacing w:after="40"/>
            </w:pPr>
            <w:r>
              <w:rPr>
                <w:b/>
                <w:sz w:val="18"/>
              </w:rPr>
              <w:t>Paquimetria Mínima</w:t>
            </w:r>
          </w:p>
        </w:tc>
        <w:tc>
          <w:tcPr>
            <w:tcW w:type="dxa" w:w="2340"/>
          </w:tcPr>
          <w:p>
            <w:pPr>
              <w:spacing w:after="40"/>
            </w:pPr>
            <w:r>
              <w:rPr>
                <w:sz w:val="18"/>
              </w:rPr>
              <w:t>0,64</w:t>
            </w:r>
          </w:p>
        </w:tc>
        <w:tc>
          <w:tcPr>
            <w:tcW w:type="dxa" w:w="2340"/>
          </w:tcPr>
          <w:p>
            <w:pPr>
              <w:spacing w:after="40"/>
            </w:pPr>
            <w:r>
              <w:rPr>
                <w:sz w:val="18"/>
              </w:rPr>
              <w:t>0,57 – 0,71</w:t>
            </w:r>
          </w:p>
        </w:tc>
        <w:tc>
          <w:tcPr>
            <w:tcW w:type="dxa" w:w="2340"/>
          </w:tcPr>
          <w:p>
            <w:pPr>
              <w:spacing w:after="40"/>
            </w:pPr>
            <w:r>
              <w:rPr>
                <w:sz w:val="18"/>
              </w:rPr>
              <w:t>p = 0,004 (DeLong)</w:t>
            </w:r>
          </w:p>
        </w:tc>
      </w:tr>
      <w:tr>
        <w:tc>
          <w:tcPr>
            <w:tcW w:type="dxa" w:w="2340"/>
          </w:tcPr>
          <w:p>
            <w:pPr>
              <w:spacing w:after="40"/>
            </w:pPr>
            <w:r>
              <w:rPr>
                <w:b/>
                <w:sz w:val="18"/>
              </w:rPr>
              <w:t>Estadiamento Amsler-Krumeich</w:t>
            </w:r>
          </w:p>
        </w:tc>
        <w:tc>
          <w:tcPr>
            <w:tcW w:type="dxa" w:w="2340"/>
          </w:tcPr>
          <w:p>
            <w:pPr>
              <w:spacing w:after="40"/>
            </w:pPr>
            <w:r>
              <w:rPr>
                <w:sz w:val="18"/>
              </w:rPr>
              <w:t>0,61</w:t>
            </w:r>
          </w:p>
        </w:tc>
        <w:tc>
          <w:tcPr>
            <w:tcW w:type="dxa" w:w="2340"/>
          </w:tcPr>
          <w:p>
            <w:pPr>
              <w:spacing w:after="40"/>
            </w:pPr>
            <w:r>
              <w:rPr>
                <w:sz w:val="18"/>
              </w:rPr>
              <w:t>0,54 – 0,68</w:t>
            </w:r>
          </w:p>
        </w:tc>
        <w:tc>
          <w:tcPr>
            <w:tcW w:type="dxa" w:w="2340"/>
          </w:tcPr>
          <w:p>
            <w:pPr>
              <w:spacing w:after="40"/>
            </w:pPr>
            <w:r>
              <w:rPr>
                <w:sz w:val="18"/>
              </w:rPr>
              <w:t>p &lt; 0,001 (DeLong)</w:t>
            </w:r>
          </w:p>
        </w:tc>
      </w:tr>
    </w:tbl>
    <w:p>
      <w:pPr>
        <w:keepNext/>
        <w:spacing w:before="400" w:after="120"/>
        <w:pBdr>
          <w:bottom w:val="single" w:sz="6" w:space="4" w:color="E2EAF4"/>
        </w:pBdr>
      </w:pPr>
      <w:r>
        <w:rPr>
          <w:rFonts w:ascii="Arial" w:hAnsi="Arial"/>
          <w:b/>
          <w:color w:val="17A1A5"/>
          <w:sz w:val="18"/>
        </w:rPr>
        <w:t xml:space="preserve">SEÇÃO 6: </w:t>
      </w:r>
      <w:r>
        <w:rPr>
          <w:rFonts w:ascii="Georgia" w:hAnsi="Georgia"/>
          <w:b/>
          <w:color w:val="0B1A2E"/>
          <w:sz w:val="28"/>
        </w:rPr>
        <w:t>Protocolo de Estudo Prospectivo Proposto</w:t>
      </w:r>
    </w:p>
    <w:p>
      <w:pPr>
        <w:spacing w:after="160" w:line="276" w:lineRule="auto"/>
      </w:pPr>
      <w:r>
        <w:rPr>
          <w:rFonts w:ascii="Arial" w:hAnsi="Arial"/>
          <w:i w:val="0"/>
          <w:color w:val="1E2D42"/>
          <w:sz w:val="20"/>
        </w:rPr>
        <w:t>Delineamento: Estudo de coorte prospectivo, multicêntrico, com cegamento do cirurgião para o resultado do ICE até o desfecho primário. Acompanhamento aos 6 meses pós-operatórios.</w:t>
      </w:r>
    </w:p>
    <w:p>
      <w:pPr>
        <w:spacing w:after="80" w:line="276" w:lineRule="auto"/>
      </w:pPr>
      <w:r>
        <w:rPr>
          <w:rFonts w:ascii="Arial" w:hAnsi="Arial"/>
          <w:i w:val="0"/>
          <w:color w:val="1E2D42"/>
          <w:sz w:val="20"/>
        </w:rPr>
        <w:t>Critérios de Seleção:</w:t>
      </w:r>
    </w:p>
    <w:p>
      <w:pPr>
        <w:pStyle w:val="ListBullet"/>
        <w:spacing w:after="80" w:line="276" w:lineRule="auto"/>
      </w:pPr>
      <w:r>
        <w:rPr>
          <w:rFonts w:ascii="Arial" w:hAnsi="Arial"/>
          <w:b/>
          <w:color w:val="0B1A2E"/>
          <w:sz w:val="20"/>
        </w:rPr>
        <w:t xml:space="preserve">Inclusão: </w:t>
      </w:r>
      <w:r>
        <w:rPr>
          <w:rFonts w:ascii="Arial" w:hAnsi="Arial"/>
          <w:color w:val="1E2D42"/>
          <w:sz w:val="20"/>
        </w:rPr>
        <w:t>Ceratocone confirmado (BAD-D &gt;= 1,6 ou Kmax &gt;= 47,2 D).</w:t>
      </w:r>
    </w:p>
    <w:p>
      <w:pPr>
        <w:pStyle w:val="ListBullet"/>
        <w:spacing w:after="80" w:line="276" w:lineRule="auto"/>
      </w:pPr>
      <w:r>
        <w:rPr>
          <w:rFonts w:ascii="Arial" w:hAnsi="Arial"/>
          <w:b/>
          <w:color w:val="0B1A2E"/>
          <w:sz w:val="20"/>
        </w:rPr>
        <w:t xml:space="preserve">Inclusão: </w:t>
      </w:r>
      <w:r>
        <w:rPr>
          <w:rFonts w:ascii="Arial" w:hAnsi="Arial"/>
          <w:color w:val="1E2D42"/>
          <w:sz w:val="20"/>
        </w:rPr>
        <w:t>Candidato a ICRS por indicação clínica independente; CDVA &lt;= 20/40; Idade &gt;= 18 anos.</w:t>
      </w:r>
    </w:p>
    <w:p>
      <w:pPr>
        <w:pStyle w:val="ListBullet"/>
        <w:spacing w:after="80" w:line="276" w:lineRule="auto"/>
      </w:pPr>
      <w:r>
        <w:rPr>
          <w:rFonts w:ascii="Arial" w:hAnsi="Arial"/>
          <w:b/>
          <w:color w:val="0B1A2E"/>
          <w:sz w:val="20"/>
        </w:rPr>
        <w:t xml:space="preserve">Inclusão: </w:t>
      </w:r>
      <w:r>
        <w:rPr>
          <w:rFonts w:ascii="Arial" w:hAnsi="Arial"/>
          <w:color w:val="1E2D42"/>
          <w:sz w:val="20"/>
        </w:rPr>
        <w:t>Dados completos disponíveis: Pentacam + aberrometria + refração manifesta.</w:t>
      </w:r>
    </w:p>
    <w:p>
      <w:pPr>
        <w:pStyle w:val="ListBullet"/>
        <w:spacing w:after="80" w:line="276" w:lineRule="auto"/>
      </w:pPr>
      <w:r>
        <w:rPr>
          <w:rFonts w:ascii="Arial" w:hAnsi="Arial"/>
          <w:b/>
          <w:color w:val="0B1A2E"/>
          <w:sz w:val="20"/>
        </w:rPr>
        <w:t xml:space="preserve">Exclusão: </w:t>
      </w:r>
      <w:r>
        <w:rPr>
          <w:rFonts w:ascii="Arial" w:hAnsi="Arial"/>
          <w:color w:val="1E2D42"/>
          <w:sz w:val="20"/>
        </w:rPr>
        <w:t>Cirurgia corneana prévia; Paquimetria mínima &lt; 350 µm.</w:t>
      </w:r>
    </w:p>
    <w:p>
      <w:pPr>
        <w:pStyle w:val="ListBullet"/>
        <w:spacing w:after="80" w:line="276" w:lineRule="auto"/>
      </w:pPr>
      <w:r>
        <w:rPr>
          <w:rFonts w:ascii="Arial" w:hAnsi="Arial"/>
          <w:b/>
          <w:color w:val="0B1A2E"/>
          <w:sz w:val="20"/>
        </w:rPr>
        <w:t xml:space="preserve">Exclusão: </w:t>
      </w:r>
      <w:r>
        <w:rPr>
          <w:rFonts w:ascii="Arial" w:hAnsi="Arial"/>
          <w:color w:val="1E2D42"/>
          <w:sz w:val="20"/>
        </w:rPr>
        <w:t>Doença ocular associada (glaucoma, uveíte); CXL simultâneo.</w:t>
      </w:r>
    </w:p>
    <w:p>
      <w:pPr>
        <w:spacing w:after="80" w:line="276" w:lineRule="auto"/>
      </w:pPr>
      <w:r>
        <w:rPr>
          <w:rFonts w:ascii="Arial" w:hAnsi="Arial"/>
          <w:i w:val="0"/>
          <w:color w:val="1E2D42"/>
          <w:sz w:val="20"/>
        </w:rPr>
        <w:t>Dimensionamento Amostral:</w:t>
      </w:r>
    </w:p>
    <w:p>
      <w:pPr>
        <w:pStyle w:val="ListBullet"/>
        <w:spacing w:after="80" w:line="276" w:lineRule="auto"/>
      </w:pPr>
      <w:r>
        <w:rPr>
          <w:rFonts w:ascii="Arial" w:hAnsi="Arial"/>
          <w:b/>
          <w:color w:val="0B1A2E"/>
          <w:sz w:val="20"/>
        </w:rPr>
        <w:t xml:space="preserve">Parâmetros: </w:t>
      </w:r>
      <w:r>
        <w:rPr>
          <w:rFonts w:ascii="Arial" w:hAnsi="Arial"/>
          <w:color w:val="1E2D42"/>
          <w:sz w:val="20"/>
        </w:rPr>
        <w:t>AUC esperada: 0,82 vs. AUC nula: 0,70. Poder: 80%. Alfa: 0,05.</w:t>
      </w:r>
    </w:p>
    <w:p>
      <w:pPr>
        <w:pStyle w:val="ListBullet"/>
        <w:spacing w:after="80" w:line="276" w:lineRule="auto"/>
      </w:pPr>
      <w:r>
        <w:rPr>
          <w:rFonts w:ascii="Arial" w:hAnsi="Arial"/>
          <w:b/>
          <w:color w:val="0B1A2E"/>
          <w:sz w:val="20"/>
        </w:rPr>
        <w:t xml:space="preserve">Tamanho: </w:t>
      </w:r>
      <w:r>
        <w:rPr>
          <w:rFonts w:ascii="Arial" w:hAnsi="Arial"/>
          <w:color w:val="1E2D42"/>
          <w:sz w:val="20"/>
        </w:rPr>
        <w:t>168 olhos necessários. Proposto com margem de perda: 202 olhos.</w:t>
      </w:r>
    </w:p>
    <w:p>
      <w:pPr>
        <w:spacing w:after="80" w:line="276" w:lineRule="auto"/>
      </w:pPr>
      <w:r>
        <w:rPr>
          <w:rFonts w:ascii="Arial" w:hAnsi="Arial"/>
          <w:i w:val="0"/>
          <w:color w:val="1E2D42"/>
          <w:sz w:val="20"/>
        </w:rPr>
        <w:t>Desfechos de Validação Clínicos: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Desfecho</w:t>
            </w:r>
          </w:p>
        </w:tc>
        <w:tc>
          <w:tcPr>
            <w:tcW w:type="dxa" w:w="3120"/>
          </w:tcPr>
          <w:p>
            <w:r>
              <w:rPr>
                <w:b/>
              </w:rPr>
              <w:t>Medida</w:t>
            </w:r>
          </w:p>
        </w:tc>
        <w:tc>
          <w:tcPr>
            <w:tcW w:type="dxa" w:w="3120"/>
          </w:tcPr>
          <w:p>
            <w:r>
              <w:rPr>
                <w:b/>
              </w:rPr>
              <w:t>Momento</w:t>
            </w:r>
          </w:p>
        </w:tc>
      </w:tr>
      <w:tr>
        <w:tc>
          <w:tcPr>
            <w:tcW w:type="dxa" w:w="3120"/>
          </w:tcPr>
          <w:p>
            <w:pPr>
              <w:spacing w:after="40"/>
            </w:pPr>
            <w:r>
              <w:rPr>
                <w:b/>
                <w:sz w:val="18"/>
              </w:rPr>
              <w:t>Primário</w:t>
            </w:r>
          </w:p>
        </w:tc>
        <w:tc>
          <w:tcPr>
            <w:tcW w:type="dxa" w:w="3120"/>
          </w:tcPr>
          <w:p>
            <w:pPr>
              <w:spacing w:after="40"/>
            </w:pPr>
            <w:r>
              <w:rPr>
                <w:sz w:val="18"/>
              </w:rPr>
              <w:t>Ganho de BCVA &gt;= 3 linhas Snellen</w:t>
            </w:r>
          </w:p>
        </w:tc>
        <w:tc>
          <w:tcPr>
            <w:tcW w:type="dxa" w:w="3120"/>
          </w:tcPr>
          <w:p>
            <w:pPr>
              <w:spacing w:after="40"/>
            </w:pPr>
            <w:r>
              <w:rPr>
                <w:sz w:val="18"/>
              </w:rPr>
              <w:t>6 meses</w:t>
            </w:r>
          </w:p>
        </w:tc>
      </w:tr>
      <w:tr>
        <w:tc>
          <w:tcPr>
            <w:tcW w:type="dxa" w:w="3120"/>
          </w:tcPr>
          <w:p>
            <w:pPr>
              <w:spacing w:after="40"/>
            </w:pPr>
            <w:r>
              <w:rPr>
                <w:b/>
                <w:sz w:val="18"/>
              </w:rPr>
              <w:t>Secundário 1</w:t>
            </w:r>
          </w:p>
        </w:tc>
        <w:tc>
          <w:tcPr>
            <w:tcW w:type="dxa" w:w="3120"/>
          </w:tcPr>
          <w:p>
            <w:pPr>
              <w:spacing w:after="40"/>
            </w:pPr>
            <w:r>
              <w:rPr>
                <w:sz w:val="18"/>
              </w:rPr>
              <w:t>Redução de Kmax &gt;= 2 D</w:t>
            </w:r>
          </w:p>
        </w:tc>
        <w:tc>
          <w:tcPr>
            <w:tcW w:type="dxa" w:w="3120"/>
          </w:tcPr>
          <w:p>
            <w:pPr>
              <w:spacing w:after="40"/>
            </w:pPr>
            <w:r>
              <w:rPr>
                <w:sz w:val="18"/>
              </w:rPr>
              <w:t>3 e 6 meses</w:t>
            </w:r>
          </w:p>
        </w:tc>
      </w:tr>
      <w:tr>
        <w:tc>
          <w:tcPr>
            <w:tcW w:type="dxa" w:w="3120"/>
          </w:tcPr>
          <w:p>
            <w:pPr>
              <w:spacing w:after="40"/>
            </w:pPr>
            <w:r>
              <w:rPr>
                <w:b/>
                <w:sz w:val="18"/>
              </w:rPr>
              <w:t>Secundário 2</w:t>
            </w:r>
          </w:p>
        </w:tc>
        <w:tc>
          <w:tcPr>
            <w:tcW w:type="dxa" w:w="3120"/>
          </w:tcPr>
          <w:p>
            <w:pPr>
              <w:spacing w:after="40"/>
            </w:pPr>
            <w:r>
              <w:rPr>
                <w:sz w:val="18"/>
              </w:rPr>
              <w:t>Variação de coma RMS</w:t>
            </w:r>
          </w:p>
        </w:tc>
        <w:tc>
          <w:tcPr>
            <w:tcW w:type="dxa" w:w="3120"/>
          </w:tcPr>
          <w:p>
            <w:pPr>
              <w:spacing w:after="40"/>
            </w:pPr>
            <w:r>
              <w:rPr>
                <w:sz w:val="18"/>
              </w:rPr>
              <w:t>6 meses</w:t>
            </w:r>
          </w:p>
        </w:tc>
      </w:tr>
      <w:tr>
        <w:tc>
          <w:tcPr>
            <w:tcW w:type="dxa" w:w="3120"/>
          </w:tcPr>
          <w:p>
            <w:pPr>
              <w:spacing w:after="40"/>
            </w:pPr>
            <w:r>
              <w:rPr>
                <w:b/>
                <w:sz w:val="18"/>
              </w:rPr>
              <w:t>Secundário 3</w:t>
            </w:r>
          </w:p>
        </w:tc>
        <w:tc>
          <w:tcPr>
            <w:tcW w:type="dxa" w:w="3120"/>
          </w:tcPr>
          <w:p>
            <w:pPr>
              <w:spacing w:after="40"/>
            </w:pPr>
            <w:r>
              <w:rPr>
                <w:sz w:val="18"/>
              </w:rPr>
              <w:t>Satisfação subjetiva (VFQ-25)</w:t>
            </w:r>
          </w:p>
        </w:tc>
        <w:tc>
          <w:tcPr>
            <w:tcW w:type="dxa" w:w="3120"/>
          </w:tcPr>
          <w:p>
            <w:pPr>
              <w:spacing w:after="40"/>
            </w:pPr>
            <w:r>
              <w:rPr>
                <w:sz w:val="18"/>
              </w:rPr>
              <w:t>6 meses</w:t>
            </w:r>
          </w:p>
        </w:tc>
      </w:tr>
      <w:tr>
        <w:tc>
          <w:tcPr>
            <w:tcW w:type="dxa" w:w="3120"/>
          </w:tcPr>
          <w:p>
            <w:pPr>
              <w:spacing w:after="40"/>
            </w:pPr>
            <w:r>
              <w:rPr>
                <w:b/>
                <w:sz w:val="18"/>
              </w:rPr>
              <w:t>Secundário 4</w:t>
            </w:r>
          </w:p>
        </w:tc>
        <w:tc>
          <w:tcPr>
            <w:tcW w:type="dxa" w:w="3120"/>
          </w:tcPr>
          <w:p>
            <w:pPr>
              <w:spacing w:after="40"/>
            </w:pPr>
            <w:r>
              <w:rPr>
                <w:sz w:val="18"/>
              </w:rPr>
              <w:t>Necessidade de explante ou reposicionamento</w:t>
            </w:r>
          </w:p>
        </w:tc>
        <w:tc>
          <w:tcPr>
            <w:tcW w:type="dxa" w:w="3120"/>
          </w:tcPr>
          <w:p>
            <w:pPr>
              <w:spacing w:after="40"/>
            </w:pPr>
            <w:r>
              <w:rPr>
                <w:sz w:val="18"/>
              </w:rPr>
              <w:t>12 meses</w:t>
            </w:r>
          </w:p>
        </w:tc>
      </w:tr>
    </w:tbl>
    <w:p>
      <w:pPr>
        <w:keepNext/>
        <w:spacing w:before="400" w:after="120"/>
        <w:pBdr>
          <w:bottom w:val="single" w:sz="6" w:space="4" w:color="E2EAF4"/>
        </w:pBdr>
      </w:pPr>
      <w:r>
        <w:rPr>
          <w:rFonts w:ascii="Arial" w:hAnsi="Arial"/>
          <w:b/>
          <w:color w:val="17A1A5"/>
          <w:sz w:val="18"/>
        </w:rPr>
        <w:t xml:space="preserve">SEÇÃO 7: </w:t>
      </w:r>
      <w:r>
        <w:rPr>
          <w:rFonts w:ascii="Georgia" w:hAnsi="Georgia"/>
          <w:b/>
          <w:color w:val="0B1A2E"/>
          <w:sz w:val="28"/>
        </w:rPr>
        <w:t>Cronograma Proposto</w:t>
      </w:r>
    </w:p>
    <w:p>
      <w:pPr>
        <w:spacing w:after="160" w:line="276" w:lineRule="auto"/>
      </w:pPr>
      <w:r>
        <w:rPr>
          <w:rFonts w:ascii="Arial" w:hAnsi="Arial"/>
          <w:b/>
          <w:color w:val="0B1A2E"/>
          <w:sz w:val="20"/>
        </w:rPr>
        <w:t xml:space="preserve">Fase 1 (Preparação): </w:t>
      </w:r>
      <w:r>
        <w:rPr>
          <w:rFonts w:ascii="Arial" w:hAnsi="Arial"/>
          <w:i w:val="0"/>
          <w:color w:val="1E2D42"/>
          <w:sz w:val="20"/>
        </w:rPr>
        <w:t>Mês 0–2: Cálculo ICE retrospectivo + calibração da fórmula nos 443 pares. Desenvolvimento de rotina automatizada.</w:t>
      </w:r>
    </w:p>
    <w:p>
      <w:pPr>
        <w:spacing w:after="160" w:line="276" w:lineRule="auto"/>
      </w:pPr>
      <w:r>
        <w:rPr>
          <w:rFonts w:ascii="Arial" w:hAnsi="Arial"/>
          <w:b/>
          <w:color w:val="0B1A2E"/>
          <w:sz w:val="20"/>
        </w:rPr>
        <w:t xml:space="preserve">Fase 2 (Aprovação): </w:t>
      </w:r>
      <w:r>
        <w:rPr>
          <w:rFonts w:ascii="Arial" w:hAnsi="Arial"/>
          <w:i w:val="0"/>
          <w:color w:val="1E2D42"/>
          <w:sz w:val="20"/>
        </w:rPr>
        <w:t>Mês 2–4: Protocolo formal, submissão ao CEP do comitê de ética e treinamento das equipes nos centros.</w:t>
      </w:r>
    </w:p>
    <w:p>
      <w:pPr>
        <w:spacing w:after="160" w:line="276" w:lineRule="auto"/>
      </w:pPr>
      <w:r>
        <w:rPr>
          <w:rFonts w:ascii="Arial" w:hAnsi="Arial"/>
          <w:b/>
          <w:color w:val="0B1A2E"/>
          <w:sz w:val="20"/>
        </w:rPr>
        <w:t xml:space="preserve">Fase 3 (Coleta): </w:t>
      </w:r>
      <w:r>
        <w:rPr>
          <w:rFonts w:ascii="Arial" w:hAnsi="Arial"/>
          <w:i w:val="0"/>
          <w:color w:val="1E2D42"/>
          <w:sz w:val="20"/>
        </w:rPr>
        <w:t>Mês 4–18: Recrutamento prospectivo e seguimento cego de 202 olhos (avaliações 1m, 3m, 6m).</w:t>
      </w:r>
    </w:p>
    <w:p>
      <w:pPr>
        <w:spacing w:after="160" w:line="276" w:lineRule="auto"/>
      </w:pPr>
      <w:r>
        <w:rPr>
          <w:rFonts w:ascii="Arial" w:hAnsi="Arial"/>
          <w:b/>
          <w:color w:val="0B1A2E"/>
          <w:sz w:val="20"/>
        </w:rPr>
        <w:t xml:space="preserve">Fase 4 (Escrita/Submissão): </w:t>
      </w:r>
      <w:r>
        <w:rPr>
          <w:rFonts w:ascii="Arial" w:hAnsi="Arial"/>
          <w:i w:val="0"/>
          <w:color w:val="1E2D42"/>
          <w:sz w:val="20"/>
        </w:rPr>
        <w:t>Mês 18–22: Análise de curvas ROC, regressão multivariada, escrita do artigo e submissão à revista científica (JRS ou Cornea).</w:t>
      </w:r>
    </w:p>
    <w:p>
      <w:pPr>
        <w:keepNext/>
        <w:spacing w:before="400" w:after="120"/>
        <w:pBdr>
          <w:bottom w:val="single" w:sz="6" w:space="4" w:color="E2EAF4"/>
        </w:pBdr>
      </w:pPr>
      <w:r>
        <w:rPr>
          <w:rFonts w:ascii="Arial" w:hAnsi="Arial"/>
          <w:b/>
          <w:color w:val="17A1A5"/>
          <w:sz w:val="18"/>
        </w:rPr>
        <w:t xml:space="preserve">SEÇÃO 8: </w:t>
      </w:r>
      <w:r>
        <w:rPr>
          <w:rFonts w:ascii="Georgia" w:hAnsi="Georgia"/>
          <w:b/>
          <w:color w:val="0B1A2E"/>
          <w:sz w:val="28"/>
        </w:rPr>
        <w:t>Recursos Desenvolvidos e Publicação Alvo</w:t>
      </w:r>
    </w:p>
    <w:p>
      <w:pPr>
        <w:spacing w:after="160" w:line="276" w:lineRule="auto"/>
      </w:pPr>
      <w:r>
        <w:rPr>
          <w:rFonts w:ascii="Arial" w:hAnsi="Arial"/>
          <w:i w:val="0"/>
          <w:color w:val="1E2D42"/>
          <w:sz w:val="20"/>
        </w:rPr>
        <w:t>Este projeto visa consolidar a validação do índice ICE através do protocolo prospectivo apresentado. Os recursos e resultados já desenvolvidos estão estruturados para fundamentar uma publicação científica principal.</w:t>
      </w:r>
    </w:p>
    <w:tbl>
      <w:tblPr>
        <w:tblStyle w:val="LightShading-Accent1"/>
        <w:tblW w:type="auto" w:w="0"/>
        <w:tblLook w:firstColumn="1" w:firstRow="1" w:lastColumn="0" w:lastRow="0" w:noHBand="0" w:noVBand="1" w:val="04A0"/>
      </w:tblPr>
      <w:tblGrid>
        <w:gridCol w:w="4680"/>
        <w:gridCol w:w="4680"/>
      </w:tblGrid>
      <w:tr>
        <w:tc>
          <w:tcPr>
            <w:tcW w:type="dxa" w:w="4680"/>
          </w:tcPr>
          <w:p>
            <w:r>
              <w:rPr>
                <w:b/>
                <w:color w:val="17A1A5"/>
                <w:sz w:val="19"/>
              </w:rPr>
              <w:t>Recursos já Desenvolvidos (Miguel Reis):</w:t>
              <w:br/>
            </w:r>
          </w:p>
          <w:p>
            <w:pPr>
              <w:pStyle w:val="ListBullet"/>
              <w:spacing w:after="40"/>
            </w:pPr>
            <w:r>
              <w:rPr>
                <w:sz w:val="18"/>
              </w:rPr>
              <w:t>Dados retrospectivos de 443 pares de exames.</w:t>
            </w:r>
          </w:p>
          <w:p>
            <w:pPr>
              <w:pStyle w:val="ListBullet"/>
              <w:spacing w:after="40"/>
            </w:pPr>
            <w:r>
              <w:rPr>
                <w:sz w:val="18"/>
              </w:rPr>
              <w:t>660 curvaturas SPR analisadas (evidência A-P).</w:t>
            </w:r>
          </w:p>
          <w:p>
            <w:pPr>
              <w:pStyle w:val="ListBullet"/>
              <w:spacing w:after="40"/>
            </w:pPr>
            <w:r>
              <w:rPr>
                <w:sz w:val="18"/>
              </w:rPr>
              <w:t>24 modelos biomecânicos FEM anisotrópicos HGO.</w:t>
            </w:r>
          </w:p>
          <w:p>
            <w:pPr>
              <w:pStyle w:val="ListBullet"/>
              <w:spacing w:after="40"/>
            </w:pPr>
            <w:r>
              <w:rPr>
                <w:sz w:val="18"/>
              </w:rPr>
              <w:t>Fórmula matemática ICE 2.0 funcional em Python.</w:t>
            </w:r>
          </w:p>
          <w:p>
            <w:pPr>
              <w:pStyle w:val="ListBullet"/>
              <w:spacing w:after="40"/>
            </w:pPr>
            <w:r>
              <w:rPr>
                <w:sz w:val="18"/>
              </w:rPr>
              <w:t>Revisão sistemática de 8 estudos clínicos concluída.</w:t>
            </w:r>
          </w:p>
          <w:p>
            <w:pPr>
              <w:pStyle w:val="ListBullet"/>
              <w:spacing w:after="40"/>
            </w:pPr>
            <w:r>
              <w:rPr>
                <w:sz w:val="18"/>
              </w:rPr>
              <w:t>Rascunho de artigo inicial estruturado.</w:t>
            </w:r>
          </w:p>
        </w:tc>
        <w:tc>
          <w:tcPr>
            <w:tcW w:type="dxa" w:w="4680"/>
          </w:tcPr>
          <w:p>
            <w:r>
              <w:rPr>
                <w:b/>
                <w:color w:val="17A1A5"/>
                <w:sz w:val="19"/>
              </w:rPr>
              <w:t>Requisitos para Validação Prospectiva:</w:t>
              <w:br/>
            </w:r>
          </w:p>
          <w:p>
            <w:pPr>
              <w:pStyle w:val="ListBullet"/>
              <w:spacing w:after="40"/>
            </w:pPr>
            <w:r>
              <w:rPr>
                <w:sz w:val="18"/>
              </w:rPr>
              <w:t>Coorte prospectiva com exames completos (pré e pós).</w:t>
            </w:r>
          </w:p>
          <w:p>
            <w:pPr>
              <w:pStyle w:val="ListBullet"/>
              <w:spacing w:after="40"/>
            </w:pPr>
            <w:r>
              <w:rPr>
                <w:sz w:val="18"/>
              </w:rPr>
              <w:t>Dados de aberrometria para cálculo do Bloco 3 (coma).</w:t>
            </w:r>
          </w:p>
          <w:p>
            <w:pPr>
              <w:pStyle w:val="ListBullet"/>
              <w:spacing w:after="40"/>
            </w:pPr>
            <w:r>
              <w:rPr>
                <w:sz w:val="18"/>
              </w:rPr>
              <w:t>Acompanhamento de acuidade visual corrigida (6m).</w:t>
            </w:r>
          </w:p>
          <w:p>
            <w:pPr>
              <w:pStyle w:val="ListBullet"/>
              <w:spacing w:after="40"/>
            </w:pPr>
            <w:r>
              <w:rPr>
                <w:sz w:val="18"/>
              </w:rPr>
              <w:t>Cegamento estrito da equipe de refração pós-operatória.</w:t>
            </w:r>
          </w:p>
          <w:p>
            <w:pPr>
              <w:pStyle w:val="ListBullet"/>
              <w:spacing w:after="40"/>
            </w:pPr>
            <w:r>
              <w:rPr>
                <w:sz w:val="18"/>
              </w:rPr>
              <w:t>Análise estatística ROC final para determinação de limiares.</w:t>
            </w:r>
          </w:p>
          <w:p>
            <w:pPr>
              <w:pStyle w:val="ListBullet"/>
              <w:spacing w:after="40"/>
            </w:pPr>
            <w:r>
              <w:rPr>
                <w:sz w:val="18"/>
              </w:rPr>
              <w:t>Ajuste estatístico usando TBI/BAD-D como covariáveis.</w:t>
            </w:r>
          </w:p>
        </w:tc>
      </w:tr>
    </w:tbl>
    <w:p>
      <w:pPr>
        <w:spacing w:after="160"/>
      </w:pPr>
    </w:p>
    <w:tbl>
      <w:tblPr>
        <w:tblW w:type="auto" w:w="0"/>
        <w:tblLook w:firstColumn="1" w:firstRow="1" w:lastColumn="0" w:lastRow="0" w:noHBand="0" w:noVBand="1" w:val="04A0"/>
      </w:tblPr>
      <w:tblGrid>
        <w:gridCol w:w="9360"/>
      </w:tblGrid>
      <w:tr>
        <w:tc>
          <w:tcPr>
            <w:tcW w:type="dxa" w:w="9360"/>
            <w:shd w:fill="F6F9FC"/>
            <w:tcMar>
              <w:top w:w="100" w:type="dxa"/>
              <w:bottom w:w="100" w:type="dxa"/>
              <w:left w:w="150" w:type="dxa"/>
              <w:right w:w="150" w:type="dxa"/>
            </w:tcMar>
          </w:tcPr>
          <w:p>
            <w:r>
              <w:rPr>
                <w:b/>
                <w:color w:val="0B1A2E"/>
                <w:sz w:val="18"/>
              </w:rPr>
              <w:t>PUBLICAÇÃO CIENTÍFICA ALVO (ARTIGO PRINCIPAL):</w:t>
              <w:br/>
            </w:r>
            <w:r>
              <w:rPr>
                <w:sz w:val="19"/>
              </w:rPr>
              <w:t>• Veículo: Journal of Refractive Surgery ou Cornea</w:t>
              <w:br/>
            </w:r>
            <w:r>
              <w:rPr>
                <w:sz w:val="19"/>
              </w:rPr>
              <w:t>• Título Proposto: "Validação prospectiva do Índice de Coerência do Eixo (ICE) como preditor de ganho visual após implante de anel intraestromal em ceratocone"</w:t>
              <w:br/>
            </w:r>
            <w:r>
              <w:rPr>
                <w:sz w:val="19"/>
              </w:rPr>
              <w:t>• Escopo: Apresentar a fundamentação biofísica (SPR/FEM), calibração retrospectiva (AUC 0,82) e acurácia diagnóstica prospectiva a 6 meses.</w:t>
            </w:r>
          </w:p>
        </w:tc>
      </w:tr>
    </w:tbl>
    <w:p>
      <w:pPr>
        <w:keepNext/>
        <w:spacing w:before="400" w:after="120"/>
        <w:pBdr>
          <w:bottom w:val="single" w:sz="6" w:space="4" w:color="E2EAF4"/>
        </w:pBdr>
      </w:pPr>
      <w:r>
        <w:rPr>
          <w:rFonts w:ascii="Arial" w:hAnsi="Arial"/>
          <w:b/>
          <w:color w:val="17A1A5"/>
          <w:sz w:val="18"/>
        </w:rPr>
        <w:t xml:space="preserve">SEÇÃO 9: </w:t>
      </w:r>
      <w:r>
        <w:rPr>
          <w:rFonts w:ascii="Georgia" w:hAnsi="Georgia"/>
          <w:b/>
          <w:color w:val="0B1A2E"/>
          <w:sz w:val="28"/>
        </w:rPr>
        <w:t>Posição Honesta — Limitações e Incertezas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Limitação Identificada</w:t>
            </w:r>
          </w:p>
        </w:tc>
        <w:tc>
          <w:tcPr>
            <w:tcW w:type="dxa" w:w="3120"/>
          </w:tcPr>
          <w:p>
            <w:r>
              <w:rPr>
                <w:b/>
              </w:rPr>
              <w:t>Status do Projeto</w:t>
            </w:r>
          </w:p>
        </w:tc>
        <w:tc>
          <w:tcPr>
            <w:tcW w:type="dxa" w:w="3120"/>
          </w:tcPr>
          <w:p>
            <w:r>
              <w:rPr>
                <w:b/>
              </w:rPr>
              <w:t>Estratégia de Mitigação</w:t>
            </w:r>
          </w:p>
        </w:tc>
      </w:tr>
      <w:tr>
        <w:tc>
          <w:tcPr>
            <w:tcW w:type="dxa" w:w="3120"/>
          </w:tcPr>
          <w:p>
            <w:pPr>
              <w:spacing w:after="40"/>
            </w:pPr>
            <w:r>
              <w:rPr>
                <w:b/>
                <w:sz w:val="18"/>
              </w:rPr>
              <w:t>AUC baseada em dados retrospectivos e biádicos</w:t>
            </w:r>
          </w:p>
        </w:tc>
        <w:tc>
          <w:tcPr>
            <w:tcW w:type="dxa" w:w="3120"/>
          </w:tcPr>
          <w:p>
            <w:pPr>
              <w:spacing w:after="40"/>
            </w:pPr>
            <w:r>
              <w:rPr>
                <w:sz w:val="18"/>
              </w:rPr>
              <w:t>Parcial</w:t>
            </w:r>
          </w:p>
        </w:tc>
        <w:tc>
          <w:tcPr>
            <w:tcW w:type="dxa" w:w="3120"/>
          </w:tcPr>
          <w:p>
            <w:pPr>
              <w:spacing w:after="40"/>
            </w:pPr>
            <w:r>
              <w:rPr>
                <w:sz w:val="18"/>
              </w:rPr>
              <w:t>Validação prospectiva com o índice triádico completo.</w:t>
            </w:r>
          </w:p>
        </w:tc>
      </w:tr>
      <w:tr>
        <w:tc>
          <w:tcPr>
            <w:tcW w:type="dxa" w:w="3120"/>
          </w:tcPr>
          <w:p>
            <w:pPr>
              <w:spacing w:after="40"/>
            </w:pPr>
            <w:r>
              <w:rPr>
                <w:b/>
                <w:sz w:val="18"/>
              </w:rPr>
              <w:t>θ_coma ausente na fórmula retrospectiva</w:t>
            </w:r>
          </w:p>
        </w:tc>
        <w:tc>
          <w:tcPr>
            <w:tcW w:type="dxa" w:w="3120"/>
          </w:tcPr>
          <w:p>
            <w:pPr>
              <w:spacing w:after="40"/>
            </w:pPr>
            <w:r>
              <w:rPr>
                <w:sz w:val="18"/>
              </w:rPr>
              <w:t>Pendente</w:t>
            </w:r>
          </w:p>
        </w:tc>
        <w:tc>
          <w:tcPr>
            <w:tcW w:type="dxa" w:w="3120"/>
          </w:tcPr>
          <w:p>
            <w:pPr>
              <w:spacing w:after="40"/>
            </w:pPr>
            <w:r>
              <w:rPr>
                <w:sz w:val="18"/>
              </w:rPr>
              <w:t>Inclusão de aberrometria sistemática no protocolo prospectivo.</w:t>
            </w:r>
          </w:p>
        </w:tc>
      </w:tr>
      <w:tr>
        <w:tc>
          <w:tcPr>
            <w:tcW w:type="dxa" w:w="3120"/>
          </w:tcPr>
          <w:p>
            <w:pPr>
              <w:spacing w:after="40"/>
            </w:pPr>
            <w:r>
              <w:rPr>
                <w:b/>
                <w:sz w:val="18"/>
              </w:rPr>
              <w:t>ICE-score e ICE-min não formalizados de forma independente</w:t>
            </w:r>
          </w:p>
        </w:tc>
        <w:tc>
          <w:tcPr>
            <w:tcW w:type="dxa" w:w="3120"/>
          </w:tcPr>
          <w:p>
            <w:pPr>
              <w:spacing w:after="40"/>
            </w:pPr>
            <w:r>
              <w:rPr>
                <w:sz w:val="18"/>
              </w:rPr>
              <w:t>Em revisão</w:t>
            </w:r>
          </w:p>
        </w:tc>
        <w:tc>
          <w:tcPr>
            <w:tcW w:type="dxa" w:w="3120"/>
          </w:tcPr>
          <w:p>
            <w:pPr>
              <w:spacing w:after="40"/>
            </w:pPr>
            <w:r>
              <w:rPr>
                <w:sz w:val="18"/>
              </w:rPr>
              <w:t>Artigo metodológico separado definindo ambos matematicamente.</w:t>
            </w:r>
          </w:p>
        </w:tc>
      </w:tr>
      <w:tr>
        <w:tc>
          <w:tcPr>
            <w:tcW w:type="dxa" w:w="3120"/>
          </w:tcPr>
          <w:p>
            <w:pPr>
              <w:spacing w:after="40"/>
            </w:pPr>
            <w:r>
              <w:rPr>
                <w:b/>
                <w:sz w:val="18"/>
              </w:rPr>
              <w:t>Limiares de decisão (0,50 / 0,65) derivados de dados externos</w:t>
            </w:r>
          </w:p>
        </w:tc>
        <w:tc>
          <w:tcPr>
            <w:tcW w:type="dxa" w:w="3120"/>
          </w:tcPr>
          <w:p>
            <w:pPr>
              <w:spacing w:after="40"/>
            </w:pPr>
            <w:r>
              <w:rPr>
                <w:sz w:val="18"/>
              </w:rPr>
              <w:t>Provisório</w:t>
            </w:r>
          </w:p>
        </w:tc>
        <w:tc>
          <w:tcPr>
            <w:tcW w:type="dxa" w:w="3120"/>
          </w:tcPr>
          <w:p>
            <w:pPr>
              <w:spacing w:after="40"/>
            </w:pPr>
            <w:r>
              <w:rPr>
                <w:sz w:val="18"/>
              </w:rPr>
              <w:t>Análise ROC primária do estudo prospectivo redefinirá os pontos.</w:t>
            </w:r>
          </w:p>
        </w:tc>
      </w:tr>
      <w:tr>
        <w:tc>
          <w:tcPr>
            <w:tcW w:type="dxa" w:w="3120"/>
          </w:tcPr>
          <w:p>
            <w:pPr>
              <w:spacing w:after="40"/>
            </w:pPr>
            <w:r>
              <w:rPr>
                <w:b/>
                <w:sz w:val="18"/>
              </w:rPr>
              <w:t>Modelos FEM com geometria corneana simplificada</w:t>
            </w:r>
          </w:p>
        </w:tc>
        <w:tc>
          <w:tcPr>
            <w:tcW w:type="dxa" w:w="3120"/>
          </w:tcPr>
          <w:p>
            <w:pPr>
              <w:spacing w:after="40"/>
            </w:pPr>
            <w:r>
              <w:rPr>
                <w:sz w:val="18"/>
              </w:rPr>
              <w:t>Robusto</w:t>
            </w:r>
          </w:p>
        </w:tc>
        <w:tc>
          <w:tcPr>
            <w:tcW w:type="dxa" w:w="3120"/>
          </w:tcPr>
          <w:p>
            <w:pPr>
              <w:spacing w:after="40"/>
            </w:pPr>
            <w:r>
              <w:rPr>
                <w:sz w:val="18"/>
              </w:rPr>
              <w:t>24 modelos com variação geométrica; resultados concordantes.</w:t>
            </w:r>
          </w:p>
        </w:tc>
      </w:tr>
      <w:tr>
        <w:tc>
          <w:tcPr>
            <w:tcW w:type="dxa" w:w="3120"/>
          </w:tcPr>
          <w:p>
            <w:pPr>
              <w:spacing w:after="40"/>
            </w:pPr>
            <w:r>
              <w:rPr>
                <w:b/>
                <w:sz w:val="18"/>
              </w:rPr>
              <w:t>Dissociação A-P da curvatura ainda não publicada</w:t>
            </w:r>
          </w:p>
        </w:tc>
        <w:tc>
          <w:tcPr>
            <w:tcW w:type="dxa" w:w="3120"/>
          </w:tcPr>
          <w:p>
            <w:pPr>
              <w:spacing w:after="40"/>
            </w:pPr>
            <w:r>
              <w:rPr>
                <w:sz w:val="18"/>
              </w:rPr>
              <w:t>Pronto</w:t>
            </w:r>
          </w:p>
        </w:tc>
        <w:tc>
          <w:tcPr>
            <w:tcW w:type="dxa" w:w="3120"/>
          </w:tcPr>
          <w:p>
            <w:pPr>
              <w:spacing w:after="40"/>
            </w:pPr>
            <w:r>
              <w:rPr>
                <w:sz w:val="18"/>
              </w:rPr>
              <w:t>Artigo metodológico escrito e pronto para submissão.</w:t>
            </w:r>
          </w:p>
        </w:tc>
      </w:tr>
    </w:tbl>
    <w:p>
      <w:pPr>
        <w:spacing w:after="200"/>
      </w:pPr>
    </w:p>
    <w:p>
      <w:pPr>
        <w:spacing w:after="160" w:line="276" w:lineRule="auto"/>
      </w:pPr>
      <w:r>
        <w:rPr>
          <w:rFonts w:ascii="Arial" w:hAnsi="Arial"/>
          <w:i/>
          <w:color w:val="1E2D42"/>
          <w:sz w:val="20"/>
        </w:rPr>
        <w:t>O ICE é, neste momento, uma hipótese biofisicamente fundamentada com suporte retrospectivo moderado. Não é um índice clínico validado. A presente proposta destina-se à avaliação de relevância científica por parte do Prof. Dr. Renato Ambrósio Jr., com o objetivo de colher parecer sobre o potencial de validação do índice no pipeline clínico.</w:t>
      </w:r>
    </w:p>
    <w:p>
      <w:pPr>
        <w:spacing w:after="400"/>
      </w:pPr>
    </w:p>
    <w:tbl>
      <w:tblPr>
        <w:tblW w:type="auto" w:w="0"/>
        <w:tblLook w:firstColumn="1" w:firstRow="1" w:lastColumn="0" w:lastRow="0" w:noHBand="0" w:noVBand="1" w:val="04A0"/>
      </w:tblPr>
      <w:tblGrid>
        <w:gridCol w:w="4680"/>
        <w:gridCol w:w="4680"/>
      </w:tblGrid>
      <w:tr>
        <w:tc>
          <w:tcPr>
            <w:tcW w:type="dxa" w:w="4680"/>
          </w:tcPr>
          <w:p>
            <w:r>
              <w:rPr>
                <w:b/>
              </w:rPr>
              <w:t>Miguel Reis</w:t>
              <w:br/>
            </w:r>
            <w:r>
              <w:rPr>
                <w:sz w:val="18"/>
              </w:rPr>
              <w:t>Biomecânica Corneana Computacional</w:t>
              <w:br/>
              <w:t>Projeto AVBC-ICRS · Junho 2026</w:t>
              <w:br/>
            </w:r>
            <w:r>
              <w:rPr>
                <w:i/>
                <w:sz w:val="17"/>
              </w:rPr>
              <w:t>Investigador Principal</w:t>
            </w:r>
          </w:p>
        </w:tc>
        <w:tc>
          <w:tcPr>
            <w:tcW w:type="dxa" w:w="4680"/>
          </w:tcPr>
          <w:p>
            <w:pPr>
              <w:jc w:val="right"/>
            </w:pPr>
            <w:r>
              <w:rPr>
                <w:b/>
              </w:rPr>
              <w:t>Prof. Dr. Renato Ambrósio Jr.</w:t>
              <w:br/>
            </w:r>
            <w:r>
              <w:rPr>
                <w:sz w:val="18"/>
              </w:rPr>
              <w:t>BrAIn — Rio de Janeiro</w:t>
              <w:br/>
              <w:t>Para Avaliação de Relevância Científica</w:t>
              <w:br/>
            </w:r>
            <w:r>
              <w:rPr>
                <w:i/>
                <w:sz w:val="17"/>
              </w:rPr>
              <w:t>Apreciação Científica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