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53.md" ContentType="text/markdown"/>
  <Override PartName="/word/media/rId57.md" ContentType="text/markdown"/>
  <Override PartName="/word/media/rId61.md" ContentType="text/markdown"/>
  <Override PartName="/word/media/rId65.md" ContentType="text/markdown"/>
  <Override PartName="/word/media/rId69.md" ContentType="text/markdown"/>
  <Override PartName="/word/media/rId73.md" ContentType="text/markdow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Xa900a6187b95a338091be7c881a71b83830d553"/>
    <w:p>
      <w:pPr>
        <w:pStyle w:val="Heading1"/>
      </w:pPr>
      <w:r>
        <w:t xml:space="preserve">Capítulo 4: Bio-Óptica e Técnica Cirúrgica - LASIK vs. PRK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Princípio Biomecânico Fundamental:</w:t>
      </w:r>
      <w:r>
        <w:t xml:space="preserve"> </w:t>
      </w:r>
      <w:r>
        <w:t xml:space="preserve">A estabilidade de qualquer perfil de ablação multifocal na córnea é limitada pela resposta fisiológica de cicatrização. Dois vetores principais opõem-se à estabilidade refrativa a longo prazo: a</w:t>
      </w:r>
      <w:r>
        <w:t xml:space="preserve"> </w:t>
      </w:r>
      <w:r>
        <w:rPr>
          <w:b/>
          <w:bCs/>
        </w:rPr>
        <w:t xml:space="preserve">Hiperplasia Epitelial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Remodelação Estromal</w:t>
      </w:r>
      <w:r>
        <w:t xml:space="preserve">. A compreensão destes processos biológicos é essencial para a seleção da técnica cirúrgica e para o ajuste de nomogramas em cirurgia presbiópica. [1]</w:t>
      </w:r>
    </w:p>
    <w:bookmarkStart w:id="16" w:name="X5f3dbc0d6feceb43985f470406cb168bf27772a"/>
    <w:p>
      <w:pPr>
        <w:pStyle w:val="Heading2"/>
      </w:pPr>
      <w:r>
        <w:t xml:space="preserve">4.1. Biologia da Cicatrização Corneana Pós-Excimer</w:t>
      </w:r>
    </w:p>
    <w:p>
      <w:pPr>
        <w:pStyle w:val="FirstParagraph"/>
      </w:pPr>
      <w:r>
        <w:t xml:space="preserve">A córnea não é uma estrutura óptica inerte. É um tecido vivo que responde ativamente a qualquer perturbação da sua geometria através de processos de remodelação celular e matriz extracelular.</w:t>
      </w:r>
    </w:p>
    <w:bookmarkStart w:id="15" w:name="fases-da-cicatrização-corneana"/>
    <w:p>
      <w:pPr>
        <w:pStyle w:val="Heading3"/>
      </w:pPr>
      <w:r>
        <w:t xml:space="preserve">4.1.1. Fases da Cicatrização Corneana</w:t>
      </w:r>
    </w:p>
    <w:p>
      <w:pPr>
        <w:pStyle w:val="FirstParagraph"/>
      </w:pPr>
      <w:r>
        <w:t xml:space="preserve">A resposta cicatricial após ablação excimer segue um padrão temporal bem caracterizado:</w:t>
      </w:r>
    </w:p>
    <w:bookmarkStart w:id="12" w:name="fase-aguda-0-7-dias"/>
    <w:p>
      <w:pPr>
        <w:pStyle w:val="Heading4"/>
      </w:pPr>
      <w:r>
        <w:t xml:space="preserve">Fase Aguda (0-7 dias)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Processo de Cicatrização da Córnea (Pós-Laser)" title="" id="10" name="Picture"/>
            <a:graphic>
              <a:graphicData uri="http://schemas.openxmlformats.org/drawingml/2006/picture">
                <pic:pic>
                  <pic:nvPicPr>
                    <pic:cNvPr descr="figures/chapter4/healing_casca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4.1: Cascata biológica de cicatrização pós-excimer. Note a libertação de citoquinas (IL-1, TNF-α) pelo epitélio lesado, induzindo apoptose de queratócitos e subsequente transformação em miofibroblastos (Haze).</w:t>
      </w:r>
    </w:p>
    <w:p>
      <w:pPr>
        <w:pStyle w:val="BodyText"/>
      </w:pPr>
      <w:r>
        <w:rPr>
          <w:b/>
          <w:bCs/>
        </w:rPr>
        <w:t xml:space="preserve">Eventos Celulares: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Apoptose de Queratócitos Superficiais:</w:t>
      </w:r>
      <w:r>
        <w:t xml:space="preserve"> </w:t>
      </w:r>
      <w:r>
        <w:t xml:space="preserve">- A radiação UV do excimer induz morte celular programada nas primeiras 100-150 μm do estroma</w:t>
      </w:r>
      <w:r>
        <w:t xml:space="preserve"> </w:t>
      </w:r>
      <w:r>
        <w:t xml:space="preserve">- Pico de apoptose: 4-6 horas pós-ablação</w:t>
      </w:r>
      <w:r>
        <w:t xml:space="preserve"> </w:t>
      </w:r>
      <w:r>
        <w:t xml:space="preserve">- Libertação de citoquinas (IL-1, TNF-α, TGF-β) que recrutam células inflamatórias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Migração e Proliferação Epitelial:</w:t>
      </w:r>
    </w:p>
    <w:p>
      <w:pPr>
        <w:pStyle w:val="Compact"/>
        <w:numPr>
          <w:ilvl w:val="1"/>
          <w:numId w:val="1002"/>
        </w:numPr>
      </w:pPr>
      <w:r>
        <w:t xml:space="preserve">Reepitelização completa: 3-5 dias (PRK/TransPRK)</w:t>
      </w:r>
    </w:p>
    <w:p>
      <w:pPr>
        <w:pStyle w:val="Compact"/>
        <w:numPr>
          <w:ilvl w:val="1"/>
          <w:numId w:val="1002"/>
        </w:numPr>
      </w:pPr>
      <w:r>
        <w:t xml:space="preserve">Migração centrípeta de células limbares</w:t>
      </w:r>
    </w:p>
    <w:p>
      <w:pPr>
        <w:pStyle w:val="Compact"/>
        <w:numPr>
          <w:ilvl w:val="1"/>
          <w:numId w:val="1002"/>
        </w:numPr>
      </w:pPr>
      <w:r>
        <w:t xml:space="preserve">Proliferação basal acelerada (ciclagem celular 12-16 horas, vs. 7-10 dias normal)</w:t>
      </w:r>
    </w:p>
    <w:p>
      <w:pPr>
        <w:pStyle w:val="FirstParagraph"/>
      </w:pPr>
      <w:r>
        <w:rPr>
          <w:b/>
          <w:bCs/>
        </w:rPr>
        <w:t xml:space="preserve">Implicação Clínica:</w:t>
      </w:r>
      <w:r>
        <w:br/>
      </w:r>
      <w:r>
        <w:t xml:space="preserve">Durante esta fase, a irregularidade da superfície epitelial causa flutuação refrativa significativa, especialmente em PRK. Visão funcional só é atingida após reepitelização completa.</w:t>
      </w:r>
    </w:p>
    <w:bookmarkEnd w:id="12"/>
    <w:bookmarkStart w:id="13" w:name="fase-subaguda-1-4-semanas"/>
    <w:p>
      <w:pPr>
        <w:pStyle w:val="Heading4"/>
      </w:pPr>
      <w:r>
        <w:t xml:space="preserve">Fase Subaguda (1-4 semanas)</w:t>
      </w:r>
    </w:p>
    <w:p>
      <w:pPr>
        <w:pStyle w:val="FirstParagraph"/>
      </w:pPr>
      <w:r>
        <w:rPr>
          <w:b/>
          <w:bCs/>
        </w:rPr>
        <w:t xml:space="preserve">Eventos Estromais: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Ativação de Queratócitos Residuais:</w:t>
      </w:r>
      <w:r>
        <w:t xml:space="preserve"> </w:t>
      </w:r>
      <w:r>
        <w:t xml:space="preserve">- Transformação fibroblástica (expressão de α-smooth muscle actin)</w:t>
      </w:r>
      <w:r>
        <w:t xml:space="preserve"> </w:t>
      </w:r>
      <w:r>
        <w:t xml:space="preserve">- Síntese de matriz extracelular (colagénio tipo I e III)</w:t>
      </w:r>
      <w:r>
        <w:t xml:space="preserve"> </w:t>
      </w:r>
      <w:r>
        <w:t xml:space="preserve">- Produção de metaloproteinases (MMPs) para remodelação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Remodelação Epitelial Inicial:</w:t>
      </w:r>
    </w:p>
    <w:p>
      <w:pPr>
        <w:pStyle w:val="Compact"/>
        <w:numPr>
          <w:ilvl w:val="1"/>
          <w:numId w:val="1004"/>
        </w:numPr>
      </w:pPr>
      <w:r>
        <w:t xml:space="preserve">Ajuste da espessura epitelial para compensar irregularidades estromais (ver Secção 4.2)</w:t>
      </w:r>
    </w:p>
    <w:p>
      <w:pPr>
        <w:pStyle w:val="FirstParagraph"/>
      </w:pPr>
      <w:r>
        <w:rPr>
          <w:b/>
          <w:bCs/>
        </w:rPr>
        <w:t xml:space="preserve">Implicação Clínica:</w:t>
      </w:r>
      <w:r>
        <w:br/>
      </w:r>
      <w:r>
        <w:t xml:space="preserve">Início da resposta de</w:t>
      </w:r>
      <w:r>
        <w:t xml:space="preserve"> </w:t>
      </w:r>
      <w:r>
        <w:t xml:space="preserve">“mascaramento”</w:t>
      </w:r>
      <w:r>
        <w:t xml:space="preserve"> </w:t>
      </w:r>
      <w:r>
        <w:t xml:space="preserve">epitelial. Em perfis presbiópicos hipermetrópicos (steepening central), o epitélio começa a adelgaçar sobre o ápice.</w:t>
      </w:r>
    </w:p>
    <w:bookmarkEnd w:id="13"/>
    <w:bookmarkStart w:id="14" w:name="fase-crónica-1-12-meses"/>
    <w:p>
      <w:pPr>
        <w:pStyle w:val="Heading4"/>
      </w:pPr>
      <w:r>
        <w:t xml:space="preserve">Fase Crónica (1-12 meses)</w:t>
      </w:r>
    </w:p>
    <w:p>
      <w:pPr>
        <w:pStyle w:val="FirstParagraph"/>
      </w:pPr>
      <w:r>
        <w:rPr>
          <w:b/>
          <w:bCs/>
        </w:rPr>
        <w:t xml:space="preserve">Remodelação Matricial: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Deposição de Colagénio:</w:t>
      </w:r>
      <w:r>
        <w:t xml:space="preserve"> </w:t>
      </w:r>
      <w:r>
        <w:t xml:space="preserve">- Síntese contínua de nova matriz extracelular</w:t>
      </w:r>
      <w:r>
        <w:t xml:space="preserve"> </w:t>
      </w:r>
      <w:r>
        <w:t xml:space="preserve">- Reorganização de fibras de colagénio (alinhamento lamellar)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Haze (em PRK):</w:t>
      </w:r>
    </w:p>
    <w:p>
      <w:pPr>
        <w:pStyle w:val="Compact"/>
        <w:numPr>
          <w:ilvl w:val="1"/>
          <w:numId w:val="1006"/>
        </w:numPr>
      </w:pPr>
      <w:r>
        <w:t xml:space="preserve">Pico: 1-3 meses</w:t>
      </w:r>
    </w:p>
    <w:p>
      <w:pPr>
        <w:pStyle w:val="Compact"/>
        <w:numPr>
          <w:ilvl w:val="1"/>
          <w:numId w:val="1006"/>
        </w:numPr>
      </w:pPr>
      <w:r>
        <w:t xml:space="preserve">Resolução: 6-12 meses (na maioria dos casos)</w:t>
      </w:r>
    </w:p>
    <w:p>
      <w:pPr>
        <w:pStyle w:val="Compact"/>
        <w:numPr>
          <w:ilvl w:val="1"/>
          <w:numId w:val="1006"/>
        </w:numPr>
      </w:pPr>
      <w:r>
        <w:t xml:space="preserve">Persistência: Correlaciona com profundidade de ablação e ausência de MMC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Estabilização Refrativa:</w:t>
      </w:r>
    </w:p>
    <w:p>
      <w:pPr>
        <w:pStyle w:val="Compact"/>
        <w:numPr>
          <w:ilvl w:val="1"/>
          <w:numId w:val="1007"/>
        </w:numPr>
      </w:pPr>
      <w:r>
        <w:t xml:space="preserve">Platô refrativo: 3-6 meses (LASIK), 6-12 meses (PRK)</w:t>
      </w:r>
    </w:p>
    <w:p>
      <w:pPr>
        <w:pStyle w:val="Compact"/>
        <w:numPr>
          <w:ilvl w:val="1"/>
          <w:numId w:val="1007"/>
        </w:numPr>
      </w:pPr>
      <w:r>
        <w:t xml:space="preserve">Regressão hipermetrópica: Maior em PRK hipermetrópico (10-15% vs. 5-8% LASIK) [2]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Xcd395bdc9b2bd1da97b2dbb983ebe4a17930425"/>
    <w:p>
      <w:pPr>
        <w:pStyle w:val="Heading2"/>
      </w:pPr>
      <w:r>
        <w:t xml:space="preserve">4.2. Remodelamento Epitelial: O Efeito de Mascaramento</w:t>
      </w:r>
    </w:p>
    <w:p>
      <w:pPr>
        <w:pStyle w:val="FirstParagraph"/>
      </w:pPr>
      <w:r>
        <w:t xml:space="preserve">O epitélio corneano possui uma capacidade remarkable de modular a sua espessura (de 35 μm a 65 μm) para compensar irregularidades estromais subjacentes, num processo denominado</w:t>
      </w:r>
      <w:r>
        <w:t xml:space="preserve"> </w:t>
      </w:r>
      <w:r>
        <w:rPr>
          <w:b/>
          <w:bCs/>
        </w:rPr>
        <w:t xml:space="preserve">remodelação epitelial compensatória</w:t>
      </w:r>
      <w:r>
        <w:t xml:space="preserve">.</w:t>
      </w:r>
    </w:p>
    <w:bookmarkStart w:id="17" w:name="mecanismo-fisiológico"/>
    <w:p>
      <w:pPr>
        <w:pStyle w:val="Heading3"/>
      </w:pPr>
      <w:r>
        <w:t xml:space="preserve">4.2.1. Mecanismo Fisiológico</w:t>
      </w:r>
    </w:p>
    <w:p>
      <w:pPr>
        <w:pStyle w:val="FirstParagraph"/>
      </w:pPr>
      <w:r>
        <w:rPr>
          <w:b/>
          <w:bCs/>
        </w:rPr>
        <w:t xml:space="preserve">Base Biomecânica:</w:t>
      </w:r>
    </w:p>
    <w:p>
      <w:pPr>
        <w:pStyle w:val="BodyText"/>
      </w:pPr>
      <w:r>
        <w:t xml:space="preserve">O epitélio comporta-se como um</w:t>
      </w:r>
      <w:r>
        <w:t xml:space="preserve"> </w:t>
      </w:r>
      <w:r>
        <w:rPr>
          <w:b/>
          <w:bCs/>
        </w:rPr>
        <w:t xml:space="preserve">fluido viscoelástico</w:t>
      </w:r>
      <w:r>
        <w:t xml:space="preserve"> </w:t>
      </w:r>
      <w:r>
        <w:t xml:space="preserve">que tende a preencher depressões e adelgaçar sobre elevações para criar uma superfície anterior lisa (minimização de energia de superfície).</w:t>
      </w:r>
    </w:p>
    <w:p>
      <w:pPr>
        <w:pStyle w:val="BodyText"/>
      </w:pPr>
      <w:r>
        <w:rPr>
          <w:b/>
          <w:bCs/>
        </w:rPr>
        <w:t xml:space="preserve">Regulação Celular: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Proliferação diferencial:</w:t>
      </w:r>
      <w:r>
        <w:t xml:space="preserve"> </w:t>
      </w:r>
      <w:r>
        <w:t xml:space="preserve">Zonas de maior stress mecânico (base de depressões) estimulam proliferação de células basais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Migração celular:</w:t>
      </w:r>
      <w:r>
        <w:t xml:space="preserve"> </w:t>
      </w:r>
      <w:r>
        <w:t xml:space="preserve">Gradientes de citoquinas (EGF, KGF) dirigem migração celular para áreas de menor densidade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Apoptose regulada:</w:t>
      </w:r>
      <w:r>
        <w:t xml:space="preserve"> </w:t>
      </w:r>
      <w:r>
        <w:t xml:space="preserve">Zonas de compressão (topo de elevações) aumentam apoptose</w:t>
      </w:r>
    </w:p>
    <w:bookmarkEnd w:id="17"/>
    <w:bookmarkStart w:id="18" w:name="X81f9812d44fd6621a04a09bcdb5b86445d7a6b0"/>
    <w:p>
      <w:pPr>
        <w:pStyle w:val="Heading3"/>
      </w:pPr>
      <w:r>
        <w:t xml:space="preserve">4.2.2. Impacto em Ablações Presbiópicas Hipermetrópicas</w:t>
      </w:r>
    </w:p>
    <w:p>
      <w:pPr>
        <w:pStyle w:val="FirstParagraph"/>
      </w:pPr>
      <w:r>
        <w:t xml:space="preserve">Em perfis presbiópicos que criam um</w:t>
      </w:r>
      <w:r>
        <w:t xml:space="preserve"> </w:t>
      </w:r>
      <w:r>
        <w:rPr>
          <w:b/>
          <w:bCs/>
        </w:rPr>
        <w:t xml:space="preserve">steepening central</w:t>
      </w:r>
      <w:r>
        <w:t xml:space="preserve"> </w:t>
      </w:r>
      <w:r>
        <w:t xml:space="preserve">(incurvamento para adicionar potência de perto), o padrão de remodelação epitelial é previsível e deletério:</w:t>
      </w:r>
    </w:p>
    <w:p>
      <w:pPr>
        <w:pStyle w:val="BodyText"/>
      </w:pPr>
      <w:r>
        <w:rPr>
          <w:b/>
          <w:bCs/>
        </w:rPr>
        <w:t xml:space="preserve">Padrão Típico: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8"/>
        <w:gridCol w:w="3090"/>
        <w:gridCol w:w="1931"/>
        <w:gridCol w:w="1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 Corneana</w:t>
            </w:r>
          </w:p>
        </w:tc>
        <w:tc>
          <w:tcPr/>
          <w:p>
            <w:pPr>
              <w:pStyle w:val="Compact"/>
            </w:pPr>
            <w:r>
              <w:t xml:space="preserve">Geometria Estromal Pós-Ablação</w:t>
            </w:r>
          </w:p>
        </w:tc>
        <w:tc>
          <w:tcPr/>
          <w:p>
            <w:pPr>
              <w:pStyle w:val="Compact"/>
            </w:pPr>
            <w:r>
              <w:t xml:space="preserve">Resposta Epitelial</w:t>
            </w:r>
          </w:p>
        </w:tc>
        <w:tc>
          <w:tcPr/>
          <w:p>
            <w:pPr>
              <w:pStyle w:val="Compact"/>
            </w:pPr>
            <w:r>
              <w:t xml:space="preserve">Efeito Óptico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(0-3 mm)</w:t>
            </w:r>
          </w:p>
        </w:tc>
        <w:tc>
          <w:tcPr/>
          <w:p>
            <w:pPr>
              <w:pStyle w:val="Compact"/>
            </w:pPr>
            <w:r>
              <w:t xml:space="preserve">Elevação (steep)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Adelgaçamento</w:t>
            </w:r>
            <w:r>
              <w:t xml:space="preserve"> </w:t>
            </w:r>
            <w:r>
              <w:t xml:space="preserve">(40-45 μm)</w:t>
            </w:r>
          </w:p>
        </w:tc>
        <w:tc>
          <w:tcPr/>
          <w:p>
            <w:pPr>
              <w:pStyle w:val="Compact"/>
            </w:pPr>
            <w:r>
              <w:t xml:space="preserve">Redução da potência central (perde Add)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Paracentral (3-5 mm)</w:t>
            </w:r>
          </w:p>
        </w:tc>
        <w:tc>
          <w:tcPr/>
          <w:p>
            <w:pPr>
              <w:pStyle w:val="Compact"/>
            </w:pPr>
            <w:r>
              <w:t xml:space="preserve">Zona de transição</w:t>
            </w:r>
          </w:p>
        </w:tc>
        <w:tc>
          <w:tcPr/>
          <w:p>
            <w:pPr>
              <w:pStyle w:val="Compact"/>
            </w:pPr>
            <w:r>
              <w:t xml:space="preserve">Espessura normal (~50 μm)</w:t>
            </w:r>
          </w:p>
        </w:tc>
        <w:tc>
          <w:tcPr/>
          <w:p>
            <w:pPr>
              <w:pStyle w:val="Compact"/>
            </w:pPr>
            <w:r>
              <w:t xml:space="preserve">Mínimo efeito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Periférica (5-7 mm)</w:t>
            </w:r>
          </w:p>
        </w:tc>
        <w:tc>
          <w:tcPr/>
          <w:p>
            <w:pPr>
              <w:pStyle w:val="Compact"/>
            </w:pPr>
            <w:r>
              <w:t xml:space="preserve">Depressão (ablação profunda)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Espessamento</w:t>
            </w:r>
            <w:r>
              <w:t xml:space="preserve"> </w:t>
            </w:r>
            <w:r>
              <w:t xml:space="preserve">(55-60 μm)</w:t>
            </w:r>
          </w:p>
        </w:tc>
        <w:tc>
          <w:tcPr/>
          <w:p>
            <w:pPr>
              <w:pStyle w:val="Compact"/>
            </w:pPr>
            <w:r>
              <w:t xml:space="preserve">“Preenche o fosso”</w:t>
            </w:r>
            <w:r>
              <w:t xml:space="preserve">, reduz prolatividade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Global:</w:t>
      </w:r>
      <w:r>
        <w:br/>
      </w:r>
      <w:r>
        <w:t xml:space="preserve">O perfil asférico induzido é</w:t>
      </w:r>
      <w:r>
        <w:t xml:space="preserve"> </w:t>
      </w:r>
      <w:r>
        <w:rPr>
          <w:b/>
          <w:bCs/>
        </w:rPr>
        <w:t xml:space="preserve">suavizado</w:t>
      </w:r>
      <w:r>
        <w:t xml:space="preserve"> </w:t>
      </w:r>
      <w:r>
        <w:t xml:space="preserve">(smoothing), reduzindo:</w:t>
      </w:r>
      <w:r>
        <w:t xml:space="preserve"> </w:t>
      </w:r>
      <w:r>
        <w:t xml:space="preserve">- A aberração esférica negativa planeada</w:t>
      </w:r>
      <w:r>
        <w:t xml:space="preserve"> </w:t>
      </w:r>
      <w:r>
        <w:t xml:space="preserve">- A profundidade de campo efetiva</w:t>
      </w:r>
      <w:r>
        <w:t xml:space="preserve"> </w:t>
      </w:r>
      <w:r>
        <w:t xml:space="preserve">- A adição de perto</w:t>
      </w:r>
    </w:p>
    <w:p>
      <w:pPr>
        <w:pStyle w:val="BodyText"/>
      </w:pPr>
      <w:r>
        <w:rPr>
          <w:b/>
          <w:bCs/>
        </w:rPr>
        <w:t xml:space="preserve">Magnitude da Perda:</w:t>
      </w:r>
    </w:p>
    <w:p>
      <w:pPr>
        <w:pStyle w:val="BodyText"/>
      </w:pPr>
      <w:r>
        <w:t xml:space="preserve">Estudos de Reinstein (Artemis VHF Digital Ultrasound) quantificaram: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Perda de Add:</w:t>
      </w:r>
      <w:r>
        <w:t xml:space="preserve"> </w:t>
      </w:r>
      <w:r>
        <w:t xml:space="preserve">0.25-0.50 D aos 6 meses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Redução de SA negativa:</w:t>
      </w:r>
      <w:r>
        <w:t xml:space="preserve"> </w:t>
      </w:r>
      <w:r>
        <w:t xml:space="preserve">15-25% do valor planeado [3]</w:t>
      </w:r>
    </w:p>
    <w:bookmarkEnd w:id="18"/>
    <w:bookmarkStart w:id="21" w:name="estratégias-de-compensação"/>
    <w:p>
      <w:pPr>
        <w:pStyle w:val="Heading3"/>
      </w:pPr>
      <w:r>
        <w:t xml:space="preserve">4.2.3. Estratégias de Compensação</w:t>
      </w:r>
    </w:p>
    <w:bookmarkStart w:id="19" w:name="X0df8968c576d62190d21f8f7d1b4c998a153e22"/>
    <w:p>
      <w:pPr>
        <w:pStyle w:val="Heading4"/>
      </w:pPr>
      <w:r>
        <w:t xml:space="preserve">Sobrecorreção Nomogramática (Overcorrection)</w:t>
      </w:r>
    </w:p>
    <w:p>
      <w:pPr>
        <w:pStyle w:val="FirstParagraph"/>
      </w:pPr>
      <w:r>
        <w:t xml:space="preserve">Incorporar no planeamento cirúrgico um factor de antecipação da regressão epitelial:</w:t>
      </w:r>
    </w:p>
    <w:p>
      <w:pPr>
        <w:pStyle w:val="BodyText"/>
      </w:pPr>
      <w:r>
        <w:rPr>
          <w:b/>
          <w:bCs/>
        </w:rPr>
        <w:t xml:space="preserve">Exemplo Prático:</w:t>
      </w:r>
    </w:p>
    <w:p>
      <w:pPr>
        <w:pStyle w:val="BodyText"/>
      </w:pPr>
      <w:r>
        <w:t xml:space="preserve">Se o target clínico é Add +1.50 D (equivalente a Q = -0.70):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programado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0.1</m:t>
          </m:r>
          <m:r>
            <m:rPr>
              <m:nor/>
              <m:sty m:val="p"/>
            </m:rPr>
            <m:t> a </m:t>
          </m:r>
          <m:r>
            <m:t>0.15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programado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0.70</m:t>
          </m:r>
          <m:r>
            <m:rPr>
              <m:sty m:val="p"/>
            </m:rPr>
            <m:t>−</m:t>
          </m:r>
          <m:r>
            <m:t>0.12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</m:oMath>
      </m:oMathPara>
    </w:p>
    <w:p>
      <w:pPr>
        <w:pStyle w:val="FirstParagraph"/>
      </w:pPr>
      <w:r>
        <w:rPr>
          <w:b/>
          <w:bCs/>
        </w:rPr>
        <w:t xml:space="preserve">Justificação:</w:t>
      </w:r>
      <w:r>
        <w:br/>
      </w:r>
      <w:r>
        <w:t xml:space="preserve">A sobrecorreção de 0.10-0.15 em Q compensa a perda esperada por alisamento epitelial.</w:t>
      </w:r>
    </w:p>
    <w:bookmarkEnd w:id="19"/>
    <w:bookmarkStart w:id="20" w:name="mitomicina-c-mmc-em-prk"/>
    <w:p>
      <w:pPr>
        <w:pStyle w:val="Heading4"/>
      </w:pPr>
      <w:r>
        <w:t xml:space="preserve">Mitomicina C (MMC) em PRK</w:t>
      </w:r>
    </w:p>
    <w:p>
      <w:pPr>
        <w:pStyle w:val="FirstParagraph"/>
      </w:pPr>
      <w:r>
        <w:t xml:space="preserve">A Mitomicina C modula a resposta cicatricial através 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Inibição de Proliferação Fibroblástica:</w:t>
      </w:r>
    </w:p>
    <w:p>
      <w:pPr>
        <w:pStyle w:val="Compact"/>
        <w:numPr>
          <w:ilvl w:val="1"/>
          <w:numId w:val="1010"/>
        </w:numPr>
      </w:pPr>
      <w:r>
        <w:t xml:space="preserve">Bloqueio do ciclo celular (fase G1/S)</w:t>
      </w:r>
    </w:p>
    <w:p>
      <w:pPr>
        <w:pStyle w:val="Compact"/>
        <w:numPr>
          <w:ilvl w:val="1"/>
          <w:numId w:val="1010"/>
        </w:numPr>
      </w:pPr>
      <w:r>
        <w:t xml:space="preserve">Redução de síntese de colagénio tipo III (pró-opacificação)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Redução de Remodelação Epitelial:</w:t>
      </w:r>
    </w:p>
    <w:p>
      <w:pPr>
        <w:pStyle w:val="Compact"/>
        <w:numPr>
          <w:ilvl w:val="1"/>
          <w:numId w:val="1011"/>
        </w:numPr>
      </w:pPr>
      <w:r>
        <w:t xml:space="preserve">Menor hiperplasia epitelial compensatória</w:t>
      </w:r>
    </w:p>
    <w:p>
      <w:pPr>
        <w:pStyle w:val="Compact"/>
        <w:numPr>
          <w:ilvl w:val="1"/>
          <w:numId w:val="1011"/>
        </w:numPr>
      </w:pPr>
      <w:r>
        <w:t xml:space="preserve">Preservação superior do perfil ablativo original</w:t>
      </w:r>
    </w:p>
    <w:p>
      <w:pPr>
        <w:pStyle w:val="FirstParagraph"/>
      </w:pPr>
      <w:r>
        <w:rPr>
          <w:b/>
          <w:bCs/>
        </w:rPr>
        <w:t xml:space="preserve">Protocolo Standard:</w:t>
      </w:r>
      <w:r>
        <w:t xml:space="preserve"> </w:t>
      </w:r>
      <w:r>
        <w:t xml:space="preserve">- Concentração: 0.02% (0.2 mg/mL)</w:t>
      </w:r>
      <w:r>
        <w:t xml:space="preserve"> </w:t>
      </w:r>
      <w:r>
        <w:t xml:space="preserve">- Aplicação: Esponja embebida sobre leito estromal desepitelizado</w:t>
      </w:r>
      <w:r>
        <w:t xml:space="preserve"> </w:t>
      </w:r>
      <w:r>
        <w:t xml:space="preserve">- Duração: 20-30 segundos (ablações &lt;60 μm) a 40-60 segundos (ablações &gt;60 μm)</w:t>
      </w:r>
      <w:r>
        <w:t xml:space="preserve"> </w:t>
      </w:r>
      <w:r>
        <w:t xml:space="preserve">- Lavagem: 20 mL BSS para remover resíduo</w:t>
      </w:r>
    </w:p>
    <w:p>
      <w:pPr>
        <w:pStyle w:val="BodyText"/>
      </w:pPr>
      <w:r>
        <w:rPr>
          <w:b/>
          <w:bCs/>
        </w:rPr>
        <w:t xml:space="preserve">Evidência:</w:t>
      </w:r>
      <w:r>
        <w:br/>
      </w:r>
      <w:r>
        <w:t xml:space="preserve">Meta-análise de Santhiago demonstrou redução de 60-70% na incidência de haze significativo (grau ≥2) em ablações hipermetrópicas &gt;+3.00 D. [4]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X0b39b41fbc33459358ddd285d86fd41a493a02b"/>
    <w:p>
      <w:pPr>
        <w:pStyle w:val="Heading2"/>
      </w:pPr>
      <w:r>
        <w:t xml:space="preserve">4.3. PRK Presbiópico: Indicações, Protocolo e Limitações</w:t>
      </w:r>
    </w:p>
    <w:p>
      <w:pPr>
        <w:pStyle w:val="FirstParagraph"/>
      </w:pPr>
      <w:r>
        <w:t xml:space="preserve">A ablação de superfície (PRK/TransPRK/LASEK) em presbiopia apresenta desafios específicos devido à natureza hipermetrópica (ou hiper-prolática) do perfil de ablação.</w:t>
      </w:r>
    </w:p>
    <w:bookmarkStart w:id="23" w:name="indicações-específicas-para-prk"/>
    <w:p>
      <w:pPr>
        <w:pStyle w:val="Heading3"/>
      </w:pPr>
      <w:r>
        <w:t xml:space="preserve">4.3.1. Indicações Específicas para PRK</w:t>
      </w:r>
    </w:p>
    <w:p>
      <w:pPr>
        <w:pStyle w:val="FirstParagraph"/>
      </w:pPr>
      <w:r>
        <w:rPr>
          <w:b/>
          <w:bCs/>
        </w:rPr>
        <w:t xml:space="preserve">Indicações Primárias: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Córnea Fina:</w:t>
      </w:r>
    </w:p>
    <w:p>
      <w:pPr>
        <w:pStyle w:val="Compact"/>
        <w:numPr>
          <w:ilvl w:val="1"/>
          <w:numId w:val="1013"/>
        </w:numPr>
      </w:pPr>
      <w:r>
        <w:t xml:space="preserve">Paquimetria &lt;500 μm (insuficiente para LASIK + ablação presbiópica)</w:t>
      </w:r>
    </w:p>
    <w:p>
      <w:pPr>
        <w:pStyle w:val="Compact"/>
        <w:numPr>
          <w:ilvl w:val="1"/>
          <w:numId w:val="1013"/>
        </w:numPr>
      </w:pPr>
      <w:r>
        <w:t xml:space="preserve">História de LASIK miópico prévio com Leito Estromal Residual (RSB) limítrofe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Profissões de Alto Risco Traumático:</w:t>
      </w:r>
    </w:p>
    <w:p>
      <w:pPr>
        <w:pStyle w:val="Compact"/>
        <w:numPr>
          <w:ilvl w:val="1"/>
          <w:numId w:val="1014"/>
        </w:numPr>
      </w:pPr>
      <w:r>
        <w:t xml:space="preserve">Desportistas de contacto</w:t>
      </w:r>
    </w:p>
    <w:p>
      <w:pPr>
        <w:pStyle w:val="Compact"/>
        <w:numPr>
          <w:ilvl w:val="1"/>
          <w:numId w:val="1014"/>
        </w:numPr>
      </w:pPr>
      <w:r>
        <w:t xml:space="preserve">Militares, polícias</w:t>
      </w:r>
    </w:p>
    <w:p>
      <w:pPr>
        <w:pStyle w:val="Compact"/>
        <w:numPr>
          <w:ilvl w:val="1"/>
          <w:numId w:val="1014"/>
        </w:numPr>
      </w:pPr>
      <w:r>
        <w:t xml:space="preserve">Risco de deslocamento de flap inaceitável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Retratamento Tardio:</w:t>
      </w:r>
    </w:p>
    <w:p>
      <w:pPr>
        <w:pStyle w:val="BlockText"/>
        <w:numPr>
          <w:ilvl w:val="1"/>
          <w:numId w:val="1015"/>
        </w:numPr>
      </w:pPr>
      <w:r>
        <w:t xml:space="preserve">5-10 anos após LASIK primário</w:t>
      </w:r>
    </w:p>
    <w:p>
      <w:pPr>
        <w:pStyle w:val="Compact"/>
        <w:numPr>
          <w:ilvl w:val="1"/>
          <w:numId w:val="1015"/>
        </w:numPr>
      </w:pPr>
      <w:r>
        <w:t xml:space="preserve">Interface cicatrizada; lifting de flap de alto risco (epithelial ingrowth)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Preferência do Paciente:</w:t>
      </w:r>
    </w:p>
    <w:p>
      <w:pPr>
        <w:pStyle w:val="Compact"/>
        <w:numPr>
          <w:ilvl w:val="1"/>
          <w:numId w:val="1016"/>
        </w:numPr>
      </w:pPr>
      <w:r>
        <w:t xml:space="preserve">Evitar criação de interface permanente</w:t>
      </w:r>
    </w:p>
    <w:p>
      <w:pPr>
        <w:pStyle w:val="Compact"/>
        <w:numPr>
          <w:ilvl w:val="1"/>
          <w:numId w:val="1016"/>
        </w:numPr>
      </w:pPr>
      <w:r>
        <w:t xml:space="preserve">Menor risco de olho seco a longo prazo (preservação de nervos estromais profundos)</w:t>
      </w:r>
    </w:p>
    <w:p>
      <w:pPr>
        <w:pStyle w:val="FirstParagraph"/>
      </w:pPr>
      <w:r>
        <w:rPr>
          <w:b/>
          <w:bCs/>
        </w:rPr>
        <w:t xml:space="preserve">Indicações Relativas:</w:t>
      </w:r>
    </w:p>
    <w:p>
      <w:pPr>
        <w:pStyle w:val="Compact"/>
        <w:numPr>
          <w:ilvl w:val="0"/>
          <w:numId w:val="1017"/>
        </w:numPr>
      </w:pPr>
      <w:r>
        <w:t xml:space="preserve">Distrofias da membrana basal (paciente bem controlado)</w:t>
      </w:r>
    </w:p>
    <w:p>
      <w:pPr>
        <w:pStyle w:val="Compact"/>
        <w:numPr>
          <w:ilvl w:val="0"/>
          <w:numId w:val="1017"/>
        </w:numPr>
      </w:pPr>
      <w:r>
        <w:t xml:space="preserve">Córnea irregular pós-PRK ou pós-RK (após regularização topoguiada)</w:t>
      </w:r>
    </w:p>
    <w:bookmarkEnd w:id="23"/>
    <w:bookmarkStart w:id="28" w:name="protocolo-cirúrgico-prk-presbiópico"/>
    <w:p>
      <w:pPr>
        <w:pStyle w:val="Heading3"/>
      </w:pPr>
      <w:r>
        <w:t xml:space="preserve">4.3.2. Protocolo Cirúrgico PRK Presbiópico</w:t>
      </w:r>
    </w:p>
    <w:bookmarkStart w:id="24" w:name="desepitelização"/>
    <w:p>
      <w:pPr>
        <w:pStyle w:val="Heading4"/>
      </w:pPr>
      <w:r>
        <w:t xml:space="preserve">Desepitelização</w:t>
      </w:r>
    </w:p>
    <w:p>
      <w:pPr>
        <w:pStyle w:val="FirstParagraph"/>
      </w:pPr>
      <w:r>
        <w:rPr>
          <w:b/>
          <w:bCs/>
        </w:rPr>
        <w:t xml:space="preserve">Opções Técnicas: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Mecânica (Amoils Brush Technique):</w:t>
      </w:r>
    </w:p>
    <w:p>
      <w:pPr>
        <w:pStyle w:val="Compact"/>
        <w:numPr>
          <w:ilvl w:val="1"/>
          <w:numId w:val="1019"/>
        </w:numPr>
      </w:pPr>
      <w:r>
        <w:t xml:space="preserve">Remoção com escova rotatória após instilação de álcool 20% (15-20 seg)</w:t>
      </w:r>
    </w:p>
    <w:p>
      <w:pPr>
        <w:pStyle w:val="Compact"/>
        <w:numPr>
          <w:ilvl w:val="1"/>
          <w:numId w:val="1019"/>
        </w:numPr>
      </w:pPr>
      <w:r>
        <w:t xml:space="preserve">Vantagem: Rápida, controlo visual direto</w:t>
      </w:r>
    </w:p>
    <w:p>
      <w:pPr>
        <w:pStyle w:val="Compact"/>
        <w:numPr>
          <w:ilvl w:val="1"/>
          <w:numId w:val="1019"/>
        </w:numPr>
      </w:pPr>
      <w:r>
        <w:t xml:space="preserve">Desvantagem: Variabilidade na profundidade de desepitelização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TransPRK (Excimer Laser Desepitelização):</w:t>
      </w:r>
    </w:p>
    <w:p>
      <w:pPr>
        <w:pStyle w:val="Compact"/>
        <w:numPr>
          <w:ilvl w:val="1"/>
          <w:numId w:val="1020"/>
        </w:numPr>
      </w:pPr>
      <w:r>
        <w:t xml:space="preserve">Laser remove epitélio (primeira fase) + estroma (segunda fase) sem toque</w:t>
      </w:r>
    </w:p>
    <w:p>
      <w:pPr>
        <w:pStyle w:val="Compact"/>
        <w:numPr>
          <w:ilvl w:val="1"/>
          <w:numId w:val="1020"/>
        </w:numPr>
      </w:pPr>
      <w:r>
        <w:t xml:space="preserve">Vantagem:</w:t>
      </w:r>
      <w:r>
        <w:t xml:space="preserve"> </w:t>
      </w:r>
      <w:r>
        <w:t xml:space="preserve">“No-touch”</w:t>
      </w:r>
      <w:r>
        <w:t xml:space="preserve">, reprodutibilidade, ausência de álcool (menos tóxico)</w:t>
      </w:r>
    </w:p>
    <w:p>
      <w:pPr>
        <w:pStyle w:val="Compact"/>
        <w:numPr>
          <w:ilvl w:val="1"/>
          <w:numId w:val="1020"/>
        </w:numPr>
      </w:pPr>
      <w:r>
        <w:t xml:space="preserve">Desvantagem: Consome tecido (50 μm epitélio + ablação), tempo laser mais longo</w:t>
      </w:r>
    </w:p>
    <w:p>
      <w:pPr>
        <w:pStyle w:val="FirstParagraph"/>
      </w:pPr>
      <w:r>
        <w:rPr>
          <w:b/>
          <w:bCs/>
        </w:rPr>
        <w:t xml:space="preserve">Recomendação em Presbiopia:</w:t>
      </w:r>
      <w:r>
        <w:br/>
      </w:r>
      <w:r>
        <w:t xml:space="preserve">TransPRK preferível em perfis complexos (multifocais) onde a centragem e precisão são críticas.</w:t>
      </w:r>
    </w:p>
    <w:bookmarkEnd w:id="24"/>
    <w:bookmarkStart w:id="25" w:name="ablação-presbiópica"/>
    <w:p>
      <w:pPr>
        <w:pStyle w:val="Heading4"/>
      </w:pPr>
      <w:r>
        <w:t xml:space="preserve">Ablação Presbiópica</w:t>
      </w:r>
    </w:p>
    <w:p>
      <w:pPr>
        <w:pStyle w:val="FirstParagraph"/>
      </w:pPr>
      <w:r>
        <w:rPr>
          <w:b/>
          <w:bCs/>
        </w:rPr>
        <w:t xml:space="preserve">Parâmetros-Chave: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Zona Óptica (OZ):</w:t>
      </w:r>
      <w:r>
        <w:t xml:space="preserve"> </w:t>
      </w:r>
      <w:r>
        <w:t xml:space="preserve">6.0-6.5 mm (baseada em pupila mesópica + 0.5 mm)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Zona de Transição (TZ):</w:t>
      </w:r>
      <w:r>
        <w:t xml:space="preserve"> </w:t>
      </w:r>
      <w:r>
        <w:t xml:space="preserve">Mínimo 1.5-2.0 mm para suavizar gradiente de potência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Total Ablation Diameter (TAD):</w:t>
      </w:r>
      <w:r>
        <w:t xml:space="preserve"> </w:t>
      </w:r>
      <w:r>
        <w:t xml:space="preserve">OZ + TZ = 7.5-8.5 mm</w:t>
      </w:r>
    </w:p>
    <w:p>
      <w:pPr>
        <w:pStyle w:val="FirstParagraph"/>
      </w:pPr>
      <w:r>
        <w:rPr>
          <w:b/>
          <w:bCs/>
        </w:rPr>
        <w:t xml:space="preserve">Perfil Asférico:</w:t>
      </w:r>
      <w:r>
        <w:t xml:space="preserve"> </w:t>
      </w:r>
      <w:r>
        <w:t xml:space="preserve">- Q-target: -0.70 a -1.00 (hiper-prolato)</w:t>
      </w:r>
      <w:r>
        <w:t xml:space="preserve"> </w:t>
      </w:r>
      <w:r>
        <w:t xml:space="preserve">- SA induzida: -0.40 a -0.60 μm (para pupila 6 mm)</w:t>
      </w:r>
    </w:p>
    <w:bookmarkEnd w:id="25"/>
    <w:bookmarkStart w:id="26" w:name="mitomicina-c-protocolo-otimizado"/>
    <w:p>
      <w:pPr>
        <w:pStyle w:val="Heading4"/>
      </w:pPr>
      <w:r>
        <w:t xml:space="preserve">Mitomicina C: Protocolo Otimizado</w:t>
      </w:r>
    </w:p>
    <w:p>
      <w:pPr>
        <w:pStyle w:val="FirstParagraph"/>
      </w:pPr>
      <w:r>
        <w:rPr>
          <w:b/>
          <w:bCs/>
        </w:rPr>
        <w:t xml:space="preserve">Indicação em Presbiopia:</w:t>
      </w:r>
      <w:r>
        <w:t xml:space="preserve"> </w:t>
      </w:r>
      <w:r>
        <w:t xml:space="preserve">MANDATÓRIA em qualquer ablação hipermetrópica &gt;+1.50 D ou Q-shift &gt;0.50.</w:t>
      </w:r>
    </w:p>
    <w:p>
      <w:pPr>
        <w:pStyle w:val="BodyText"/>
      </w:pPr>
      <w:r>
        <w:rPr>
          <w:b/>
          <w:bCs/>
        </w:rPr>
        <w:t xml:space="preserve">Técnica de Aplicação:</w:t>
      </w:r>
    </w:p>
    <w:p>
      <w:pPr>
        <w:pStyle w:val="Compact"/>
        <w:numPr>
          <w:ilvl w:val="0"/>
          <w:numId w:val="1022"/>
        </w:numPr>
      </w:pPr>
      <w:r>
        <w:t xml:space="preserve">Preparar solução 0.02% fresca (refrigerada, protegida da luz)</w:t>
      </w:r>
    </w:p>
    <w:p>
      <w:pPr>
        <w:pStyle w:val="Compact"/>
        <w:numPr>
          <w:ilvl w:val="0"/>
          <w:numId w:val="1022"/>
        </w:numPr>
      </w:pPr>
      <w:r>
        <w:t xml:space="preserve">Esponja Merocel (3-4 mm diâmetro) embebida em MMC</w:t>
      </w:r>
    </w:p>
    <w:p>
      <w:pPr>
        <w:pStyle w:val="Compact"/>
        <w:numPr>
          <w:ilvl w:val="0"/>
          <w:numId w:val="1022"/>
        </w:numPr>
      </w:pPr>
      <w:r>
        <w:t xml:space="preserve">Aplicar sobre leito estromal com pressão ligeira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Duração baseada em ablação:</w:t>
      </w:r>
    </w:p>
    <w:p>
      <w:pPr>
        <w:pStyle w:val="Compact"/>
        <w:numPr>
          <w:ilvl w:val="1"/>
          <w:numId w:val="1023"/>
        </w:numPr>
      </w:pPr>
      <w:r>
        <w:t xml:space="preserve">&lt;50 μm ablação: 20 segundos</w:t>
      </w:r>
    </w:p>
    <w:p>
      <w:pPr>
        <w:pStyle w:val="Compact"/>
        <w:numPr>
          <w:ilvl w:val="1"/>
          <w:numId w:val="1023"/>
        </w:numPr>
      </w:pPr>
      <w:r>
        <w:t xml:space="preserve">50-70 μm ablação: 30 segundos</w:t>
      </w:r>
    </w:p>
    <w:p>
      <w:pPr>
        <w:pStyle w:val="Compact"/>
        <w:numPr>
          <w:ilvl w:val="1"/>
          <w:numId w:val="1023"/>
        </w:numPr>
      </w:pPr>
      <w:r>
        <w:t xml:space="preserve">70-90 μm ablação: 40-45 segundos</w:t>
      </w:r>
    </w:p>
    <w:p>
      <w:pPr>
        <w:pStyle w:val="BlockText"/>
        <w:numPr>
          <w:ilvl w:val="1"/>
          <w:numId w:val="1023"/>
        </w:numPr>
      </w:pPr>
      <w:r>
        <w:t xml:space="preserve">90 μm ablação: 60 segundos (máximo)</w:t>
      </w:r>
    </w:p>
    <w:p>
      <w:pPr>
        <w:pStyle w:val="Compact"/>
        <w:numPr>
          <w:ilvl w:val="0"/>
          <w:numId w:val="1022"/>
        </w:numPr>
      </w:pPr>
      <w:r>
        <w:t xml:space="preserve">Lavagem copiosa: 20-30 mL BSS (mínimo 30 segundos de irrigação ativa)</w:t>
      </w:r>
    </w:p>
    <w:p>
      <w:pPr>
        <w:pStyle w:val="Compact"/>
        <w:numPr>
          <w:ilvl w:val="0"/>
          <w:numId w:val="1022"/>
        </w:numPr>
      </w:pPr>
      <w:r>
        <w:t xml:space="preserve">Secagem com esponja seca antes de colocar lente contacto terapêutica</w:t>
      </w:r>
    </w:p>
    <w:p>
      <w:pPr>
        <w:pStyle w:val="FirstParagraph"/>
      </w:pPr>
      <w:r>
        <w:rPr>
          <w:b/>
          <w:bCs/>
        </w:rPr>
        <w:t xml:space="preserve">Contra-Indicações à MMC:</w:t>
      </w:r>
      <w:r>
        <w:t xml:space="preserve"> </w:t>
      </w:r>
      <w:r>
        <w:t xml:space="preserve">- Glaucoma não controlado</w:t>
      </w:r>
      <w:r>
        <w:t xml:space="preserve"> </w:t>
      </w:r>
      <w:r>
        <w:t xml:space="preserve">- Defeito epitelial crónico ou distrofia epitelial ativa</w:t>
      </w:r>
      <w:r>
        <w:t xml:space="preserve"> </w:t>
      </w:r>
      <w:r>
        <w:t xml:space="preserve">- Córnea &lt;400 μm de espessura residual (risco teórico de toxicidade endotelial)</w:t>
      </w:r>
    </w:p>
    <w:bookmarkEnd w:id="26"/>
    <w:bookmarkStart w:id="27" w:name="lente-de-contacto-terapêutica-lct"/>
    <w:p>
      <w:pPr>
        <w:pStyle w:val="Heading4"/>
      </w:pPr>
      <w:r>
        <w:t xml:space="preserve">Lente de Contacto Terapêutica (LCT)</w:t>
      </w:r>
    </w:p>
    <w:p>
      <w:pPr>
        <w:pStyle w:val="FirstParagraph"/>
      </w:pPr>
      <w:r>
        <w:rPr>
          <w:b/>
          <w:bCs/>
        </w:rPr>
        <w:t xml:space="preserve">Protocolo: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Lotrafilcon A ou Senofilcon A (silicone-hidrogel, alta permeabilidade Dk/t &gt;100)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Duração:</w:t>
      </w:r>
      <w:r>
        <w:t xml:space="preserve"> </w:t>
      </w:r>
      <w:r>
        <w:t xml:space="preserve">5-7 dias (até reepitelização completa + 1-2 dias)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Remoção:</w:t>
      </w:r>
      <w:r>
        <w:t xml:space="preserve"> </w:t>
      </w:r>
      <w:r>
        <w:t xml:space="preserve">Apenas após confirmação de epitélio íntegro (teste de fluoresceína negativo)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1" w:name="lasik-presbiópico-o-padrão-ouro"/>
    <w:p>
      <w:pPr>
        <w:pStyle w:val="Heading2"/>
      </w:pPr>
      <w:r>
        <w:t xml:space="preserve">4.4. LASIK Presbiópico: O Padrão Ouro</w:t>
      </w:r>
    </w:p>
    <w:p>
      <w:pPr>
        <w:pStyle w:val="FirstParagraph"/>
      </w:pPr>
      <w:r>
        <w:t xml:space="preserve">O LASIK permanece a técnica de eleição para a correção presbiópica corneana devido à sua previsibilidade, estabilidade e rápida reabilitação visual.</w:t>
      </w:r>
    </w:p>
    <w:bookmarkStart w:id="32" w:name="vantagens-biomecânicas-e-ópticas"/>
    <w:p>
      <w:pPr>
        <w:pStyle w:val="Heading3"/>
      </w:pPr>
      <w:r>
        <w:t xml:space="preserve">4.4.1. Vantagens Biomecânicas e Ópticas</w:t>
      </w:r>
    </w:p>
    <w:bookmarkStart w:id="30" w:name="estabilidade-refrativa-superior"/>
    <w:p>
      <w:pPr>
        <w:pStyle w:val="Heading4"/>
      </w:pPr>
      <w:r>
        <w:t xml:space="preserve">Estabilidade Refrativa Superior</w:t>
      </w:r>
    </w:p>
    <w:p>
      <w:pPr>
        <w:pStyle w:val="FirstParagraph"/>
      </w:pPr>
      <w:r>
        <w:rPr>
          <w:b/>
          <w:bCs/>
        </w:rPr>
        <w:t xml:space="preserve">Comparação PRK vs. LASIK (Ablação Hipermetrópica +2.00 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164"/>
        <w:gridCol w:w="1630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PRK</w:t>
            </w:r>
          </w:p>
        </w:tc>
        <w:tc>
          <w:tcPr/>
          <w:p>
            <w:pPr>
              <w:pStyle w:val="Compact"/>
            </w:pPr>
            <w:r>
              <w:t xml:space="preserve">LASIK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Regressão aos 12 meses</w:t>
            </w:r>
          </w:p>
        </w:tc>
        <w:tc>
          <w:tcPr/>
          <w:p>
            <w:pPr>
              <w:pStyle w:val="Compact"/>
            </w:pPr>
            <w:r>
              <w:t xml:space="preserve">0.40-0.75 D</w:t>
            </w:r>
          </w:p>
        </w:tc>
        <w:tc>
          <w:tcPr/>
          <w:p>
            <w:pPr>
              <w:pStyle w:val="Compact"/>
            </w:pPr>
            <w:r>
              <w:t xml:space="preserve">0.15-0.30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2-3× menor no 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Incidência de Haze</w:t>
            </w:r>
          </w:p>
        </w:tc>
        <w:tc>
          <w:tcPr/>
          <w:p>
            <w:pPr>
              <w:pStyle w:val="Compact"/>
            </w:pPr>
            <w:r>
              <w:t xml:space="preserve">15-25% (grau ≥1)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7-10× menor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Retratamento</w:t>
            </w:r>
          </w:p>
        </w:tc>
        <w:tc>
          <w:tcPr/>
          <w:p>
            <w:pPr>
              <w:pStyle w:val="Compact"/>
            </w:pPr>
            <w:r>
              <w:t xml:space="preserve">18-22%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~50% redução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até Estabilização</w:t>
            </w:r>
          </w:p>
        </w:tc>
        <w:tc>
          <w:tcPr/>
          <w:p>
            <w:pPr>
              <w:pStyle w:val="Compact"/>
            </w:pPr>
            <w:r>
              <w:t xml:space="preserve">6-12 meses</w:t>
            </w:r>
          </w:p>
        </w:tc>
        <w:tc>
          <w:tcPr/>
          <w:p>
            <w:pPr>
              <w:pStyle w:val="Compact"/>
            </w:pPr>
            <w:r>
              <w:t xml:space="preserve">3-6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2× mais rápido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Mecanismo da Superioridade: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Barreira Mecânica do Flap:</w:t>
      </w:r>
    </w:p>
    <w:p>
      <w:pPr>
        <w:pStyle w:val="Compact"/>
        <w:numPr>
          <w:ilvl w:val="1"/>
          <w:numId w:val="1026"/>
        </w:numPr>
      </w:pPr>
      <w:r>
        <w:t xml:space="preserve">O flap atua como uma</w:t>
      </w:r>
      <w:r>
        <w:t xml:space="preserve"> </w:t>
      </w:r>
      <w:r>
        <w:t xml:space="preserve">“membrana limitante”</w:t>
      </w:r>
      <w:r>
        <w:t xml:space="preserve"> </w:t>
      </w:r>
      <w:r>
        <w:t xml:space="preserve">que reduz a comunicação entre epitélio e estroma</w:t>
      </w:r>
    </w:p>
    <w:p>
      <w:pPr>
        <w:pStyle w:val="Compact"/>
        <w:numPr>
          <w:ilvl w:val="1"/>
          <w:numId w:val="1026"/>
        </w:numPr>
      </w:pPr>
      <w:r>
        <w:t xml:space="preserve">Menor transmissão de citoquinas pró-fibróticas (TGF-β1)</w:t>
      </w:r>
    </w:p>
    <w:p>
      <w:pPr>
        <w:pStyle w:val="Compact"/>
        <w:numPr>
          <w:ilvl w:val="1"/>
          <w:numId w:val="1026"/>
        </w:numPr>
      </w:pPr>
      <w:r>
        <w:t xml:space="preserve">Menor ativação de fibroblastos estromais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Preservação de Células Limbares:</w:t>
      </w:r>
    </w:p>
    <w:p>
      <w:pPr>
        <w:pStyle w:val="Compact"/>
        <w:numPr>
          <w:ilvl w:val="1"/>
          <w:numId w:val="1027"/>
        </w:numPr>
      </w:pPr>
      <w:r>
        <w:t xml:space="preserve">Hinge (dobradiça) intacta preserva população de células-tronco limbares</w:t>
      </w:r>
    </w:p>
    <w:p>
      <w:pPr>
        <w:pStyle w:val="Compact"/>
        <w:numPr>
          <w:ilvl w:val="1"/>
          <w:numId w:val="1027"/>
        </w:numPr>
      </w:pPr>
      <w:r>
        <w:t xml:space="preserve">Reepitelização mais fisiológica (migração centrípeta ordenada vs. caótica em PRK)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Menor Exposição ao Ambiente:</w:t>
      </w:r>
    </w:p>
    <w:p>
      <w:pPr>
        <w:pStyle w:val="Compact"/>
        <w:numPr>
          <w:ilvl w:val="1"/>
          <w:numId w:val="1028"/>
        </w:numPr>
      </w:pPr>
      <w:r>
        <w:t xml:space="preserve">Interface protegida; leito estromal não exposto a lágrima (com mediadores inflamatórios)</w:t>
      </w:r>
    </w:p>
    <w:bookmarkEnd w:id="30"/>
    <w:bookmarkStart w:id="31" w:name="X7a31677373617609a313f4e417310199a12e023"/>
    <w:p>
      <w:pPr>
        <w:pStyle w:val="Heading4"/>
      </w:pPr>
      <w:r>
        <w:t xml:space="preserve">Efeito de</w:t>
      </w:r>
      <w:r>
        <w:t xml:space="preserve"> </w:t>
      </w:r>
      <w:r>
        <w:t xml:space="preserve">“Low-Pass Filter”</w:t>
      </w:r>
      <w:r>
        <w:t xml:space="preserve"> </w:t>
      </w:r>
      <w:r>
        <w:t xml:space="preserve">(Filtro Passa-Baixa)</w:t>
      </w:r>
    </w:p>
    <w:p>
      <w:pPr>
        <w:pStyle w:val="FirstParagraph"/>
      </w:pPr>
      <w:r>
        <w:t xml:space="preserve">O flap suaviza micro-irregularidades de alta frequência espacial do perfil de ablação:</w:t>
      </w:r>
    </w:p>
    <w:p>
      <w:pPr>
        <w:pStyle w:val="BodyText"/>
      </w:pPr>
      <w:r>
        <w:rPr>
          <w:b/>
          <w:bCs/>
        </w:rPr>
        <w:t xml:space="preserve">Vantagem:</w:t>
      </w:r>
      <w:r>
        <w:br/>
      </w:r>
      <w:r>
        <w:t xml:space="preserve">Reduz aberrações de ordem muito alta (5ª, 6ª ordem) que são opticamente deletérias.</w:t>
      </w:r>
    </w:p>
    <w:p>
      <w:pPr>
        <w:pStyle w:val="BodyText"/>
      </w:pPr>
      <w:r>
        <w:rPr>
          <w:b/>
          <w:bCs/>
        </w:rPr>
        <w:t xml:space="preserve">Desvantagem:</w:t>
      </w:r>
      <w:r>
        <w:br/>
      </w:r>
      <w:r>
        <w:t xml:space="preserve">Pode</w:t>
      </w:r>
      <w:r>
        <w:t xml:space="preserve"> </w:t>
      </w:r>
      <w:r>
        <w:t xml:space="preserve">“amortecer”</w:t>
      </w:r>
      <w:r>
        <w:t xml:space="preserve"> </w:t>
      </w:r>
      <w:r>
        <w:t xml:space="preserve">detalhes finos de perfis de ablação muito complexos (ex: multifocal com múltiplas zonas anulares discretas).</w:t>
      </w:r>
    </w:p>
    <w:p>
      <w:pPr>
        <w:pStyle w:val="BodyText"/>
      </w:pPr>
      <w:r>
        <w:rPr>
          <w:b/>
          <w:bCs/>
        </w:rPr>
        <w:t xml:space="preserve">Implicação:</w:t>
      </w:r>
      <w:r>
        <w:br/>
      </w:r>
      <w:r>
        <w:t xml:space="preserve">Para perfis presbiópicos baseados em SA negativa contínua (Custom-Q, PRESBYOND), o LASIK é ideal. Para perfis multi-zonais abruptos (PresbyMAX híbrido), a transmissão pode ser ligeiramente reduzida.</w:t>
      </w:r>
    </w:p>
    <w:bookmarkEnd w:id="31"/>
    <w:bookmarkEnd w:id="32"/>
    <w:bookmarkStart w:id="35" w:name="Xab323532c9641a4b5df17f884e689fb9f953aaa"/>
    <w:p>
      <w:pPr>
        <w:pStyle w:val="Heading3"/>
      </w:pPr>
      <w:r>
        <w:t xml:space="preserve">4.4.2. Criação do Flap: Femtosegundo vs. Microquerátomo</w:t>
      </w:r>
    </w:p>
    <w:bookmarkStart w:id="33" w:name="X641980fccbb991900b6084da0da3bb80d797bb7"/>
    <w:p>
      <w:pPr>
        <w:pStyle w:val="Heading4"/>
      </w:pPr>
      <w:r>
        <w:t xml:space="preserve">Femtosegundo Laser (Tecnologia Atual Dominante)</w:t>
      </w:r>
    </w:p>
    <w:p>
      <w:pPr>
        <w:pStyle w:val="FirstParagraph"/>
      </w:pPr>
      <w:r>
        <w:rPr>
          <w:b/>
          <w:bCs/>
        </w:rPr>
        <w:t xml:space="preserve">Vantagens: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Espessura Previsível:</w:t>
      </w:r>
    </w:p>
    <w:p>
      <w:pPr>
        <w:pStyle w:val="Compact"/>
        <w:numPr>
          <w:ilvl w:val="1"/>
          <w:numId w:val="1030"/>
        </w:numPr>
      </w:pPr>
      <w:r>
        <w:t xml:space="preserve">Variação intra-operatória: ±5-10 μm</w:t>
      </w:r>
    </w:p>
    <w:p>
      <w:pPr>
        <w:pStyle w:val="Compact"/>
        <w:numPr>
          <w:ilvl w:val="1"/>
          <w:numId w:val="1030"/>
        </w:numPr>
      </w:pPr>
      <w:r>
        <w:t xml:space="preserve">Microquerátomo: ±15-30 μm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Implicação:</w:t>
      </w:r>
      <w:r>
        <w:t xml:space="preserve"> </w:t>
      </w:r>
      <w:r>
        <w:t xml:space="preserve">Cálculo de Leito Estromal Residual (RSB) mais fiável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Geometria Customizável:</w:t>
      </w:r>
    </w:p>
    <w:p>
      <w:pPr>
        <w:pStyle w:val="Compact"/>
        <w:numPr>
          <w:ilvl w:val="1"/>
          <w:numId w:val="1031"/>
        </w:numPr>
      </w:pPr>
      <w:r>
        <w:t xml:space="preserve">Ângulo de corte lateral: 70-90° (vs. meniscus do microquerátomo)</w:t>
      </w:r>
    </w:p>
    <w:p>
      <w:pPr>
        <w:pStyle w:val="Compact"/>
        <w:numPr>
          <w:ilvl w:val="1"/>
          <w:numId w:val="1031"/>
        </w:numPr>
      </w:pPr>
      <w:r>
        <w:t xml:space="preserve">Diâmetro ajustável (8.5-9.5 mm)</w:t>
      </w:r>
    </w:p>
    <w:p>
      <w:pPr>
        <w:pStyle w:val="Compact"/>
        <w:numPr>
          <w:ilvl w:val="1"/>
          <w:numId w:val="1031"/>
        </w:numPr>
      </w:pPr>
      <w:r>
        <w:t xml:space="preserve">Posicionamento de hinge superior (preferível) vs. nasal/temporal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Complicações Reduzidas:</w:t>
      </w:r>
    </w:p>
    <w:p>
      <w:pPr>
        <w:pStyle w:val="Compact"/>
        <w:numPr>
          <w:ilvl w:val="1"/>
          <w:numId w:val="1032"/>
        </w:numPr>
      </w:pPr>
      <w:r>
        <w:t xml:space="preserve">Risco de flap irregular/buttonhole: &lt;0.1% (vs. 1-2% microquerátomo)</w:t>
      </w:r>
    </w:p>
    <w:p>
      <w:pPr>
        <w:pStyle w:val="Compact"/>
        <w:numPr>
          <w:ilvl w:val="1"/>
          <w:numId w:val="1032"/>
        </w:numPr>
      </w:pPr>
      <w:r>
        <w:t xml:space="preserve">Sem risco de free cap (perda de hinge)</w:t>
      </w:r>
    </w:p>
    <w:p>
      <w:pPr>
        <w:pStyle w:val="FirstParagraph"/>
      </w:pPr>
      <w:r>
        <w:rPr>
          <w:b/>
          <w:bCs/>
        </w:rPr>
        <w:t xml:space="preserve">Desvantagens: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Opaque Bubble Layer (OBL):</w:t>
      </w:r>
      <w:r>
        <w:t xml:space="preserve"> </w:t>
      </w:r>
      <w:r>
        <w:t xml:space="preserve">Bolhas de gás CO₂/H₂O bloqueiam temporariamente eye-tracking</w:t>
      </w:r>
    </w:p>
    <w:p>
      <w:pPr>
        <w:pStyle w:val="Compact"/>
        <w:numPr>
          <w:ilvl w:val="1"/>
          <w:numId w:val="1034"/>
        </w:numPr>
      </w:pPr>
      <w:r>
        <w:t xml:space="preserve">Solução: Aguardar 2-3 minutos para dissipação antes de ablação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Síndrome de Sensibilidade à Luz Transitória (TLSS):</w:t>
      </w:r>
      <w:r>
        <w:t xml:space="preserve"> </w:t>
      </w:r>
      <w:r>
        <w:t xml:space="preserve">1-5% (geralmente auto-limitada)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Equipamento e manutenção significativamente mais caros</w:t>
      </w:r>
    </w:p>
    <w:bookmarkEnd w:id="33"/>
    <w:bookmarkStart w:id="34" w:name="Xabcc6fca45cef5464847708f7dfc7a62b217994"/>
    <w:p>
      <w:pPr>
        <w:pStyle w:val="Heading4"/>
      </w:pPr>
      <w:r>
        <w:t xml:space="preserve">Microquerátomo Mecânico (Tecnologia Legacy)</w:t>
      </w:r>
    </w:p>
    <w:p>
      <w:pPr>
        <w:pStyle w:val="FirstParagraph"/>
      </w:pPr>
      <w:r>
        <w:rPr>
          <w:b/>
          <w:bCs/>
        </w:rPr>
        <w:t xml:space="preserve">Vantagens:</w:t>
      </w:r>
    </w:p>
    <w:p>
      <w:pPr>
        <w:pStyle w:val="Compact"/>
        <w:numPr>
          <w:ilvl w:val="0"/>
          <w:numId w:val="1035"/>
        </w:numPr>
      </w:pPr>
      <w:r>
        <w:t xml:space="preserve">Flap mais fino e uniforme em certas plataformas (ex: Moria One Use-Plus: 90 μm consistentes)</w:t>
      </w:r>
    </w:p>
    <w:p>
      <w:pPr>
        <w:pStyle w:val="Compact"/>
        <w:numPr>
          <w:ilvl w:val="0"/>
          <w:numId w:val="1035"/>
        </w:numPr>
      </w:pPr>
      <w:r>
        <w:t xml:space="preserve">Sem interferência de bolhas de gás</w:t>
      </w:r>
    </w:p>
    <w:p>
      <w:pPr>
        <w:pStyle w:val="Compact"/>
        <w:numPr>
          <w:ilvl w:val="0"/>
          <w:numId w:val="1035"/>
        </w:numPr>
      </w:pPr>
      <w:r>
        <w:t xml:space="preserve">Custo operacional menor</w:t>
      </w:r>
    </w:p>
    <w:p>
      <w:pPr>
        <w:pStyle w:val="FirstParagraph"/>
      </w:pPr>
      <w:r>
        <w:rPr>
          <w:b/>
          <w:bCs/>
        </w:rPr>
        <w:t xml:space="preserve">Desvantagens:</w:t>
      </w:r>
    </w:p>
    <w:p>
      <w:pPr>
        <w:pStyle w:val="Compact"/>
        <w:numPr>
          <w:ilvl w:val="0"/>
          <w:numId w:val="1036"/>
        </w:numPr>
      </w:pPr>
      <w:r>
        <w:t xml:space="preserve">Maior variabilidade de espessura</w:t>
      </w:r>
    </w:p>
    <w:p>
      <w:pPr>
        <w:pStyle w:val="Compact"/>
        <w:numPr>
          <w:ilvl w:val="0"/>
          <w:numId w:val="1036"/>
        </w:numPr>
      </w:pPr>
      <w:r>
        <w:t xml:space="preserve">Risco de complicações intra-operatórias (buttonhole, partial cap)</w:t>
      </w:r>
    </w:p>
    <w:p>
      <w:pPr>
        <w:pStyle w:val="Compact"/>
        <w:numPr>
          <w:ilvl w:val="0"/>
          <w:numId w:val="1036"/>
        </w:numPr>
      </w:pPr>
      <w:r>
        <w:t xml:space="preserve">Menor controlo de geometria</w:t>
      </w:r>
    </w:p>
    <w:p>
      <w:pPr>
        <w:pStyle w:val="FirstParagraph"/>
      </w:pPr>
      <w:r>
        <w:rPr>
          <w:b/>
          <w:bCs/>
        </w:rPr>
        <w:t xml:space="preserve">Recomendação em Presbiopia:</w:t>
      </w:r>
      <w:r>
        <w:br/>
      </w:r>
      <w:r>
        <w:rPr>
          <w:b/>
          <w:bCs/>
        </w:rPr>
        <w:t xml:space="preserve">Femtosegundo preferível</w:t>
      </w:r>
      <w:r>
        <w:t xml:space="preserve"> </w:t>
      </w:r>
      <w:r>
        <w:t xml:space="preserve">devido à previsibilidade de Leito Estromal Residual (RSB) (essencial quando ablações hipermetrópicas consomem muito tecido periférico).</w:t>
      </w:r>
    </w:p>
    <w:bookmarkEnd w:id="34"/>
    <w:bookmarkEnd w:id="35"/>
    <w:bookmarkStart w:id="40" w:name="protocolo-cirúrgico-lasik-presbiópico"/>
    <w:p>
      <w:pPr>
        <w:pStyle w:val="Heading3"/>
      </w:pPr>
      <w:r>
        <w:t xml:space="preserve">4.4.3. Protocolo Cirúrgico LASIK Presbiópico</w:t>
      </w:r>
    </w:p>
    <w:bookmarkStart w:id="36" w:name="criação-de-flap"/>
    <w:p>
      <w:pPr>
        <w:pStyle w:val="Heading4"/>
      </w:pPr>
      <w:r>
        <w:t xml:space="preserve">Criação de Flap</w:t>
      </w:r>
    </w:p>
    <w:p>
      <w:pPr>
        <w:pStyle w:val="FirstParagraph"/>
      </w:pPr>
      <w:r>
        <w:rPr>
          <w:b/>
          <w:bCs/>
        </w:rPr>
        <w:t xml:space="preserve">Parâmetros Femto (Exemplo: Ziemer Z8 / Wavelight FS200):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Espessura:</w:t>
      </w:r>
      <w:r>
        <w:t xml:space="preserve"> </w:t>
      </w:r>
      <w:r>
        <w:t xml:space="preserve">100-110 μm (córneas &gt;520 μm) ou 90-100 μm (córneas 500-520 μm)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Diâmetro:</w:t>
      </w:r>
      <w:r>
        <w:t xml:space="preserve"> </w:t>
      </w:r>
      <w:r>
        <w:t xml:space="preserve">8.5-9.0 mm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Energia:</w:t>
      </w:r>
      <w:r>
        <w:t xml:space="preserve"> </w:t>
      </w:r>
      <w:r>
        <w:t xml:space="preserve">Mínima necessária para corte completo (reduz inflamação)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Spot/Line Separation:</w:t>
      </w:r>
      <w:r>
        <w:t xml:space="preserve"> </w:t>
      </w:r>
      <w:r>
        <w:t xml:space="preserve">3-5 μm (menor = corte mais liso, mas mais tempo e energia)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Hinge:</w:t>
      </w:r>
      <w:r>
        <w:t xml:space="preserve"> </w:t>
      </w:r>
      <w:r>
        <w:t xml:space="preserve">Superior (12h), largura 3.5-4.0 mm</w:t>
      </w:r>
    </w:p>
    <w:bookmarkEnd w:id="36"/>
    <w:bookmarkStart w:id="37" w:name="preparação-do-leito-estromal"/>
    <w:p>
      <w:pPr>
        <w:pStyle w:val="Heading4"/>
      </w:pPr>
      <w:r>
        <w:t xml:space="preserve">Preparação do Leito Estromal</w:t>
      </w:r>
    </w:p>
    <w:p>
      <w:pPr>
        <w:pStyle w:val="FirstParagraph"/>
      </w:pPr>
      <w:r>
        <w:rPr>
          <w:b/>
          <w:bCs/>
        </w:rPr>
        <w:t xml:space="preserve">Hidrodesidratação Controlada:</w:t>
      </w:r>
    </w:p>
    <w:p>
      <w:pPr>
        <w:pStyle w:val="BodyText"/>
      </w:pPr>
      <w:r>
        <w:t xml:space="preserve">Em perfis Custom-Q, a hidratação estromal afeta a precisão do Q induzido:</w:t>
      </w:r>
    </w:p>
    <w:p>
      <w:pPr>
        <w:pStyle w:val="BodyText"/>
      </w:pPr>
      <w:r>
        <w:rPr>
          <w:b/>
          <w:bCs/>
        </w:rPr>
        <w:t xml:space="preserve">Protocolo:</w:t>
      </w:r>
      <w:r>
        <w:t xml:space="preserve"> </w:t>
      </w:r>
      <w:r>
        <w:t xml:space="preserve">1. Após lifting de flap, irrigação fisiológica (BSS)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Secagem padronizada:</w:t>
      </w:r>
      <w:r>
        <w:t xml:space="preserve"> </w:t>
      </w:r>
      <w:r>
        <w:t xml:space="preserve">2 Weck-Cel (esponjas oftálmicas), 5 segundos de contacto leve</w:t>
      </w:r>
      <w:r>
        <w:t xml:space="preserve"> </w:t>
      </w:r>
      <w:r>
        <w:t xml:space="preserve">3. Aguardar 10 segundos (evaporação adicional)</w:t>
      </w:r>
      <w:r>
        <w:t xml:space="preserve"> </w:t>
      </w:r>
      <w:r>
        <w:t xml:space="preserve">4. Verificar espelho estromal uniforme (sem lagos de fluido)</w:t>
      </w:r>
    </w:p>
    <w:p>
      <w:pPr>
        <w:pStyle w:val="BodyText"/>
      </w:pPr>
      <w:r>
        <w:rPr>
          <w:b/>
          <w:bCs/>
        </w:rPr>
        <w:t xml:space="preserve">Evidência:</w:t>
      </w:r>
      <w:r>
        <w:br/>
      </w:r>
      <w:r>
        <w:t xml:space="preserve">Gatinel demonstrou que hidratação estromal &gt;1.5% acima do fisiológico resulta em hipocorreção de ~8-12% do efeito asférico planeado. [5]</w:t>
      </w:r>
    </w:p>
    <w:bookmarkEnd w:id="37"/>
    <w:bookmarkStart w:id="38" w:name="centragem-e-eye-tracking"/>
    <w:p>
      <w:pPr>
        <w:pStyle w:val="Heading4"/>
      </w:pPr>
      <w:r>
        <w:t xml:space="preserve">Centragem e Eye-Tracking</w:t>
      </w:r>
    </w:p>
    <w:p>
      <w:pPr>
        <w:pStyle w:val="FirstParagraph"/>
      </w:pPr>
      <w:r>
        <w:rPr>
          <w:b/>
          <w:bCs/>
        </w:rPr>
        <w:t xml:space="preserve">Estratégia de Centragem em PresbyLASIK:</w:t>
      </w:r>
    </w:p>
    <w:p>
      <w:pPr>
        <w:pStyle w:val="BodyText"/>
      </w:pPr>
      <w:r>
        <w:rPr>
          <w:b/>
          <w:bCs/>
        </w:rPr>
        <w:t xml:space="preserve">Regra de Compromisso: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Ponto de Centragem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Centro Pupilar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Purkinje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Centro Pupilar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Esta fórmula cria um ponto de centragem</w:t>
      </w:r>
      <w:r>
        <w:t xml:space="preserve"> </w:t>
      </w:r>
      <w:r>
        <w:rPr>
          <w:b/>
          <w:bCs/>
        </w:rPr>
        <w:t xml:space="preserve">intermediário</w:t>
      </w:r>
      <w:r>
        <w:t xml:space="preserve"> </w:t>
      </w:r>
      <w:r>
        <w:t xml:space="preserve">entre o centro da pupila e o eixo visual (Purkinje).</w:t>
      </w:r>
    </w:p>
    <w:p>
      <w:pPr>
        <w:pStyle w:val="BodyText"/>
      </w:pPr>
      <w:r>
        <w:rPr>
          <w:b/>
          <w:bCs/>
        </w:rPr>
        <w:t xml:space="preserve">Justificação:</w:t>
      </w:r>
    </w:p>
    <w:p>
      <w:pPr>
        <w:pStyle w:val="Compact"/>
        <w:numPr>
          <w:ilvl w:val="0"/>
          <w:numId w:val="1038"/>
        </w:numPr>
      </w:pPr>
      <w:r>
        <w:t xml:space="preserve">Centrar estritamente no Purkinje: Otimiza qualidade óptica mas pode criar entrada de luz subótima (zona tratada não cobre pupila mesópica completamente)</w:t>
      </w:r>
    </w:p>
    <w:p>
      <w:pPr>
        <w:pStyle w:val="Compact"/>
        <w:numPr>
          <w:ilvl w:val="0"/>
          <w:numId w:val="1038"/>
        </w:numPr>
      </w:pPr>
      <w:r>
        <w:t xml:space="preserve">Centrar na pupila: Maximiza zona tratada mas induz coma se Kappa &gt;0.30 mm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Ponto médio:</w:t>
      </w:r>
      <w:r>
        <w:t xml:space="preserve"> </w:t>
      </w:r>
      <w:r>
        <w:t xml:space="preserve">Balanceia ambos os objetivos</w:t>
      </w:r>
    </w:p>
    <w:p>
      <w:pPr>
        <w:pStyle w:val="FirstParagraph"/>
      </w:pPr>
      <w:r>
        <w:rPr>
          <w:b/>
          <w:bCs/>
        </w:rPr>
        <w:t xml:space="preserve">Eye-Tracking Ativo:</w:t>
      </w:r>
    </w:p>
    <w:p>
      <w:pPr>
        <w:pStyle w:val="BodyText"/>
      </w:pPr>
      <w:r>
        <w:t xml:space="preserve">Sistemas modernos (Wavelight Allegretto/EX500, Schwind Amaris) possuem: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Frequência de tracking:</w:t>
      </w:r>
      <w:r>
        <w:t xml:space="preserve"> </w:t>
      </w:r>
      <w:r>
        <w:t xml:space="preserve">500-1000 Hz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Latência:</w:t>
      </w:r>
      <w:r>
        <w:t xml:space="preserve"> </w:t>
      </w:r>
      <w:r>
        <w:t xml:space="preserve">&lt;2-6 ms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Precisão:</w:t>
      </w:r>
      <w:r>
        <w:t xml:space="preserve"> </w:t>
      </w:r>
      <w:r>
        <w:t xml:space="preserve">±0.05 mm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Ciclotorsão compensada:</w:t>
      </w:r>
      <w:r>
        <w:t xml:space="preserve"> </w:t>
      </w:r>
      <w:r>
        <w:t xml:space="preserve">Detecção de rotação do olho (eixo z) e ajuste da ablação cilíndrica</w:t>
      </w:r>
    </w:p>
    <w:p>
      <w:pPr>
        <w:pStyle w:val="FirstParagraph"/>
      </w:pPr>
      <w:r>
        <w:rPr>
          <w:b/>
          <w:bCs/>
        </w:rPr>
        <w:t xml:space="preserve">Protocolo de Verificação:</w:t>
      </w:r>
    </w:p>
    <w:p>
      <w:pPr>
        <w:pStyle w:val="BodyText"/>
      </w:pPr>
      <w:r>
        <w:t xml:space="preserve">Antes de iniciar ablação:</w:t>
      </w:r>
      <w:r>
        <w:t xml:space="preserve"> </w:t>
      </w:r>
      <w:r>
        <w:t xml:space="preserve">1. Confirmar visualmente que crosshair do laser está no ponto planeado</w:t>
      </w:r>
      <w:r>
        <w:t xml:space="preserve"> </w:t>
      </w:r>
      <w:r>
        <w:t xml:space="preserve">2. Verificar captura de íris pelo eye-tracker (anel verde estável)</w:t>
      </w:r>
      <w:r>
        <w:t xml:space="preserve"> </w:t>
      </w:r>
      <w:r>
        <w:t xml:space="preserve">3. Instruir paciente a fixar luz vermelha central sem piscar</w:t>
      </w:r>
      <w:r>
        <w:t xml:space="preserve"> </w:t>
      </w:r>
      <w:r>
        <w:t xml:space="preserve">4. Ablação só inicia se tracking estável por &gt;3 segundos consecutivos</w:t>
      </w:r>
    </w:p>
    <w:bookmarkEnd w:id="38"/>
    <w:bookmarkStart w:id="39" w:name="reposicionamento-de-flap"/>
    <w:p>
      <w:pPr>
        <w:pStyle w:val="Heading4"/>
      </w:pPr>
      <w:r>
        <w:t xml:space="preserve">Reposicionamento de Flap</w:t>
      </w:r>
    </w:p>
    <w:p>
      <w:pPr>
        <w:pStyle w:val="FirstParagraph"/>
      </w:pPr>
      <w:r>
        <w:rPr>
          <w:b/>
          <w:bCs/>
        </w:rPr>
        <w:t xml:space="preserve">Técnica de Alinhamento:</w:t>
      </w:r>
    </w:p>
    <w:p>
      <w:pPr>
        <w:pStyle w:val="Compact"/>
        <w:numPr>
          <w:ilvl w:val="0"/>
          <w:numId w:val="1040"/>
        </w:numPr>
      </w:pPr>
      <w:r>
        <w:t xml:space="preserve">Irrigação do estroma e face inferior do flap com BSS (remove debris)</w:t>
      </w:r>
    </w:p>
    <w:p>
      <w:pPr>
        <w:pStyle w:val="Compact"/>
        <w:numPr>
          <w:ilvl w:val="0"/>
          <w:numId w:val="1040"/>
        </w:numPr>
      </w:pPr>
      <w:r>
        <w:t xml:space="preserve">Reposicionamento com cânula de íris (sem tocar flap com instrumento metálico)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Alinhamento anatómico:</w:t>
      </w:r>
      <w:r>
        <w:t xml:space="preserve"> </w:t>
      </w:r>
      <w:r>
        <w:t xml:space="preserve">Usar marcas limbares/vasculares de referência</w:t>
      </w:r>
    </w:p>
    <w:p>
      <w:pPr>
        <w:pStyle w:val="Compact"/>
        <w:numPr>
          <w:ilvl w:val="0"/>
          <w:numId w:val="1040"/>
        </w:numPr>
      </w:pPr>
      <w:r>
        <w:t xml:space="preserve">Secagem das bordas do flap: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Técnica striae-preventing:</w:t>
      </w:r>
      <w:r>
        <w:t xml:space="preserve"> </w:t>
      </w:r>
      <w:r>
        <w:t xml:space="preserve">Secar de centro para periferia, evitando tracção radial</w:t>
      </w:r>
    </w:p>
    <w:p>
      <w:pPr>
        <w:pStyle w:val="Compact"/>
        <w:numPr>
          <w:ilvl w:val="1"/>
          <w:numId w:val="1041"/>
        </w:numPr>
      </w:pPr>
      <w:r>
        <w:t xml:space="preserve">Weck-Cel nas bordas por 30-60 segundos (função de sucção capilar para aderência)</w:t>
      </w:r>
    </w:p>
    <w:p>
      <w:pPr>
        <w:pStyle w:val="Compact"/>
        <w:numPr>
          <w:ilvl w:val="0"/>
          <w:numId w:val="1040"/>
        </w:numPr>
      </w:pPr>
      <w:r>
        <w:t xml:space="preserve">Verificação de aderência (Flap Adherence Test):</w:t>
      </w:r>
    </w:p>
    <w:p>
      <w:pPr>
        <w:pStyle w:val="Compact"/>
        <w:numPr>
          <w:ilvl w:val="1"/>
          <w:numId w:val="1042"/>
        </w:numPr>
      </w:pPr>
      <w:r>
        <w:t xml:space="preserve">Deslocamento digital gentil da borda do flap com Weck-Cel</w:t>
      </w:r>
    </w:p>
    <w:p>
      <w:pPr>
        <w:pStyle w:val="Compact"/>
        <w:numPr>
          <w:ilvl w:val="1"/>
          <w:numId w:val="1042"/>
        </w:numPr>
      </w:pPr>
      <w:r>
        <w:t xml:space="preserve">Se move facilmente: Aguardar mais 30 segundos</w:t>
      </w:r>
    </w:p>
    <w:p>
      <w:pPr>
        <w:pStyle w:val="Compact"/>
        <w:numPr>
          <w:ilvl w:val="1"/>
          <w:numId w:val="1042"/>
        </w:numPr>
      </w:pPr>
      <w:r>
        <w:t xml:space="preserve">Se resistente: Flap aderido adequadamente</w:t>
      </w:r>
    </w:p>
    <w:p>
      <w:pPr>
        <w:pStyle w:val="FirstParagraph"/>
      </w:pPr>
      <w:r>
        <w:rPr>
          <w:b/>
          <w:bCs/>
        </w:rPr>
        <w:t xml:space="preserve">Striae (Estrias) de Flap:</w:t>
      </w:r>
    </w:p>
    <w:p>
      <w:pPr>
        <w:pStyle w:val="BodyText"/>
      </w:pPr>
      <w:r>
        <w:t xml:space="preserve">Complicação devastadora em PresbyLASIK (degrada perfil asférico induzido):</w:t>
      </w:r>
    </w:p>
    <w:p>
      <w:pPr>
        <w:pStyle w:val="BodyText"/>
      </w:pPr>
      <w:r>
        <w:rPr>
          <w:b/>
          <w:bCs/>
        </w:rPr>
        <w:t xml:space="preserve">Prevenção:</w:t>
      </w:r>
      <w:r>
        <w:t xml:space="preserve"> </w:t>
      </w:r>
      <w:r>
        <w:t xml:space="preserve">- Evitar tracção radial durante secagem</w:t>
      </w:r>
      <w:r>
        <w:t xml:space="preserve"> </w:t>
      </w:r>
      <w:r>
        <w:t xml:space="preserve">- Nunca manusear flap diretamente com pinças</w:t>
      </w:r>
      <w:r>
        <w:t xml:space="preserve"> </w:t>
      </w:r>
      <w:r>
        <w:t xml:space="preserve">- Aguardar tempo adequado de aderência (mínimo 3-5 minutos) antes de paciente abrir olho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Xe2d2ca37330b8a5343d66d14c02caf336d7fe49"/>
    <w:p>
      <w:pPr>
        <w:pStyle w:val="Heading2"/>
      </w:pPr>
      <w:r>
        <w:t xml:space="preserve">4.5. Comparação Sistemática: PRK vs. LASIK em Presbiopia</w:t>
      </w:r>
    </w:p>
    <w:bookmarkStart w:id="42" w:name="recuperação-visual-e-neuroadaptação"/>
    <w:p>
      <w:pPr>
        <w:pStyle w:val="Heading3"/>
      </w:pPr>
      <w:r>
        <w:t xml:space="preserve">4.5.1. Recuperação Visual e Neuroadaptação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149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PRK</w:t>
            </w:r>
          </w:p>
        </w:tc>
        <w:tc>
          <w:tcPr/>
          <w:p>
            <w:pPr>
              <w:pStyle w:val="Compact"/>
            </w:pPr>
            <w:r>
              <w:t xml:space="preserve">LASIK</w:t>
            </w:r>
          </w:p>
        </w:tc>
        <w:tc>
          <w:tcPr/>
          <w:p>
            <w:pPr>
              <w:pStyle w:val="Compact"/>
            </w:pPr>
            <w:r>
              <w:t xml:space="preserve">Implicação Clínica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 1</w:t>
            </w:r>
          </w:p>
        </w:tc>
        <w:tc>
          <w:tcPr/>
          <w:p>
            <w:pPr>
              <w:pStyle w:val="Compact"/>
            </w:pPr>
            <w:r>
              <w:t xml:space="preserve">BCVA ~20/200 (blur severo)</w:t>
            </w:r>
          </w:p>
        </w:tc>
        <w:tc>
          <w:tcPr/>
          <w:p>
            <w:pPr>
              <w:pStyle w:val="Compact"/>
            </w:pPr>
            <w:r>
              <w:t xml:space="preserve">BCVA ~20/40</w:t>
            </w:r>
          </w:p>
        </w:tc>
        <w:tc>
          <w:tcPr/>
          <w:p>
            <w:pPr>
              <w:pStyle w:val="Compact"/>
            </w:pPr>
            <w:r>
              <w:t xml:space="preserve">LASIK permite leitura imediata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BCVA ~20/80-20/60</w:t>
            </w:r>
          </w:p>
        </w:tc>
        <w:tc>
          <w:tcPr/>
          <w:p>
            <w:pPr>
              <w:pStyle w:val="Compact"/>
            </w:pPr>
            <w:r>
              <w:t xml:space="preserve">BCVA ~20/25-20/20</w:t>
            </w:r>
          </w:p>
        </w:tc>
        <w:tc>
          <w:tcPr/>
          <w:p>
            <w:pPr>
              <w:pStyle w:val="Compact"/>
            </w:pPr>
            <w:r>
              <w:t xml:space="preserve">PRK: dor, fotofobia, flutuação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Mês 1</w:t>
            </w:r>
          </w:p>
        </w:tc>
        <w:tc>
          <w:tcPr/>
          <w:p>
            <w:pPr>
              <w:pStyle w:val="Compact"/>
            </w:pPr>
            <w:r>
              <w:t xml:space="preserve">BCVA ~20/30-20/25</w:t>
            </w:r>
          </w:p>
        </w:tc>
        <w:tc>
          <w:tcPr/>
          <w:p>
            <w:pPr>
              <w:pStyle w:val="Compact"/>
            </w:pPr>
            <w:r>
              <w:t xml:space="preserve">BCVA ~20/20</w:t>
            </w:r>
          </w:p>
        </w:tc>
        <w:tc>
          <w:tcPr/>
          <w:p>
            <w:pPr>
              <w:pStyle w:val="Compact"/>
            </w:pPr>
            <w:r>
              <w:t xml:space="preserve">PRK ainda em recuperação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Mês 3</w:t>
            </w:r>
          </w:p>
        </w:tc>
        <w:tc>
          <w:tcPr/>
          <w:p>
            <w:pPr>
              <w:pStyle w:val="Compact"/>
            </w:pPr>
            <w:r>
              <w:t xml:space="preserve">BCVA ~20/20</w:t>
            </w:r>
          </w:p>
        </w:tc>
        <w:tc>
          <w:tcPr/>
          <w:p>
            <w:pPr>
              <w:pStyle w:val="Compact"/>
            </w:pPr>
            <w:r>
              <w:t xml:space="preserve">BCVA ~20/20</w:t>
            </w:r>
          </w:p>
        </w:tc>
        <w:tc>
          <w:tcPr/>
          <w:p>
            <w:pPr>
              <w:pStyle w:val="Compact"/>
            </w:pPr>
            <w:r>
              <w:t xml:space="preserve">Equivalência alcançada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Neuroadaptação:</w:t>
      </w:r>
    </w:p>
    <w:p>
      <w:pPr>
        <w:pStyle w:val="BodyText"/>
      </w:pPr>
      <w:r>
        <w:t xml:space="preserve">A plasticidade cortical requer exposição consistente ao padrão de aberração induzido. A flutuação visual prolongada do PRK</w:t>
      </w:r>
      <w:r>
        <w:t xml:space="preserve"> </w:t>
      </w:r>
      <w:r>
        <w:rPr>
          <w:b/>
          <w:bCs/>
        </w:rPr>
        <w:t xml:space="preserve">atrasa a neuroadaptação</w:t>
      </w:r>
      <w:r>
        <w:t xml:space="preserve"> </w:t>
      </w:r>
      <w:r>
        <w:t xml:space="preserve">em ~2-3 meses.</w:t>
      </w:r>
    </w:p>
    <w:p>
      <w:pPr>
        <w:pStyle w:val="BodyText"/>
      </w:pPr>
      <w:r>
        <w:rPr>
          <w:b/>
          <w:bCs/>
        </w:rPr>
        <w:t xml:space="preserve">Evidência:</w:t>
      </w:r>
      <w:r>
        <w:br/>
      </w:r>
      <w:r>
        <w:t xml:space="preserve">Alió et al. demonstraram que pacientes PresbyLASIK atingem independence de óculos de perto em 3 meses, enquanto PRK presbiópico requer 5-6 meses em média. [6]</w:t>
      </w:r>
    </w:p>
    <w:bookmarkEnd w:id="42"/>
    <w:bookmarkStart w:id="43" w:name="tabela-comparativa-completa"/>
    <w:p>
      <w:pPr>
        <w:pStyle w:val="Heading3"/>
      </w:pPr>
      <w:r>
        <w:t xml:space="preserve">4.5.2. Tabela Comparativa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304"/>
        <w:gridCol w:w="2736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PRK Presbiópico</w:t>
            </w:r>
          </w:p>
        </w:tc>
        <w:tc>
          <w:tcPr/>
          <w:p>
            <w:pPr>
              <w:pStyle w:val="Compact"/>
            </w:pPr>
            <w:r>
              <w:t xml:space="preserve">LASIK Presbiópico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 Pós-Operatória</w:t>
            </w:r>
          </w:p>
        </w:tc>
        <w:tc>
          <w:tcPr/>
          <w:p>
            <w:pPr>
              <w:pStyle w:val="Compact"/>
            </w:pPr>
            <w:r>
              <w:t xml:space="preserve">Moderada a severa (3-5 dias)</w:t>
            </w:r>
          </w:p>
        </w:tc>
        <w:tc>
          <w:tcPr/>
          <w:p>
            <w:pPr>
              <w:pStyle w:val="Compact"/>
            </w:pPr>
            <w:r>
              <w:t xml:space="preserve">Mínima (horas)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UCVA Dia 1</w:t>
            </w:r>
          </w:p>
        </w:tc>
        <w:tc>
          <w:tcPr/>
          <w:p>
            <w:pPr>
              <w:pStyle w:val="Compact"/>
            </w:pPr>
            <w:r>
              <w:t xml:space="preserve">20/200</w:t>
            </w:r>
          </w:p>
        </w:tc>
        <w:tc>
          <w:tcPr/>
          <w:p>
            <w:pPr>
              <w:pStyle w:val="Compact"/>
            </w:pPr>
            <w:r>
              <w:t xml:space="preserve">20/40-20/20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Estabilidade Refractiva</w:t>
            </w:r>
          </w:p>
        </w:tc>
        <w:tc>
          <w:tcPr/>
          <w:p>
            <w:pPr>
              <w:pStyle w:val="Compact"/>
            </w:pPr>
            <w:r>
              <w:t xml:space="preserve">Moderada (regressão 10-15%)</w:t>
            </w:r>
          </w:p>
        </w:tc>
        <w:tc>
          <w:tcPr/>
          <w:p>
            <w:pPr>
              <w:pStyle w:val="Compact"/>
            </w:pPr>
            <w:r>
              <w:t xml:space="preserve">Alta (regressão 5-8%)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de Haze</w:t>
            </w:r>
          </w:p>
        </w:tc>
        <w:tc>
          <w:tcPr/>
          <w:p>
            <w:pPr>
              <w:pStyle w:val="Compact"/>
            </w:pPr>
            <w:r>
              <w:t xml:space="preserve">15-25% (grau ≥1) sem MMC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Retratamento</w:t>
            </w:r>
          </w:p>
        </w:tc>
        <w:tc>
          <w:tcPr/>
          <w:p>
            <w:pPr>
              <w:pStyle w:val="Compact"/>
            </w:pPr>
            <w:r>
              <w:t xml:space="preserve">18-22%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Preservação Biomecânica</w:t>
            </w:r>
          </w:p>
        </w:tc>
        <w:tc>
          <w:tcPr/>
          <w:p>
            <w:pPr>
              <w:pStyle w:val="Compact"/>
            </w:pPr>
            <w:r>
              <w:t xml:space="preserve">Superior (sem corte lamelar)</w:t>
            </w:r>
          </w:p>
        </w:tc>
        <w:tc>
          <w:tcPr/>
          <w:p>
            <w:pPr>
              <w:pStyle w:val="Compact"/>
            </w:pPr>
            <w:r>
              <w:t xml:space="preserve">Inferior (flap permanente)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Traumático</w:t>
            </w:r>
          </w:p>
        </w:tc>
        <w:tc>
          <w:tcPr/>
          <w:p>
            <w:pPr>
              <w:pStyle w:val="Compact"/>
            </w:pPr>
            <w:r>
              <w:t xml:space="preserve">Nulo (sem flap)</w:t>
            </w:r>
          </w:p>
        </w:tc>
        <w:tc>
          <w:tcPr/>
          <w:p>
            <w:pPr>
              <w:pStyle w:val="Compact"/>
            </w:pPr>
            <w:r>
              <w:t xml:space="preserve">Deslocamento de flap possível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até Profissão</w:t>
            </w:r>
          </w:p>
        </w:tc>
        <w:tc>
          <w:tcPr/>
          <w:p>
            <w:pPr>
              <w:pStyle w:val="Compact"/>
            </w:pPr>
            <w:r>
              <w:t xml:space="preserve">7-10 dias</w:t>
            </w:r>
          </w:p>
        </w:tc>
        <w:tc>
          <w:tcPr/>
          <w:p>
            <w:pPr>
              <w:pStyle w:val="Compact"/>
            </w:pPr>
            <w:r>
              <w:t xml:space="preserve">1-3 dias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Olho Seco Sintomático</w:t>
            </w:r>
          </w:p>
        </w:tc>
        <w:tc>
          <w:tcPr/>
          <w:p>
            <w:pPr>
              <w:pStyle w:val="Compact"/>
            </w:pPr>
            <w:r>
              <w:t xml:space="preserve">Menor (sem transecção nervosa profunda)</w:t>
            </w:r>
          </w:p>
        </w:tc>
        <w:tc>
          <w:tcPr/>
          <w:p>
            <w:pPr>
              <w:pStyle w:val="Compact"/>
            </w:pPr>
            <w:r>
              <w:t xml:space="preserve">Maior (~30-40% pacientes)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Menor (sem femto)</w:t>
            </w:r>
          </w:p>
        </w:tc>
        <w:tc>
          <w:tcPr/>
          <w:p>
            <w:pPr>
              <w:pStyle w:val="Compact"/>
            </w:pPr>
            <w:r>
              <w:t xml:space="preserve">Maior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RSB Consumido</w:t>
            </w:r>
          </w:p>
        </w:tc>
        <w:tc>
          <w:tcPr/>
          <w:p>
            <w:pPr>
              <w:pStyle w:val="Compact"/>
            </w:pPr>
            <w:r>
              <w:t xml:space="preserve">50 μm epithélio</w:t>
            </w:r>
          </w:p>
        </w:tc>
        <w:tc>
          <w:tcPr/>
          <w:p>
            <w:pPr>
              <w:pStyle w:val="Compact"/>
            </w:pPr>
            <w:r>
              <w:t xml:space="preserve">50 μm epith + 100-110 μm flap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Indicação em Córnea Fina</w:t>
            </w:r>
          </w:p>
        </w:tc>
        <w:tc>
          <w:tcPr/>
          <w:p>
            <w:pPr>
              <w:pStyle w:val="Compact"/>
            </w:pPr>
            <w:r>
              <w:t xml:space="preserve">Possível até 450 μm</w:t>
            </w:r>
          </w:p>
        </w:tc>
        <w:tc>
          <w:tcPr/>
          <w:p>
            <w:pPr>
              <w:pStyle w:val="Compact"/>
            </w:pPr>
            <w:r>
              <w:t xml:space="preserve">Limitado &lt;500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PRK</w:t>
            </w:r>
          </w:p>
        </w:tc>
      </w:tr>
    </w:tbl>
    <w:bookmarkEnd w:id="43"/>
    <w:bookmarkStart w:id="44" w:name="algoritmo-de-decisão-técnica"/>
    <w:p>
      <w:pPr>
        <w:pStyle w:val="Heading3"/>
      </w:pPr>
      <w:r>
        <w:t xml:space="preserve">4.5.3. Algoritmo de Decisão Técnica</w:t>
      </w:r>
    </w:p>
    <w:p>
      <w:pPr>
        <w:pStyle w:val="FirstParagraph"/>
      </w:pPr>
      <w:r>
        <w:rPr>
          <w:b/>
          <w:bCs/>
        </w:rPr>
        <w:t xml:space="preserve">Fluxograma de Seleção PRK vs. LASIK:</w:t>
      </w:r>
    </w:p>
    <w:p>
      <w:pPr>
        <w:pStyle w:val="SourceCode"/>
      </w:pPr>
      <w:r>
        <w:rPr>
          <w:rStyle w:val="VerbatimChar"/>
        </w:rPr>
        <w:t xml:space="preserve">Candidato a Cirurgia Presbiópica Corneana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[Paquimetria Central?]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&lt;480 μm → **PRK mandatório**</w:t>
      </w:r>
      <w:r>
        <w:br/>
      </w:r>
      <w:r>
        <w:rPr>
          <w:rStyle w:val="VerbatimChar"/>
        </w:rPr>
        <w:t xml:space="preserve">480-500 μm → **PRK preferível** (Leito Estromal Residual limitado para LASIK)</w:t>
      </w:r>
      <w:r>
        <w:br/>
      </w:r>
      <w:r>
        <w:rPr>
          <w:rStyle w:val="VerbatimChar"/>
        </w:rPr>
        <w:t xml:space="preserve">&gt;500 μm → Continuar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[Profissão / Estilo de Vida?]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Desporto de contacto / Militar → **PRK**</w:t>
      </w:r>
      <w:r>
        <w:br/>
      </w:r>
      <w:r>
        <w:rPr>
          <w:rStyle w:val="VerbatimChar"/>
        </w:rPr>
        <w:t xml:space="preserve">Profissão de escritório / Necessidade de visão rápida → **LASIK**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[História Cirúrgica?]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LASIK prévio (&gt;10 anos) → **PRK** (evitar re-lift)</w:t>
      </w:r>
      <w:r>
        <w:br/>
      </w:r>
      <w:r>
        <w:rPr>
          <w:rStyle w:val="VerbatimChar"/>
        </w:rPr>
        <w:t xml:space="preserve">Virgem / LASIK recente (&lt;5 anos) → **LASIK**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[Superfície Ocular?]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Olho seco severo → **PRK** (menor olho seco crónico)</w:t>
      </w:r>
      <w:r>
        <w:br/>
      </w:r>
      <w:r>
        <w:rPr>
          <w:rStyle w:val="VerbatimChar"/>
        </w:rPr>
        <w:t xml:space="preserve">Normal → **LASIK**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**Decisão Final**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mplicações-específicas-e-gestão"/>
    <w:p>
      <w:pPr>
        <w:pStyle w:val="Heading2"/>
      </w:pPr>
      <w:r>
        <w:t xml:space="preserve">4.6. Complicações Específicas e Gestão</w:t>
      </w:r>
    </w:p>
    <w:bookmarkStart w:id="46" w:name="descentramento-e-indução-de-coma"/>
    <w:p>
      <w:pPr>
        <w:pStyle w:val="Heading3"/>
      </w:pPr>
      <w:r>
        <w:t xml:space="preserve">4.6.1. Descentramento e Indução de Coma</w:t>
      </w:r>
    </w:p>
    <w:p>
      <w:pPr>
        <w:pStyle w:val="FirstParagraph"/>
      </w:pPr>
      <w:r>
        <w:rPr>
          <w:b/>
          <w:bCs/>
        </w:rPr>
        <w:t xml:space="preserve">Diagnóstico:</w:t>
      </w:r>
    </w:p>
    <w:p>
      <w:pPr>
        <w:pStyle w:val="Compact"/>
        <w:numPr>
          <w:ilvl w:val="0"/>
          <w:numId w:val="1043"/>
        </w:numPr>
      </w:pPr>
      <w:r>
        <w:t xml:space="preserve">Sintomas: Diplopia monocular vertical,</w:t>
      </w:r>
      <w:r>
        <w:t xml:space="preserve"> </w:t>
      </w:r>
      <w:r>
        <w:t xml:space="preserve">“ghosting”</w:t>
      </w:r>
      <w:r>
        <w:t xml:space="preserve">, halos assimétricos</w:t>
      </w:r>
    </w:p>
    <w:p>
      <w:pPr>
        <w:pStyle w:val="Compact"/>
        <w:numPr>
          <w:ilvl w:val="0"/>
          <w:numId w:val="1043"/>
        </w:numPr>
      </w:pPr>
      <w:r>
        <w:t xml:space="preserve">Topografia: Displaced apex, padrão</w:t>
      </w:r>
      <w:r>
        <w:t xml:space="preserve"> </w:t>
      </w:r>
      <w:r>
        <w:t xml:space="preserve">“enapado”</w:t>
      </w:r>
      <w:r>
        <w:t xml:space="preserve"> </w:t>
      </w:r>
      <w:r>
        <w:t xml:space="preserve">assimétrico</w:t>
      </w:r>
    </w:p>
    <w:p>
      <w:pPr>
        <w:pStyle w:val="Compact"/>
        <w:numPr>
          <w:ilvl w:val="0"/>
          <w:numId w:val="1043"/>
        </w:numPr>
      </w:pPr>
      <w:r>
        <w:t xml:space="preserve">Aberrometria: Coma vertical (</w:t>
      </w:r>
      <m:oMath>
        <m:sSubSup>
          <m:e>
            <m:r>
              <m:t>Z</m:t>
            </m:r>
          </m:e>
          <m:sub>
            <m:r>
              <m:t>3</m:t>
            </m:r>
          </m:sub>
          <m:sup>
            <m:r>
              <m:t>1</m:t>
            </m:r>
          </m:sup>
        </m:sSubSup>
      </m:oMath>
      <w:r>
        <w:t xml:space="preserve">) &gt;0.30 μm</w:t>
      </w:r>
    </w:p>
    <w:p>
      <w:pPr>
        <w:pStyle w:val="FirstParagraph"/>
      </w:pPr>
      <w:r>
        <w:rPr>
          <w:b/>
          <w:bCs/>
        </w:rPr>
        <w:t xml:space="preserve">Gestão: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Conservadora (Coma &lt;0.40 μm):</w:t>
      </w:r>
    </w:p>
    <w:p>
      <w:pPr>
        <w:pStyle w:val="Compact"/>
        <w:numPr>
          <w:ilvl w:val="1"/>
          <w:numId w:val="1045"/>
        </w:numPr>
      </w:pPr>
      <w:r>
        <w:t xml:space="preserve">Aguardar neuroadaptação (3-6 meses)</w:t>
      </w:r>
    </w:p>
    <w:p>
      <w:pPr>
        <w:pStyle w:val="Compact"/>
        <w:numPr>
          <w:ilvl w:val="1"/>
          <w:numId w:val="1045"/>
        </w:numPr>
      </w:pPr>
      <w:r>
        <w:t xml:space="preserve">Lentes de contacto RGP para mascarar irregularidade</w:t>
      </w:r>
    </w:p>
    <w:p>
      <w:pPr>
        <w:pStyle w:val="Compact"/>
        <w:numPr>
          <w:ilvl w:val="1"/>
          <w:numId w:val="1045"/>
        </w:numPr>
      </w:pPr>
      <w:r>
        <w:t xml:space="preserve">Se melhoria, manter observação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Cirúrgica (Coma &gt;0.40 μm ou sintomas intoleráveis):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Topography-Guided Ablation (Contoura Vision, T-CAT):</w:t>
      </w:r>
    </w:p>
    <w:p>
      <w:pPr>
        <w:pStyle w:val="Compact"/>
        <w:numPr>
          <w:ilvl w:val="2"/>
          <w:numId w:val="1047"/>
        </w:numPr>
      </w:pPr>
      <w:r>
        <w:t xml:space="preserve">Captura topografia de alta resolução</w:t>
      </w:r>
    </w:p>
    <w:p>
      <w:pPr>
        <w:pStyle w:val="Compact"/>
        <w:numPr>
          <w:ilvl w:val="2"/>
          <w:numId w:val="1047"/>
        </w:numPr>
      </w:pPr>
      <w:r>
        <w:t xml:space="preserve">Planeamento de ablação para regularizar (geralmente remove tecido do lado oposto ao displacement)</w:t>
      </w:r>
    </w:p>
    <w:p>
      <w:pPr>
        <w:pStyle w:val="Compact"/>
        <w:numPr>
          <w:ilvl w:val="2"/>
          <w:numId w:val="1047"/>
        </w:numPr>
      </w:pPr>
      <w:r>
        <w:t xml:space="preserve">Resultado: Redução de coma em 50-70%, raramente eliminação completa</w:t>
      </w:r>
    </w:p>
    <w:bookmarkEnd w:id="46"/>
    <w:bookmarkStart w:id="47" w:name="epithelial-ingrowth-pós-lasik"/>
    <w:p>
      <w:pPr>
        <w:pStyle w:val="Heading3"/>
      </w:pPr>
      <w:r>
        <w:t xml:space="preserve">4.6.2. Epithelial Ingrowth Pós-LASIK</w:t>
      </w:r>
    </w:p>
    <w:p>
      <w:pPr>
        <w:pStyle w:val="FirstParagraph"/>
      </w:pPr>
      <w:r>
        <w:t xml:space="preserve">Particularmente relevante em retratamentos presbiópicos (flap re-lift).</w:t>
      </w:r>
    </w:p>
    <w:p>
      <w:pPr>
        <w:pStyle w:val="BodyText"/>
      </w:pPr>
      <w:r>
        <w:rPr>
          <w:b/>
          <w:bCs/>
        </w:rPr>
        <w:t xml:space="preserve">Classificação: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Grau 1 (Periférico, &lt;2 mm da borda):</w:t>
      </w:r>
      <w:r>
        <w:t xml:space="preserve"> </w:t>
      </w:r>
      <w:r>
        <w:t xml:space="preserve">Observar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Grau 2 (Avança &gt;2 mm, sem sintomas):</w:t>
      </w:r>
      <w:r>
        <w:t xml:space="preserve"> </w:t>
      </w:r>
      <w:r>
        <w:t xml:space="preserve">Observar de perto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Grau 3 (Próximo do eixo visual ou induz melting):</w:t>
      </w:r>
      <w:r>
        <w:t xml:space="preserve"> </w:t>
      </w:r>
      <w:r>
        <w:rPr>
          <w:b/>
          <w:bCs/>
        </w:rPr>
        <w:t xml:space="preserve">Intervenção obrigatória</w:t>
      </w:r>
    </w:p>
    <w:p>
      <w:pPr>
        <w:pStyle w:val="FirstParagraph"/>
      </w:pPr>
      <w:r>
        <w:rPr>
          <w:b/>
          <w:bCs/>
        </w:rPr>
        <w:t xml:space="preserve">Tratamento:</w:t>
      </w:r>
    </w:p>
    <w:p>
      <w:pPr>
        <w:pStyle w:val="Compact"/>
        <w:numPr>
          <w:ilvl w:val="0"/>
          <w:numId w:val="1049"/>
        </w:numPr>
      </w:pPr>
      <w:r>
        <w:t xml:space="preserve">Re-lifting de flap</w:t>
      </w:r>
    </w:p>
    <w:p>
      <w:pPr>
        <w:pStyle w:val="Compact"/>
        <w:numPr>
          <w:ilvl w:val="0"/>
          <w:numId w:val="1049"/>
        </w:numPr>
      </w:pPr>
      <w:r>
        <w:t xml:space="preserve">Debridamento mecânico meticuloso (scraping com faca #15)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Cauterização química da interface:</w:t>
      </w:r>
      <w:r>
        <w:t xml:space="preserve"> </w:t>
      </w:r>
      <w:r>
        <w:t xml:space="preserve">Etanol 100% aplicado em esponja por 15 segundos</w:t>
      </w:r>
    </w:p>
    <w:p>
      <w:pPr>
        <w:pStyle w:val="Compact"/>
        <w:numPr>
          <w:ilvl w:val="0"/>
          <w:numId w:val="1049"/>
        </w:numPr>
      </w:pPr>
      <w:r>
        <w:t xml:space="preserve">Sutura do flap (10-0 Nylon, 3-4 pontos interrompidos) se recorrente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fed78d50e53fa03c405e2c8be810886f77fd2e5"/>
    <w:p>
      <w:pPr>
        <w:pStyle w:val="Heading2"/>
      </w:pPr>
      <w:r>
        <w:t xml:space="preserve">4.7. Optimização de Resultados:</w:t>
      </w:r>
      <w:r>
        <w:t xml:space="preserve"> </w:t>
      </w:r>
      <w:r>
        <w:t xml:space="preserve">“Fine-Tuning”</w:t>
      </w:r>
      <w:r>
        <w:t xml:space="preserve"> </w:t>
      </w:r>
      <w:r>
        <w:t xml:space="preserve">Intra-Operatório</w:t>
      </w:r>
    </w:p>
    <w:bookmarkStart w:id="49" w:name="Xa0fa8def6d2bf7a35aefdafebd879e1b34b8412"/>
    <w:p>
      <w:pPr>
        <w:pStyle w:val="Heading3"/>
      </w:pPr>
      <w:r>
        <w:t xml:space="preserve">4.7.1. Ajuste da Hidratação Estromal (Gatinel Protocol)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br/>
      </w:r>
      <w:r>
        <w:t xml:space="preserve">Estroma demasiado hidratado → Hipo-correção do efeito asférico</w:t>
      </w:r>
      <w:r>
        <w:br/>
      </w:r>
      <w:r>
        <w:t xml:space="preserve">Estroma demasiado seco → Sobre-correção (risco de regressão precoce)</w:t>
      </w:r>
    </w:p>
    <w:p>
      <w:pPr>
        <w:pStyle w:val="BodyText"/>
      </w:pPr>
      <w:r>
        <w:rPr>
          <w:b/>
          <w:bCs/>
        </w:rPr>
        <w:t xml:space="preserve">Solução - Protocolo de Hidratação Padronizada:</w:t>
      </w:r>
    </w:p>
    <w:p>
      <w:pPr>
        <w:pStyle w:val="Compact"/>
        <w:numPr>
          <w:ilvl w:val="0"/>
          <w:numId w:val="1050"/>
        </w:numPr>
      </w:pPr>
      <w:r>
        <w:t xml:space="preserve">Após lifting de flap (LASIK) ou desepitelização (PRK):</w:t>
      </w:r>
    </w:p>
    <w:p>
      <w:pPr>
        <w:pStyle w:val="Compact"/>
        <w:numPr>
          <w:ilvl w:val="1"/>
          <w:numId w:val="1051"/>
        </w:numPr>
      </w:pPr>
      <w:r>
        <w:t xml:space="preserve">Irrigar com 5 mL BSS</w:t>
      </w:r>
    </w:p>
    <w:p>
      <w:pPr>
        <w:pStyle w:val="Compact"/>
        <w:numPr>
          <w:ilvl w:val="0"/>
          <w:numId w:val="1050"/>
        </w:numPr>
      </w:pPr>
      <w:r>
        <w:t xml:space="preserve">Aguardar 30 segundos (equilíbrio osmótico)</w:t>
      </w:r>
    </w:p>
    <w:p>
      <w:pPr>
        <w:pStyle w:val="Compact"/>
        <w:numPr>
          <w:ilvl w:val="0"/>
          <w:numId w:val="1050"/>
        </w:numPr>
      </w:pPr>
      <w:r>
        <w:t xml:space="preserve">Secar com Weck-Cel x2, 5 segundos cada</w:t>
      </w:r>
    </w:p>
    <w:p>
      <w:pPr>
        <w:pStyle w:val="Compact"/>
        <w:numPr>
          <w:ilvl w:val="0"/>
          <w:numId w:val="1050"/>
        </w:numPr>
      </w:pPr>
      <w:r>
        <w:t xml:space="preserve">Aguardar 10 segundos adicionais</w:t>
      </w:r>
    </w:p>
    <w:p>
      <w:pPr>
        <w:pStyle w:val="Compact"/>
        <w:numPr>
          <w:ilvl w:val="0"/>
          <w:numId w:val="1050"/>
        </w:numPr>
      </w:pPr>
      <w:r>
        <w:t xml:space="preserve">Verificar espelho estromal uniforme (sem</w:t>
      </w:r>
      <w:r>
        <w:t xml:space="preserve"> </w:t>
      </w:r>
      <w:r>
        <w:t xml:space="preserve">“lagos”</w:t>
      </w:r>
      <w:r>
        <w:t xml:space="preserve"> </w:t>
      </w:r>
      <w:r>
        <w:t xml:space="preserve">focais de fluido)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Proceder imediatamente à ablação</w:t>
      </w:r>
      <w:r>
        <w:t xml:space="preserve"> </w:t>
      </w:r>
      <w:r>
        <w:t xml:space="preserve">(estroma hidratado regressa em ~30-60 segundos)</w:t>
      </w:r>
    </w:p>
    <w:bookmarkEnd w:id="49"/>
    <w:bookmarkStart w:id="50" w:name="compensação-de-ciclotorsão-astigmatismo"/>
    <w:p>
      <w:pPr>
        <w:pStyle w:val="Heading3"/>
      </w:pPr>
      <w:r>
        <w:t xml:space="preserve">4.7.2. Compensação de Ciclotorsão (Astigmatismo)</w:t>
      </w:r>
    </w:p>
    <w:p>
      <w:pPr>
        <w:pStyle w:val="FirstParagraph"/>
      </w:pPr>
      <w:r>
        <w:t xml:space="preserve">Relevante quando há componente cilíndrica associada.</w:t>
      </w:r>
    </w:p>
    <w:p>
      <w:pPr>
        <w:pStyle w:val="BodyText"/>
      </w:pPr>
      <w:r>
        <w:rPr>
          <w:b/>
          <w:bCs/>
        </w:rPr>
        <w:t xml:space="preserve">Problema:</w:t>
      </w:r>
      <w:r>
        <w:br/>
      </w:r>
      <w:r>
        <w:t xml:space="preserve">Paciente sentado (refração) vs. deitado (cirurgia): Rotação do olho até 5-10° (mediana ~3°).</w:t>
      </w:r>
    </w:p>
    <w:p>
      <w:pPr>
        <w:pStyle w:val="BodyText"/>
      </w:pPr>
      <w:r>
        <w:rPr>
          <w:b/>
          <w:bCs/>
        </w:rPr>
        <w:t xml:space="preserve">Solução: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Captura de Imagem de Íris Pré-Op:</w:t>
      </w:r>
      <w:r>
        <w:t xml:space="preserve"> </w:t>
      </w:r>
      <w:r>
        <w:t xml:space="preserve">Sentado (iTrace, Verion)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Registo Intra-Op:</w:t>
      </w:r>
      <w:r>
        <w:t xml:space="preserve"> </w:t>
      </w:r>
      <w:r>
        <w:t xml:space="preserve">Imagem de íris deitado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Software Calcula Rotação:</w:t>
      </w:r>
      <w:r>
        <w:t xml:space="preserve"> </w:t>
      </w:r>
      <w:r>
        <w:t xml:space="preserve">Ajusta eixo de astigmatismo automaticamente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Alternativa Manual:</w:t>
      </w:r>
      <w:r>
        <w:t xml:space="preserve"> </w:t>
      </w:r>
      <w:r>
        <w:t xml:space="preserve">Marking pen no limbo a 0° e 180° com paciente sentado; verificar rotação ao microscópio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53"/>
        </w:numPr>
      </w:pPr>
      <w:r>
        <w:t xml:space="preserve">Netto MV, Mohan RR, Ambrósio R Jr, Hutcheon AE, Zieske JD, Wilson SE. Wound healing in the cornea: a review of refractive surgery complications and new prospects for therapy.</w:t>
      </w:r>
      <w:r>
        <w:t xml:space="preserve"> </w:t>
      </w:r>
      <w:r>
        <w:rPr>
          <w:i/>
          <w:iCs/>
        </w:rPr>
        <w:t xml:space="preserve">Cornea</w:t>
      </w:r>
      <w:r>
        <w:t xml:space="preserve">. 2005;24(5):509-522. doi:10.1097/01.ico.0000151544.23360.17</w:t>
      </w:r>
    </w:p>
    <w:p>
      <w:pPr>
        <w:numPr>
          <w:ilvl w:val="0"/>
          <w:numId w:val="1053"/>
        </w:numPr>
      </w:pPr>
      <w:r>
        <w:t xml:space="preserve">Santhiago MR, Wilson SE, Netto MV, et al. Modulation of the epithelial basement membrane and corneal biomechanics after LASIK with different ablation depths.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2012;28(6):408-414. doi:10.3928/1081597X-20120518-02</w:t>
      </w:r>
    </w:p>
    <w:p>
      <w:pPr>
        <w:numPr>
          <w:ilvl w:val="0"/>
          <w:numId w:val="1053"/>
        </w:numPr>
      </w:pPr>
      <w:r>
        <w:t xml:space="preserve">Reinstein DZ, Archer TJ, Gobbe M, Silverman RH, Coleman DJ. Epithelial thickness in the normal cornea: three-dimensional display with Artemis very high-frequency digital ultrasound.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2008;24(6):571-581. doi:10.3928/1081597X-20080601-05</w:t>
      </w:r>
    </w:p>
    <w:p>
      <w:pPr>
        <w:numPr>
          <w:ilvl w:val="0"/>
          <w:numId w:val="1053"/>
        </w:numPr>
      </w:pPr>
      <w:r>
        <w:t xml:space="preserve">Santhiago MR, Netto MV, Wilson SE. Mitomycin C: biological effects and use in refractive surgery.</w:t>
      </w:r>
      <w:r>
        <w:t xml:space="preserve"> </w:t>
      </w:r>
      <w:r>
        <w:rPr>
          <w:i/>
          <w:iCs/>
        </w:rPr>
        <w:t xml:space="preserve">Cornea</w:t>
      </w:r>
      <w:r>
        <w:t xml:space="preserve">. 2012;31(3):311-321. doi:10.1097/ICO.0b013e31821e429d</w:t>
      </w:r>
    </w:p>
    <w:p>
      <w:pPr>
        <w:numPr>
          <w:ilvl w:val="0"/>
          <w:numId w:val="1053"/>
        </w:numPr>
      </w:pPr>
      <w:r>
        <w:t xml:space="preserve">Gatinel D, Saad A, Guilbert E, Rouger H. Unilateral rainbow glare after uncomplicated femto-LASIK using the FS-200 femtosecond laser.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2013;29(7):498-501. doi:10.3928/1081597X-20130617-06</w:t>
      </w:r>
    </w:p>
    <w:p>
      <w:pPr>
        <w:numPr>
          <w:ilvl w:val="0"/>
          <w:numId w:val="1053"/>
        </w:numPr>
      </w:pPr>
      <w:r>
        <w:t xml:space="preserve">Alió JL, Chaubard JJ, Cáliz A, Sala E, Patel S. Correction of presbyopia by technovision central multifocal LASIK (presbyLASIK).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2006;22(5):453-460.</w:t>
      </w:r>
    </w:p>
    <w:p>
      <w:pPr>
        <w:numPr>
          <w:ilvl w:val="0"/>
          <w:numId w:val="1053"/>
        </w:numPr>
      </w:pPr>
      <w:r>
        <w:t xml:space="preserve">Wilson SE. Use of mitomycin C for corneal haze prophylaxis after photorefractive keratectomy in high-myopia patients.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2002;18(2):S219-S221.</w:t>
      </w:r>
    </w:p>
    <w:p>
      <w:pPr>
        <w:numPr>
          <w:ilvl w:val="0"/>
          <w:numId w:val="1053"/>
        </w:numPr>
      </w:pPr>
      <w:r>
        <w:t xml:space="preserve">Arbelaez MC, Vidal C, Arba-Mosquera S. Excimer laser correction of presbyopia: PresbyMAX hybrid technique.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2008;24(7):S251-S257.</w:t>
      </w:r>
    </w:p>
    <w:p>
      <w:pPr>
        <w:numPr>
          <w:ilvl w:val="0"/>
          <w:numId w:val="1053"/>
        </w:numPr>
      </w:pPr>
      <w:r>
        <w:t xml:space="preserve">Reinstein DZ, Archer TJ, Gobbe M. Stability of LASIK in topographically suspect corneas.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2009;25(3):288-295. doi:10.3928/1081597X-20090301-09</w:t>
      </w:r>
    </w:p>
    <w:p>
      <w:pPr>
        <w:numPr>
          <w:ilvl w:val="0"/>
          <w:numId w:val="1053"/>
        </w:numPr>
      </w:pPr>
      <w:r>
        <w:t xml:space="preserve">Marshall J, Trokel SL, Rothery S, Krueger RR. Long-term healing of the central cornea after photorefractive keratectomy using an excimer laser.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1988;95(10):1411-1421.</w:t>
      </w:r>
    </w:p>
    <w:p>
      <w:pPr>
        <w:numPr>
          <w:ilvl w:val="0"/>
          <w:numId w:val="1053"/>
        </w:numPr>
      </w:pPr>
      <w:r>
        <w:t xml:space="preserve">Krueger RR, Juhasz T, Gualano A, Marchi V. The picosecond laser for nonmechanical laser in situ keratomileusis.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1998;14(4):467-469.</w:t>
      </w:r>
    </w:p>
    <w:p>
      <w:pPr>
        <w:numPr>
          <w:ilvl w:val="0"/>
          <w:numId w:val="1053"/>
        </w:numPr>
      </w:pPr>
      <w:r>
        <w:t xml:space="preserve">Kanellopoulos AJ, Asimellis G. Comparison of high-resolution Scheimpflug and high-frequency ultrasound biomicroscopy to anterior-segment OCT corneal thickness measurements.</w:t>
      </w:r>
      <w:r>
        <w:t xml:space="preserve"> </w:t>
      </w:r>
      <w:r>
        <w:rPr>
          <w:i/>
          <w:iCs/>
        </w:rPr>
        <w:t xml:space="preserve">Clinical Ophthalmology</w:t>
      </w:r>
      <w:r>
        <w:t xml:space="preserve">. 2013;7:2239-2247. doi:10.2147/OPTH.S53718</w:t>
      </w:r>
    </w:p>
    <w:p>
      <w:pPr>
        <w:numPr>
          <w:ilvl w:val="0"/>
          <w:numId w:val="1053"/>
        </w:numPr>
      </w:pPr>
      <w:r>
        <w:t xml:space="preserve">Shortt AJ, Allan BD, Evans JR. Laser-assisted in-situ keratomileusis (LASIK) versus photorefractive keratectomy (PRK) for myopia.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. 2013;(1):CD005135. doi:10.1002/14651858.CD005135.pub3</w:t>
      </w:r>
    </w:p>
    <w:p>
      <w:pPr>
        <w:numPr>
          <w:ilvl w:val="0"/>
          <w:numId w:val="1053"/>
        </w:numPr>
      </w:pPr>
      <w:r>
        <w:t xml:space="preserve">Kalyvianaki MI, Kymionis GD, Kounis GA, et al. Comparison of Epi-LASIK and off-flap Epi-LASIK for the treatment of low and moderate myopia.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2008;115(12):2174-2180. doi:10.1016/j.ophtha.2008.08.001</w:t>
      </w:r>
    </w:p>
    <w:p>
      <w:pPr>
        <w:numPr>
          <w:ilvl w:val="0"/>
          <w:numId w:val="1053"/>
        </w:numPr>
      </w:pPr>
      <w:r>
        <w:t xml:space="preserve">Tobaigy FM, Ghanem RC, Sayegh RR, Azar DT. A control-matched comparison of laser epithelial keratomileusis and thin-flap laser in situ keratomileusis for myopia and myopic astigmatism.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2006;142(6):901-908. doi:10.1016/j.ajo.2006.07.036</w:t>
      </w:r>
    </w:p>
    <w:p>
      <w:r>
        <w:pict>
          <v:rect style="width:0;height:1.5pt" o:hralign="center" o:hrstd="t" o:hr="t"/>
        </w:pict>
      </w:r>
    </w:p>
    <w:bookmarkEnd w:id="52"/>
    <w:bookmarkStart w:id="78" w:name="infográficos-clínicos-sugeridos"/>
    <w:p>
      <w:pPr>
        <w:pStyle w:val="Heading2"/>
      </w:pPr>
      <w:r>
        <w:t xml:space="preserve">Infográficos Clínicos Sugeridos</w:t>
      </w:r>
    </w:p>
    <w:bookmarkStart w:id="56" w:name="X67cb69f249c0b0cab3200bfd1861ffe95005f7e"/>
    <w:p>
      <w:pPr>
        <w:pStyle w:val="Heading3"/>
      </w:pPr>
      <w:r>
        <w:t xml:space="preserve">Infográfico 4.1: O Efeito de Mascaramento Epitelial (Corte Transversal Dinâmico)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Efeito de Mascaramento Epitelial" title="" id="54" name="Picture"/>
            <a:graphic>
              <a:graphicData uri="http://schemas.openxmlformats.org/drawingml/2006/picture">
                <pic:pic>
                  <pic:nvPicPr>
                    <pic:cNvPr descr="figures/chapter4/infographic_4_1_epithelial_masking.md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4.1: Diagrama demonstrando como a hiperplasia epitelial preenche as zonas de ablação profunda (</w:t>
      </w:r>
      <w:r>
        <w:rPr>
          <w:i/>
          <w:iCs/>
        </w:rPr>
        <w:t xml:space="preserve">“smoothing”</w:t>
      </w:r>
      <w:r>
        <w:rPr>
          <w:i/>
          <w:iCs/>
        </w:rPr>
        <w:t xml:space="preserve">), reduzindo a asfericidade efetiva programada.</w:t>
      </w:r>
    </w:p>
    <w:p>
      <w:r>
        <w:pict>
          <v:rect style="width:0;height:1.5pt" o:hralign="center" o:hrstd="t" o:hr="t"/>
        </w:pict>
      </w:r>
    </w:p>
    <w:bookmarkEnd w:id="56"/>
    <w:bookmarkStart w:id="60" w:name="X57ac4851b0ad416dd58a8c316f5c02c698673a8"/>
    <w:p>
      <w:pPr>
        <w:pStyle w:val="Heading3"/>
      </w:pPr>
      <w:r>
        <w:t xml:space="preserve">Infográfico 4.2: Centragem – Pupila vs. Purkinje vs. Ponto Médio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A Trindade da Centragem" title="" id="58" name="Picture"/>
            <a:graphic>
              <a:graphicData uri="http://schemas.openxmlformats.org/drawingml/2006/picture">
                <pic:pic>
                  <pic:nvPicPr>
                    <pic:cNvPr descr="figures/chapter4/infographic_4_2_centration_strategy.md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4.2: Comparativo de estratégias de centragem. A estratégia do</w:t>
      </w:r>
      <w:r>
        <w:rPr>
          <w:i/>
          <w:iCs/>
        </w:rPr>
        <w:t xml:space="preserve"> </w:t>
      </w:r>
      <w:r>
        <w:rPr>
          <w:i/>
          <w:iCs/>
        </w:rPr>
        <w:t xml:space="preserve">“Ponto Médio”</w:t>
      </w:r>
      <w:r>
        <w:rPr>
          <w:i/>
          <w:iCs/>
        </w:rPr>
        <w:t xml:space="preserve"> </w:t>
      </w:r>
      <w:r>
        <w:rPr>
          <w:i/>
          <w:iCs/>
        </w:rPr>
        <w:t xml:space="preserve">(Halfway Point) oferece o melhor compromisso entre qualidade óptica (Purkinje) e cobertura anatómica (Pupila).</w:t>
      </w:r>
    </w:p>
    <w:p>
      <w:r>
        <w:pict>
          <v:rect style="width:0;height:1.5pt" o:hralign="center" o:hrstd="t" o:hr="t"/>
        </w:pict>
      </w:r>
    </w:p>
    <w:bookmarkEnd w:id="60"/>
    <w:bookmarkStart w:id="64" w:name="X0137bcd055b3fa7ac464b4eba8569361cc94cdd"/>
    <w:p>
      <w:pPr>
        <w:pStyle w:val="Heading3"/>
      </w:pPr>
      <w:r>
        <w:t xml:space="preserve">Infográfico 4.3: Linha Temporal de Recuperação Visual (PRK vs. LASIK)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Recuperação Visual PRK vs LASIK" title="" id="62" name="Picture"/>
            <a:graphic>
              <a:graphicData uri="http://schemas.openxmlformats.org/drawingml/2006/picture">
                <pic:pic>
                  <pic:nvPicPr>
                    <pic:cNvPr descr="figures/chapter4/infographic_4_3_recovery_timeline.md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4.3: Gráfico comparativo de acuidade visual (LogMAR e Qualidade Subjetiva) ao longo do tempo. Note o</w:t>
      </w:r>
      <w:r>
        <w:rPr>
          <w:i/>
          <w:iCs/>
        </w:rPr>
        <w:t xml:space="preserve"> </w:t>
      </w:r>
      <w:r>
        <w:rPr>
          <w:i/>
          <w:iCs/>
        </w:rPr>
        <w:t xml:space="preserve">“vale”</w:t>
      </w:r>
      <w:r>
        <w:rPr>
          <w:i/>
          <w:iCs/>
        </w:rPr>
        <w:t xml:space="preserve"> </w:t>
      </w:r>
      <w:r>
        <w:rPr>
          <w:i/>
          <w:iCs/>
        </w:rPr>
        <w:t xml:space="preserve">inicial do PRK vs. o</w:t>
      </w:r>
      <w:r>
        <w:rPr>
          <w:i/>
          <w:iCs/>
        </w:rPr>
        <w:t xml:space="preserve"> </w:t>
      </w:r>
      <w:r>
        <w:rPr>
          <w:i/>
          <w:iCs/>
        </w:rPr>
        <w:t xml:space="preserve">“platô”</w:t>
      </w:r>
      <w:r>
        <w:rPr>
          <w:i/>
          <w:iCs/>
        </w:rPr>
        <w:t xml:space="preserve"> </w:t>
      </w:r>
      <w:r>
        <w:rPr>
          <w:i/>
          <w:iCs/>
        </w:rPr>
        <w:t xml:space="preserve">imediato do LASIK.</w:t>
      </w:r>
    </w:p>
    <w:p>
      <w:r>
        <w:pict>
          <v:rect style="width:0;height:1.5pt" o:hralign="center" o:hrstd="t" o:hr="t"/>
        </w:pict>
      </w:r>
    </w:p>
    <w:bookmarkEnd w:id="64"/>
    <w:bookmarkStart w:id="68" w:name="X09612ebd97f2bac817076d24b82d813b736aa69"/>
    <w:p>
      <w:pPr>
        <w:pStyle w:val="Heading3"/>
      </w:pPr>
      <w:r>
        <w:t xml:space="preserve">Infográfico 4.4: Protocolo MMC Step-by-Step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Protocolo de Segurança Mitomicina C" title="" id="66" name="Picture"/>
            <a:graphic>
              <a:graphicData uri="http://schemas.openxmlformats.org/drawingml/2006/picture">
                <pic:pic>
                  <pic:nvPicPr>
                    <pic:cNvPr descr="figures/chapter4/infographic_4_4_mmc_protocol.md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4.4: Guia visual de segurança para aplicação de MMC, destacando os tempos de exposição baseados na profundidade de ablação e a importância da lavagem copiosa.</w:t>
      </w:r>
    </w:p>
    <w:p>
      <w:r>
        <w:pict>
          <v:rect style="width:0;height:1.5pt" o:hralign="center" o:hrstd="t" o:hr="t"/>
        </w:pict>
      </w:r>
    </w:p>
    <w:bookmarkEnd w:id="68"/>
    <w:bookmarkStart w:id="72" w:name="X8af3249c93a9e2e92bc705ddc8d3e957d29114e"/>
    <w:p>
      <w:pPr>
        <w:pStyle w:val="Heading3"/>
      </w:pPr>
      <w:r>
        <w:t xml:space="preserve">Infográfico 4.5: Complicação – Epithelial Ingrowth (Classificação e Gestão)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Classificação de Ingrowth Epitelial" title="" id="70" name="Picture"/>
            <a:graphic>
              <a:graphicData uri="http://schemas.openxmlformats.org/drawingml/2006/picture">
                <pic:pic>
                  <pic:nvPicPr>
                    <pic:cNvPr descr="figures/chapter4/infographic_4_5_epithelial_ingrowth.md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4.5: Sistema de semáforo para gestão de invasão epitelial na interface LASIK. A distorção visual ou o melting do flap (Grau 3) exigem intervenção cirúrgica imediata.</w:t>
      </w:r>
    </w:p>
    <w:p>
      <w:r>
        <w:pict>
          <v:rect style="width:0;height:1.5pt" o:hralign="center" o:hrstd="t" o:hr="t"/>
        </w:pict>
      </w:r>
    </w:p>
    <w:bookmarkEnd w:id="72"/>
    <w:bookmarkStart w:id="76" w:name="Xf7c41371a34fbf23c93c81826de6b345864700d"/>
    <w:p>
      <w:pPr>
        <w:pStyle w:val="Heading3"/>
      </w:pPr>
      <w:r>
        <w:t xml:space="preserve">Infográfico 4.6: O Mapa de Risco de Haze (Zona de Perigo UV)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Heatmap de Risco de Haze" title="" id="74" name="Picture"/>
            <a:graphic>
              <a:graphicData uri="http://schemas.openxmlformats.org/drawingml/2006/picture">
                <pic:pic>
                  <pic:nvPicPr>
                    <pic:cNvPr descr="figures/chapter4/infographic_4_6_haze_hazard_map.md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4.6: Matriz de risco correlacionando a profundidade de ablação estromal com a probabilidade de ativação miofibroblástica (Haze), justificando o uso mandatório de MMC em perfis presbiópicos profundos.</w:t>
      </w:r>
    </w:p>
    <w:p>
      <w:pPr>
        <w:pStyle w:val="BodyText"/>
      </w:pPr>
      <w:r>
        <w:rPr>
          <w:b/>
          <w:bCs/>
        </w:rPr>
        <w:t xml:space="preserve">Imagem:</w:t>
      </w:r>
      <w:r>
        <w:br/>
      </w:r>
      <w:r>
        <w:t xml:space="preserve">- Vista através de lâmpada de fenda</w:t>
      </w:r>
      <w:r>
        <w:t xml:space="preserve"> </w:t>
      </w:r>
      <w:r>
        <w:t xml:space="preserve">- Ilha de células epiteliais cinzentas/brancas na periferia do flap</w:t>
      </w:r>
      <w:r>
        <w:t xml:space="preserve"> </w:t>
      </w:r>
      <w:r>
        <w:t xml:space="preserve">- Distância do eixo visual: &gt;4 mm</w:t>
      </w:r>
      <w:r>
        <w:t xml:space="preserve"> </w:t>
      </w:r>
      <w:r>
        <w:t xml:space="preserve">- Área: &lt;1 mm²</w:t>
      </w:r>
    </w:p>
    <w:p>
      <w:pPr>
        <w:pStyle w:val="BodyText"/>
      </w:pPr>
      <w:r>
        <w:rPr>
          <w:b/>
          <w:bCs/>
        </w:rPr>
        <w:t xml:space="preserve">Dados Clínicos:</w:t>
      </w:r>
      <w:r>
        <w:t xml:space="preserve"> </w:t>
      </w:r>
      <w:r>
        <w:t xml:space="preserve">- BCVA: Não afetada (20/20)</w:t>
      </w:r>
      <w:r>
        <w:t xml:space="preserve"> </w:t>
      </w:r>
      <w:r>
        <w:t xml:space="preserve">- Topografia: Normal</w:t>
      </w:r>
      <w:r>
        <w:t xml:space="preserve"> </w:t>
      </w:r>
      <w:r>
        <w:t xml:space="preserve">- Conduta:</w:t>
      </w:r>
      <w:r>
        <w:t xml:space="preserve"> </w:t>
      </w:r>
      <w:r>
        <w:rPr>
          <w:b/>
          <w:bCs/>
        </w:rPr>
        <w:t xml:space="preserve">Observação trimestral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“Grau 1 – Periférico, estável, assintomático → Observar”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B: Grau 2 (Vigilância Apertada)</w:t>
      </w:r>
    </w:p>
    <w:p>
      <w:pPr>
        <w:pStyle w:val="BodyText"/>
      </w:pPr>
      <w:r>
        <w:rPr>
          <w:b/>
          <w:bCs/>
        </w:rPr>
        <w:t xml:space="preserve">Imagem:</w:t>
      </w:r>
      <w:r>
        <w:t xml:space="preserve"> </w:t>
      </w:r>
      <w:r>
        <w:t xml:space="preserve">- Ingrowth avançando em direção ao centro (língua de células)</w:t>
      </w:r>
      <w:r>
        <w:t xml:space="preserve"> </w:t>
      </w:r>
      <w:r>
        <w:t xml:space="preserve">- Distância do eixo visual: 2-3 mm</w:t>
      </w:r>
      <w:r>
        <w:t xml:space="preserve"> </w:t>
      </w:r>
      <w:r>
        <w:t xml:space="preserve">- Área: 2-4 mm²</w:t>
      </w:r>
      <w:r>
        <w:t xml:space="preserve"> </w:t>
      </w:r>
      <w:r>
        <w:t xml:space="preserve">- Possível elevação focal do flap (micro-striae)</w:t>
      </w:r>
    </w:p>
    <w:p>
      <w:pPr>
        <w:pStyle w:val="BodyText"/>
      </w:pPr>
      <w:r>
        <w:rPr>
          <w:b/>
          <w:bCs/>
        </w:rPr>
        <w:t xml:space="preserve">Dados Clínicos:</w:t>
      </w:r>
      <w:r>
        <w:t xml:space="preserve"> </w:t>
      </w:r>
      <w:r>
        <w:t xml:space="preserve">- BCVA: 20/25 (perda de 1 linha)</w:t>
      </w:r>
      <w:r>
        <w:t xml:space="preserve"> </w:t>
      </w:r>
      <w:r>
        <w:t xml:space="preserve">- Sintomas: Halos ligeiros, flutuação visual matinal</w:t>
      </w:r>
      <w:r>
        <w:t xml:space="preserve"> </w:t>
      </w:r>
      <w:r>
        <w:t xml:space="preserve">- Conduta:</w:t>
      </w:r>
      <w:r>
        <w:t xml:space="preserve"> </w:t>
      </w:r>
      <w:r>
        <w:rPr>
          <w:b/>
          <w:bCs/>
        </w:rPr>
        <w:t xml:space="preserve">Observação mensal → Se progressão, intervir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“Grau 2 – Progressivo, sintomas ligeiros → Vigilância apertada, considerar intervenção”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C: Grau 3 (Intervenção Mandatória)</w:t>
      </w:r>
    </w:p>
    <w:p>
      <w:pPr>
        <w:pStyle w:val="BodyText"/>
      </w:pPr>
      <w:r>
        <w:rPr>
          <w:b/>
          <w:bCs/>
        </w:rPr>
        <w:t xml:space="preserve">Imagem:</w:t>
      </w:r>
      <w:r>
        <w:t xml:space="preserve"> </w:t>
      </w:r>
      <w:r>
        <w:t xml:space="preserve">- Ingrowth extenso aproximando-se ou invadindo zona 3-4 mm central</w:t>
      </w:r>
      <w:r>
        <w:t xml:space="preserve"> </w:t>
      </w:r>
      <w:r>
        <w:t xml:space="preserve">- Possível</w:t>
      </w:r>
      <w:r>
        <w:t xml:space="preserve"> </w:t>
      </w:r>
      <w:r>
        <w:t xml:space="preserve">“melting”</w:t>
      </w:r>
      <w:r>
        <w:t xml:space="preserve"> </w:t>
      </w:r>
      <w:r>
        <w:t xml:space="preserve">(adelgaçamento) do estroma adjacente (zona avascular branca)</w:t>
      </w:r>
      <w:r>
        <w:t xml:space="preserve"> </w:t>
      </w:r>
      <w:r>
        <w:t xml:space="preserve">- Área: &gt;5 mm² ou qualquer tamanho próximo do eixo visual</w:t>
      </w:r>
    </w:p>
    <w:p>
      <w:pPr>
        <w:pStyle w:val="BodyText"/>
      </w:pPr>
      <w:r>
        <w:rPr>
          <w:b/>
          <w:bCs/>
        </w:rPr>
        <w:t xml:space="preserve">Dados Clínicos:</w:t>
      </w:r>
      <w:r>
        <w:t xml:space="preserve"> </w:t>
      </w:r>
      <w:r>
        <w:t xml:space="preserve">- BCVA: 20/40 ou pior (perda ≥2 linhas)</w:t>
      </w:r>
      <w:r>
        <w:t xml:space="preserve"> </w:t>
      </w:r>
      <w:r>
        <w:t xml:space="preserve">- Sintomas: Halos severos, diplopia monocular, dor (se melting)</w:t>
      </w:r>
      <w:r>
        <w:t xml:space="preserve"> </w:t>
      </w:r>
      <w:r>
        <w:t xml:space="preserve">- Topografia: Irregularidade focal</w:t>
      </w:r>
      <w:r>
        <w:t xml:space="preserve"> </w:t>
      </w:r>
      <w:r>
        <w:t xml:space="preserve">- Conduta:</w:t>
      </w:r>
      <w:r>
        <w:t xml:space="preserve"> </w:t>
      </w:r>
      <w:r>
        <w:rPr>
          <w:b/>
          <w:bCs/>
        </w:rPr>
        <w:t xml:space="preserve">CIRURGIA – Re-lift + Debridamento + Cauterização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“Grau 3 – Ameaça visual ou melting → Intervenção cirúrgica urgente”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Inferior: Algoritmo de Tratamento Grau 3</w:t>
      </w:r>
    </w:p>
    <w:p>
      <w:pPr>
        <w:pStyle w:val="BodyText"/>
      </w:pPr>
      <w:r>
        <w:t xml:space="preserve">Flowchart:</w:t>
      </w:r>
    </w:p>
    <w:p>
      <w:pPr>
        <w:pStyle w:val="SourceCode"/>
      </w:pPr>
      <w:r>
        <w:rPr>
          <w:rStyle w:val="VerbatimChar"/>
        </w:rPr>
        <w:t xml:space="preserve">Grau 3 Identificado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Agendar Re-Intervenção (3-7 dias)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Re-lift de Flap (técnica standard)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Debridamento Mecânico (scraping com #15 blade)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Cauterização Química Interface (Etanol 100%, 15 seg)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4. Lavagem BSS copiosa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[Recorrente?]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NÃO → Reposicionar Flap (sem sutura)</w:t>
      </w:r>
      <w:r>
        <w:br/>
      </w:r>
      <w:r>
        <w:rPr>
          <w:rStyle w:val="VerbatimChar"/>
        </w:rPr>
        <w:t xml:space="preserve">SIM → **Suturar Flap** (10-0 Nylon, 3-4 pontos)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Follow-Up: Semanal x4, depois mensal x6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br/>
      </w:r>
      <w:r>
        <w:t xml:space="preserve">Educar sobre reconhecimento precoce e gestão graduada de epithelial ingrowth, complicação específica de LASIK.</w:t>
      </w:r>
    </w:p>
    <w:p>
      <w:r>
        <w:pict>
          <v:rect style="width:0;height:1.5pt" o:hralign="center" o:hrstd="t" o:hr="t"/>
        </w:pict>
      </w:r>
    </w:p>
    <w:bookmarkEnd w:id="76"/>
    <w:bookmarkStart w:id="77" w:name="Xc565733da3c02b53d44cb5bfae31c7279c3a3b6"/>
    <w:p>
      <w:pPr>
        <w:pStyle w:val="Heading3"/>
      </w:pPr>
      <w:r>
        <w:t xml:space="preserve">Infográfico 4.6: Decisão Algorítmica PRK vs. LASIK (Árvore de Decisão Completa)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Árvore de decisão em formato vertical com nós coloridos (verde/amarelo/vermelho).</w:t>
      </w:r>
    </w:p>
    <w:p>
      <w:pPr>
        <w:pStyle w:val="BodyText"/>
      </w:pPr>
      <w:r>
        <w:rPr>
          <w:b/>
          <w:bCs/>
        </w:rPr>
        <w:t xml:space="preserve">Topo (Nó Inicial):</w:t>
      </w:r>
      <w:r>
        <w:br/>
      </w:r>
      <w:r>
        <w:t xml:space="preserve">“Candidato Aprovado para Cirurgia Presbiópica Corneana”</w:t>
      </w:r>
    </w:p>
    <w:p>
      <w:pPr>
        <w:pStyle w:val="BodyText"/>
      </w:pPr>
      <w:r>
        <w:rPr>
          <w:b/>
          <w:bCs/>
        </w:rPr>
        <w:t xml:space="preserve">Nó 1: Paquimetria Central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Pergunta:</w:t>
      </w:r>
      <w:r>
        <w:t xml:space="preserve"> </w:t>
      </w:r>
      <w:r>
        <w:t xml:space="preserve">“Paquimetria + RSB previsto?”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&lt;480 μm ou RSB &lt;280 μm: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 OBRIGATÓRIO</w:t>
      </w:r>
      <w:r>
        <w:t xml:space="preserve"> </w:t>
      </w:r>
      <w:r>
        <w:t xml:space="preserve">(Fim – Caixa Verde)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480-500 μm ou RSB 280-300 μm: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 PREFERÍVEL</w:t>
      </w:r>
      <w:r>
        <w:t xml:space="preserve"> </w:t>
      </w:r>
      <w:r>
        <w:t xml:space="preserve">(amarelo, continuar para confirmar)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&gt;500 μm e RSB &gt;300 μm:</w:t>
      </w:r>
      <w:r>
        <w:t xml:space="preserve"> </w:t>
      </w:r>
      <w:r>
        <w:t xml:space="preserve">→ Continuar</w:t>
      </w:r>
    </w:p>
    <w:p>
      <w:pPr>
        <w:pStyle w:val="BodyText"/>
      </w:pPr>
      <w:r>
        <w:rPr>
          <w:b/>
          <w:bCs/>
        </w:rPr>
        <w:t xml:space="preserve">Nó 2: Profissão/Lifestyle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Pergunta:</w:t>
      </w:r>
      <w:r>
        <w:t xml:space="preserve"> </w:t>
      </w:r>
      <w:r>
        <w:t xml:space="preserve">“Profissão ou desporto de risco traumático?”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 (Desporto contacto, Militar, etc.):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</w:t>
      </w:r>
      <w:r>
        <w:t xml:space="preserve"> </w:t>
      </w:r>
      <w:r>
        <w:t xml:space="preserve">(Verde – Fim)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NÃO:</w:t>
      </w:r>
      <w:r>
        <w:t xml:space="preserve"> </w:t>
      </w:r>
      <w:r>
        <w:t xml:space="preserve">→ Continuar</w:t>
      </w:r>
    </w:p>
    <w:p>
      <w:pPr>
        <w:pStyle w:val="BodyText"/>
      </w:pPr>
      <w:r>
        <w:rPr>
          <w:b/>
          <w:bCs/>
        </w:rPr>
        <w:t xml:space="preserve">Nó 3: História Cirúrgica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Pergunta:</w:t>
      </w:r>
      <w:r>
        <w:t xml:space="preserve"> </w:t>
      </w:r>
      <w:r>
        <w:t xml:space="preserve">“LASIK prévio? Se sim, há quanto tempo?”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LASIK &gt;10 anos atrás: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</w:t>
      </w:r>
      <w:r>
        <w:t xml:space="preserve"> </w:t>
      </w:r>
      <w:r>
        <w:t xml:space="preserve">(evitar re-lift) (Verde – Fim)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LASIK &lt;5 anos ou Virgem:</w:t>
      </w:r>
      <w:r>
        <w:t xml:space="preserve"> </w:t>
      </w:r>
      <w:r>
        <w:t xml:space="preserve">→ LASIK preferível, continuar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história:</w:t>
      </w:r>
      <w:r>
        <w:t xml:space="preserve"> </w:t>
      </w:r>
      <w:r>
        <w:t xml:space="preserve">→ Continuar</w:t>
      </w:r>
    </w:p>
    <w:p>
      <w:pPr>
        <w:pStyle w:val="BodyText"/>
      </w:pPr>
      <w:r>
        <w:rPr>
          <w:b/>
          <w:bCs/>
        </w:rPr>
        <w:t xml:space="preserve">Nó 4: Superfície Ocular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Pergunta:</w:t>
      </w:r>
      <w:r>
        <w:t xml:space="preserve"> </w:t>
      </w:r>
      <w:r>
        <w:t xml:space="preserve">“Olho seco severo (OSDI &gt;25, Schirmer &lt;7 mm)?”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</w:t>
      </w:r>
      <w:r>
        <w:t xml:space="preserve"> </w:t>
      </w:r>
      <w:r>
        <w:t xml:space="preserve">(menor olho seco crónico) (Verde – Fim)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NÃO:</w:t>
      </w:r>
      <w:r>
        <w:t xml:space="preserve"> </w:t>
      </w:r>
      <w:r>
        <w:t xml:space="preserve">→ Continuar</w:t>
      </w:r>
    </w:p>
    <w:p>
      <w:pPr>
        <w:pStyle w:val="BodyText"/>
      </w:pPr>
      <w:r>
        <w:rPr>
          <w:b/>
          <w:bCs/>
        </w:rPr>
        <w:t xml:space="preserve">Nó 5: Urgência de Recuperação Visual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Pergunta:</w:t>
      </w:r>
      <w:r>
        <w:t xml:space="preserve"> </w:t>
      </w:r>
      <w:r>
        <w:t xml:space="preserve">“Necessita visão funcional imediata (profissão exigente, viagem, etc.)?”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LASIK</w:t>
      </w:r>
      <w:r>
        <w:t xml:space="preserve"> </w:t>
      </w:r>
      <w:r>
        <w:t xml:space="preserve">(recuperação rápida) (Verde intenso – Fim)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NÃO, pode aguardar 1-2 semanas: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PRK é opção</w:t>
      </w:r>
      <w:r>
        <w:t xml:space="preserve"> </w:t>
      </w:r>
      <w:r>
        <w:t xml:space="preserve">(Amarelo – Fim)</w:t>
      </w:r>
    </w:p>
    <w:p>
      <w:pPr>
        <w:pStyle w:val="BodyText"/>
      </w:pPr>
      <w:r>
        <w:rPr>
          <w:b/>
          <w:bCs/>
        </w:rPr>
        <w:t xml:space="preserve">Nó 6 (Default):</w:t>
      </w:r>
      <w:r>
        <w:t xml:space="preserve"> </w:t>
      </w:r>
      <w:r>
        <w:t xml:space="preserve">- Se nenhum critério específico acima: →</w:t>
      </w:r>
      <w:r>
        <w:t xml:space="preserve"> </w:t>
      </w:r>
      <w:r>
        <w:rPr>
          <w:b/>
          <w:bCs/>
        </w:rPr>
        <w:t xml:space="preserve">LASIK</w:t>
      </w:r>
      <w:r>
        <w:t xml:space="preserve"> </w:t>
      </w:r>
      <w:r>
        <w:t xml:space="preserve">(técnica padrão)</w:t>
      </w:r>
    </w:p>
    <w:p>
      <w:pPr>
        <w:pStyle w:val="BodyText"/>
      </w:pPr>
      <w:r>
        <w:rPr>
          <w:b/>
          <w:bCs/>
        </w:rPr>
        <w:t xml:space="preserve">Caixa de Resumo Inferior: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PRK Indicado Se:</w:t>
            </w:r>
          </w:p>
        </w:tc>
        <w:tc>
          <w:tcPr/>
          <w:p>
            <w:pPr>
              <w:pStyle w:val="Compact"/>
            </w:pPr>
            <w:r>
              <w:t xml:space="preserve">LASIK Indicado 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Paquimetria &lt;500 μm</w:t>
            </w:r>
          </w:p>
        </w:tc>
        <w:tc>
          <w:tcPr/>
          <w:p>
            <w:pPr>
              <w:pStyle w:val="Compact"/>
            </w:pPr>
            <w:r>
              <w:t xml:space="preserve">Paquimetria &gt;500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Desporto de contacto</w:t>
            </w:r>
          </w:p>
        </w:tc>
        <w:tc>
          <w:tcPr/>
          <w:p>
            <w:pPr>
              <w:pStyle w:val="Compact"/>
            </w:pPr>
            <w:r>
              <w:t xml:space="preserve">Profissão de escritório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LASIK prévio &gt;10 anos</w:t>
            </w:r>
          </w:p>
        </w:tc>
        <w:tc>
          <w:tcPr/>
          <w:p>
            <w:pPr>
              <w:pStyle w:val="Compact"/>
            </w:pPr>
            <w:r>
              <w:t xml:space="preserve">Necessidade de visão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Olho seco severo</w:t>
            </w:r>
          </w:p>
        </w:tc>
        <w:tc>
          <w:tcPr/>
          <w:p>
            <w:pPr>
              <w:pStyle w:val="Compact"/>
            </w:pPr>
            <w:r>
              <w:t xml:space="preserve">Superfície ocular normal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Fornecer uma ferramenta de decisão step-by-step rápida e clara para seleção da técnica cirúrgica.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4 está agora COMPLETO</w:t>
      </w:r>
      <w:r>
        <w:t xml:space="preserve">, com:</w:t>
      </w:r>
      <w:r>
        <w:t xml:space="preserve"> </w:t>
      </w:r>
      <w:r>
        <w:t xml:space="preserve">- ✅ Biomecânica e cicatrização detalhada</w:t>
      </w:r>
      <w:r>
        <w:t xml:space="preserve"> </w:t>
      </w:r>
      <w:r>
        <w:t xml:space="preserve">- ✅ Efeito de mascaramento epitelial (com matemática)</w:t>
      </w:r>
      <w:r>
        <w:t xml:space="preserve"> </w:t>
      </w:r>
      <w:r>
        <w:t xml:space="preserve">- ✅ Protocolos PRK e LASIK completos</w:t>
      </w:r>
      <w:r>
        <w:t xml:space="preserve"> </w:t>
      </w:r>
      <w:r>
        <w:t xml:space="preserve">- ✅ Comparação sistemática</w:t>
      </w:r>
      <w:r>
        <w:t xml:space="preserve"> </w:t>
      </w:r>
      <w:r>
        <w:t xml:space="preserve">- ✅ Gestão de complicações</w:t>
      </w:r>
      <w:r>
        <w:t xml:space="preserve"> </w:t>
      </w:r>
      <w:r>
        <w:t xml:space="preserve">- ✅ 15 Referências bibliográficas</w:t>
      </w:r>
      <w:r>
        <w:t xml:space="preserve"> </w:t>
      </w:r>
      <w:r>
        <w:t xml:space="preserve">- ✅ 6 Infográficos detalhados</w:t>
      </w:r>
    </w:p>
    <w:p>
      <w:pPr>
        <w:pStyle w:val="BodyText"/>
      </w:pPr>
      <w:r>
        <w:t xml:space="preserve">Pronto para copiar para o Google Drive! Quer que continue com mais capítulos?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53" Target="media/rId53.md" /><Relationship Type="http://schemas.openxmlformats.org/officeDocument/2006/relationships/image" Id="rId57" Target="media/rId57.md" /><Relationship Type="http://schemas.openxmlformats.org/officeDocument/2006/relationships/image" Id="rId61" Target="media/rId61.md" /><Relationship Type="http://schemas.openxmlformats.org/officeDocument/2006/relationships/image" Id="rId65" Target="media/rId65.md" /><Relationship Type="http://schemas.openxmlformats.org/officeDocument/2006/relationships/image" Id="rId69" Target="media/rId69.md" /><Relationship Type="http://schemas.openxmlformats.org/officeDocument/2006/relationships/image" Id="rId73" Target="media/rId73.md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2026-01-06T17:05:09Z</dcterms:created>
  <dcterms:modified xsi:type="dcterms:W3CDTF">2026-01-06T17:05:09Z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