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54.md" ContentType="text/markdown"/>
  <Override PartName="/word/media/rId58.md" ContentType="text/markdown"/>
  <Override PartName="/word/media/rId62.md" ContentType="text/markdown"/>
  <Override PartName="/word/media/rId66.md" ContentType="text/markdown"/>
  <Override PartName="/word/media/rId70.md" ContentType="text/markdown"/>
  <Override PartName="/word/media/rId74.md" ContentType="text/markdown"/>
  <Override PartName="/word/media/rId22.png" ContentType="image/png"/>
  <Override PartName="/word/media/rId19.png" ContentType="image/png"/>
  <Override PartName="/word/media/rId35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Xbaeda6dc68276624c4d65501248e67db90472cb"/>
    <w:p>
      <w:pPr>
        <w:pStyle w:val="Heading1"/>
      </w:pPr>
      <w:r>
        <w:t xml:space="preserve">Capítulo 5: PresbyCor e Alcon Custom-Q - Algoritmo em Profundidade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Nota do Autor:</w:t>
      </w:r>
      <w:r>
        <w:t xml:space="preserve"> </w:t>
      </w:r>
      <w:r>
        <w:t xml:space="preserve">Este capítulo reflete a minha interpretação clínica pessoal e experiência cirúrgica com o algoritmo desenvolvido pelo</w:t>
      </w:r>
      <w:r>
        <w:t xml:space="preserve"> </w:t>
      </w:r>
      <w:r>
        <w:rPr>
          <w:b/>
          <w:bCs/>
        </w:rPr>
        <w:t xml:space="preserve">Dr. Charles Ghenassia</w:t>
      </w:r>
      <w:r>
        <w:t xml:space="preserve">. A autoria intelectual das fórmulas e do conceito</w:t>
      </w:r>
      <w:r>
        <w:t xml:space="preserve"> </w:t>
      </w:r>
      <w:r>
        <w:rPr>
          <w:i/>
          <w:iCs/>
        </w:rPr>
        <w:t xml:space="preserve">PresbyCor</w:t>
      </w:r>
      <w:r>
        <w:t xml:space="preserve"> </w:t>
      </w:r>
      <w:r>
        <w:t xml:space="preserve">pertence integralmente ao seu criador. O que se segue é um guia de</w:t>
      </w:r>
      <w:r>
        <w:t xml:space="preserve"> </w:t>
      </w:r>
      <w:r>
        <w:t xml:space="preserve">“tradução”</w:t>
      </w:r>
      <w:r>
        <w:t xml:space="preserve"> </w:t>
      </w:r>
      <w:r>
        <w:t xml:space="preserve">da teoria publicada para a prática cirúrgica no bloco operatório, com base na aplicação sistemática deste algoritmo em plataforma Alcon Wavelight. [1]</w:t>
      </w:r>
    </w:p>
    <w:bookmarkStart w:id="14" w:name="X6037be14a42afb3f6af3bbf3f44e1f38a15b0e9"/>
    <w:p>
      <w:pPr>
        <w:pStyle w:val="Heading2"/>
      </w:pPr>
      <w:r>
        <w:t xml:space="preserve">5.1. A Filosofia PresbyCor: Custom-Q vs. Perfis Pré-Definidos</w:t>
      </w:r>
    </w:p>
    <w:p>
      <w:pPr>
        <w:pStyle w:val="FirstParagraph"/>
      </w:pPr>
      <w:r>
        <w:t xml:space="preserve">O PresbyCor distingue-se fundamentalmente de outros algoritmos presbiópicos (PresbyMAX, SUPRACOR) pela sua</w:t>
      </w:r>
      <w:r>
        <w:t xml:space="preserve"> </w:t>
      </w:r>
      <w:r>
        <w:rPr>
          <w:b/>
          <w:bCs/>
        </w:rPr>
        <w:t xml:space="preserve">abordagem personalizada baseada na asfericidade corneana pré-operatória</w:t>
      </w:r>
      <w:r>
        <w:t xml:space="preserve">.</w:t>
      </w:r>
    </w:p>
    <w:bookmarkStart w:id="12" w:name="paradigma-conceptual"/>
    <w:p>
      <w:pPr>
        <w:pStyle w:val="Heading3"/>
      </w:pPr>
      <w:r>
        <w:t xml:space="preserve">5.1.1. Paradigma Conceptual</w:t>
      </w:r>
    </w:p>
    <w:p>
      <w:pPr>
        <w:pStyle w:val="FirstParagraph"/>
      </w:pPr>
      <w:r>
        <w:rPr>
          <w:b/>
          <w:bCs/>
        </w:rPr>
        <w:t xml:space="preserve">Perfis Pré-Definidos (One-Size-Fits-All):</w:t>
      </w:r>
    </w:p>
    <w:p>
      <w:pPr>
        <w:pStyle w:val="BodyText"/>
      </w:pPr>
      <w:r>
        <w:t xml:space="preserve">A maioria das plataformas impõe um perfil de ablação multifocal</w:t>
      </w:r>
      <w:r>
        <w:t xml:space="preserve"> </w:t>
      </w:r>
      <w:r>
        <w:rPr>
          <w:b/>
          <w:bCs/>
        </w:rPr>
        <w:t xml:space="preserve">standardizado</w:t>
      </w:r>
      <w:r>
        <w:t xml:space="preserve">:</w:t>
      </w:r>
      <w:r>
        <w:t xml:space="preserve"> </w:t>
      </w:r>
      <w:r>
        <w:t xml:space="preserve">- PresbyMAX (Schwind): Cria zona central steep fixa (~+2.50 D add)</w:t>
      </w:r>
      <w:r>
        <w:t xml:space="preserve"> </w:t>
      </w:r>
      <w:r>
        <w:t xml:space="preserve">- SUPRACOR (Bausch+Lomb): Induz hiperprolatividade extrema fixa (Q ~-1.5)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Simplicidade (tecla</w:t>
      </w:r>
      <w:r>
        <w:t xml:space="preserve"> </w:t>
      </w:r>
      <w:r>
        <w:t xml:space="preserve">“presbyopia”</w:t>
      </w:r>
      <w:r>
        <w:t xml:space="preserve"> </w:t>
      </w:r>
      <w:r>
        <w:t xml:space="preserve">no software)</w:t>
      </w:r>
      <w:r>
        <w:br/>
      </w:r>
      <w:r>
        <w:rPr>
          <w:b/>
          <w:bCs/>
        </w:rPr>
        <w:t xml:space="preserve">Desvantagem:</w:t>
      </w:r>
      <w:r>
        <w:t xml:space="preserve"> </w:t>
      </w:r>
      <w:r>
        <w:t xml:space="preserve">Ignora variabilidade biométrica individual (Q pré-op, curvatura, pupila)</w:t>
      </w:r>
    </w:p>
    <w:p>
      <w:pPr>
        <w:pStyle w:val="BodyText"/>
      </w:pPr>
      <w:r>
        <w:rPr>
          <w:b/>
          <w:bCs/>
        </w:rPr>
        <w:t xml:space="preserve">Custom-Q (PresbyCor - Abordagem Individualizada):</w:t>
      </w:r>
    </w:p>
    <w:p>
      <w:pPr>
        <w:pStyle w:val="BodyText"/>
      </w:pPr>
      <w:r>
        <w:t xml:space="preserve">O algoritmo de Ghenassia inverte a pergunta:</w:t>
      </w:r>
    </w:p>
    <w:p>
      <w:pPr>
        <w:pStyle w:val="BlockText"/>
      </w:pPr>
      <w:r>
        <w:rPr>
          <w:i/>
          <w:iCs/>
        </w:rPr>
        <w:t xml:space="preserve">“Qual é a asfericidade atual desta córnea específica e quanto é que ela biomecânicamente</w:t>
      </w:r>
      <w:r>
        <w:rPr>
          <w:i/>
          <w:iCs/>
        </w:rPr>
        <w:t xml:space="preserve"> </w:t>
      </w:r>
      <w:r>
        <w:rPr>
          <w:i/>
          <w:iCs/>
        </w:rPr>
        <w:t xml:space="preserve">‘aguenta’</w:t>
      </w:r>
      <w:r>
        <w:rPr>
          <w:i/>
          <w:iCs/>
        </w:rPr>
        <w:t xml:space="preserve"> </w:t>
      </w:r>
      <w:r>
        <w:rPr>
          <w:i/>
          <w:iCs/>
        </w:rPr>
        <w:t xml:space="preserve">ser modificada para criar profundidade de campo sem instabilidade?”</w:t>
      </w:r>
    </w:p>
    <w:p>
      <w:pPr>
        <w:pStyle w:val="FirstParagraph"/>
      </w:pPr>
      <w:r>
        <w:rPr>
          <w:b/>
          <w:bCs/>
        </w:rPr>
        <w:t xml:space="preserve">Conceito-Chave:</w:t>
      </w:r>
      <w:r>
        <w:br/>
      </w:r>
      <w:r>
        <w:t xml:space="preserve">Córneas planas (K &lt;41 D) com Q já ligeiramente prolato (-0.35) têm</w:t>
      </w:r>
      <w:r>
        <w:t xml:space="preserve"> </w:t>
      </w:r>
      <w:r>
        <w:rPr>
          <w:b/>
          <w:bCs/>
        </w:rPr>
        <w:t xml:space="preserve">menor margem</w:t>
      </w:r>
      <w:r>
        <w:t xml:space="preserve"> </w:t>
      </w:r>
      <w:r>
        <w:t xml:space="preserve">para indução de hiper-prolatividade sem risco de regressão. Córneas curvas (K &gt;44 D) com Q oblato (+0.10, comum em hipermétropes) têm</w:t>
      </w:r>
      <w:r>
        <w:t xml:space="preserve"> </w:t>
      </w:r>
      <w:r>
        <w:rPr>
          <w:b/>
          <w:bCs/>
        </w:rPr>
        <w:t xml:space="preserve">maior margem</w:t>
      </w:r>
      <w:r>
        <w:t xml:space="preserve"> </w:t>
      </w:r>
      <w:r>
        <w:t xml:space="preserve">de modificação segura.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Perfil de Ablação PresbyCor vs LASIK Standard" title="" id="10" name="Picture"/>
            <a:graphic>
              <a:graphicData uri="http://schemas.openxmlformats.org/drawingml/2006/picture">
                <pic:pic>
                  <pic:nvPicPr>
                    <pic:cNvPr descr="figures/chapter5/ablation_profi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5.1: Comparação 2D dos perfis de ablação. Note o</w:t>
      </w:r>
      <w:r>
        <w:rPr>
          <w:i/>
          <w:iCs/>
        </w:rPr>
        <w:t xml:space="preserve"> </w:t>
      </w:r>
      <w:r>
        <w:rPr>
          <w:i/>
          <w:iCs/>
        </w:rPr>
        <w:t xml:space="preserve">“ombro”</w:t>
      </w:r>
      <w:r>
        <w:rPr>
          <w:i/>
          <w:iCs/>
        </w:rPr>
        <w:t xml:space="preserve"> </w:t>
      </w:r>
      <w:r>
        <w:rPr>
          <w:i/>
          <w:iCs/>
        </w:rPr>
        <w:t xml:space="preserve">paracentral pronunciado (zona verde) no perfil PresbyCor, necessário para criar o gradiente de potência central (steepening) que gera a profundidade de campo.</w:t>
      </w:r>
    </w:p>
    <w:bookmarkEnd w:id="12"/>
    <w:bookmarkStart w:id="13" w:name="fundamentos-biomecânicos"/>
    <w:p>
      <w:pPr>
        <w:pStyle w:val="Heading3"/>
      </w:pPr>
      <w:r>
        <w:t xml:space="preserve">5.1.2. Fundamentos Biomecânicos</w:t>
      </w:r>
    </w:p>
    <w:p>
      <w:pPr>
        <w:pStyle w:val="FirstParagraph"/>
      </w:pPr>
      <w:r>
        <w:rPr>
          <w:b/>
          <w:bCs/>
        </w:rPr>
        <w:t xml:space="preserve">Princípio da Estabilidade Geométrica:</w:t>
      </w:r>
    </w:p>
    <w:p>
      <w:pPr>
        <w:pStyle w:val="BodyText"/>
      </w:pPr>
      <w:r>
        <w:t xml:space="preserve">A capacidade da córnea manter um perfil asférico modificado depende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Tensão Lamelar Estromal:</w:t>
      </w:r>
      <w:r>
        <w:br/>
      </w:r>
      <w:r>
        <w:t xml:space="preserve">Córneas planas têm lamelas mais tensionadas (raio de curvatura maior = maior stress mecânico radial). Modificações agressivas de curvatura excedem a capacidade de resistência lamelar, levando a:</w:t>
      </w:r>
    </w:p>
    <w:p>
      <w:pPr>
        <w:pStyle w:val="Compact"/>
        <w:numPr>
          <w:ilvl w:val="1"/>
          <w:numId w:val="1002"/>
        </w:numPr>
      </w:pPr>
      <w:r>
        <w:t xml:space="preserve">Remodelação estromal acelerada</w:t>
      </w:r>
    </w:p>
    <w:p>
      <w:pPr>
        <w:pStyle w:val="Compact"/>
        <w:numPr>
          <w:ilvl w:val="1"/>
          <w:numId w:val="1002"/>
        </w:numPr>
      </w:pPr>
      <w:r>
        <w:t xml:space="preserve">Regressão do Q induzido (volta parcialmente ao baseline)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Resposta Epitelial Diferencial:</w:t>
      </w:r>
      <w:r>
        <w:br/>
      </w:r>
      <w:r>
        <w:t xml:space="preserve">Como visto no Capítulo 4, o epitélio compensa geometrias abruptas. Quanto mais agressiva a modificação de Q, maior o mascaramento epitelial.</w:t>
      </w:r>
    </w:p>
    <w:p>
      <w:pPr>
        <w:pStyle w:val="FirstParagraph"/>
      </w:pPr>
      <w:r>
        <w:rPr>
          <w:b/>
          <w:bCs/>
        </w:rPr>
        <w:t xml:space="preserve">Implicação Clínica de Ghenassia: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seguro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médio</m:t>
              </m:r>
            </m:sub>
          </m:sSub>
        </m:oMath>
      </m:oMathPara>
    </w:p>
    <w:p>
      <w:pPr>
        <w:pStyle w:val="FirstParagraph"/>
      </w:pPr>
      <w:r>
        <w:t xml:space="preserve">Córnea plana (K 40 D):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máximo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0.45</m:t>
        </m:r>
      </m:oMath>
      <w:r>
        <w:br/>
      </w:r>
      <w:r>
        <w:t xml:space="preserve">Córnea média (K 43 D):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máximo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0.65</m:t>
        </m:r>
      </m:oMath>
      <w:r>
        <w:br/>
      </w:r>
      <w:r>
        <w:t xml:space="preserve">Córnea curva (K 46 D):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máximo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0.85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75b3add79bb44f7ce62378b77ad7438f1168274"/>
    <w:p>
      <w:pPr>
        <w:pStyle w:val="Heading2"/>
      </w:pPr>
      <w:r>
        <w:t xml:space="preserve">5.2. O Núcleo Matemático: Interpretando o Algoritmo Ghenassia</w:t>
      </w:r>
    </w:p>
    <w:p>
      <w:pPr>
        <w:pStyle w:val="FirstParagraph"/>
      </w:pPr>
      <w:r>
        <w:t xml:space="preserve">Para aplicar o PresbyCor de forma consciente (não como</w:t>
      </w:r>
      <w:r>
        <w:t xml:space="preserve"> </w:t>
      </w:r>
      <w:r>
        <w:t xml:space="preserve">“black box”</w:t>
      </w:r>
      <w:r>
        <w:t xml:space="preserve">), é essencial compreender as relações matemáticas subjacentes.</w:t>
      </w:r>
    </w:p>
    <w:bookmarkStart w:id="15" w:name="relação-q-vs.-aberração-esférica-z_40"/>
    <w:p>
      <w:pPr>
        <w:pStyle w:val="Heading3"/>
      </w:pPr>
      <w:r>
        <w:t xml:space="preserve">5.2.1. Relação Q vs. Aberração Esférica (</w:t>
      </w:r>
      <m:oMath>
        <m:sSubSup>
          <m:e>
            <m:r>
              <m:t>Z</m:t>
            </m:r>
          </m:e>
          <m:sub>
            <m:r>
              <m:t>4</m:t>
            </m:r>
          </m:sub>
          <m:sup>
            <m:r>
              <m:t>0</m:t>
            </m:r>
          </m:sup>
        </m:sSubSup>
      </m:oMath>
      <w:r>
        <w:t xml:space="preserve">)</w:t>
      </w:r>
    </w:p>
    <w:p>
      <w:pPr>
        <w:pStyle w:val="FirstParagraph"/>
      </w:pPr>
      <w:r>
        <w:t xml:space="preserve">Como estabelecido no Capítulo 2, existe uma relação aproximada: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4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Q</m:t>
          </m:r>
          <m:r>
            <m:t> </m:t>
          </m:r>
          <m:r>
            <m:rPr>
              <m:nor/>
              <m:sty m:val="p"/>
            </m:rPr>
            <m:t>(para pupila de 6 mm)</m:t>
          </m:r>
        </m:oMath>
      </m:oMathPara>
    </w:p>
    <w:p>
      <w:pPr>
        <w:pStyle w:val="FirstParagraph"/>
      </w:pPr>
      <w:r>
        <w:rPr>
          <w:b/>
          <w:bCs/>
        </w:rPr>
        <w:t xml:space="preserve">Aplicação PresbyCor:</w:t>
      </w:r>
    </w:p>
    <w:p>
      <w:pPr>
        <w:pStyle w:val="BodyText"/>
      </w:pPr>
      <w:r>
        <w:t xml:space="preserve">Se pretendemos induzir SA negativa de</w:t>
      </w:r>
      <w:r>
        <w:t xml:space="preserve"> </w:t>
      </w:r>
      <w:r>
        <w:rPr>
          <w:b/>
          <w:bCs/>
        </w:rPr>
        <w:t xml:space="preserve">-0.50 μm</w:t>
      </w:r>
      <w:r>
        <w:t xml:space="preserve"> </w:t>
      </w:r>
      <w:r>
        <w:t xml:space="preserve">(valor típico para criar ~1.50-2.00 D de profundidade de campo):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necessário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Z</m:t>
                  </m:r>
                </m:e>
                <m:sub>
                  <m:r>
                    <m:t>4</m:t>
                  </m:r>
                </m:sub>
                <m:sup>
                  <m:r>
                    <m:t>0</m:t>
                  </m:r>
                </m:sup>
              </m:sSubSup>
            </m:num>
            <m:den>
              <m:r>
                <m:rPr>
                  <m:sty m:val="p"/>
                </m:rPr>
                <m:t>−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0.50</m:t>
              </m:r>
            </m:num>
            <m:den>
              <m:r>
                <m:rPr>
                  <m:sty m:val="p"/>
                </m:rPr>
                <m:t>−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r>
            <m:t>1.00</m:t>
          </m:r>
        </m:oMath>
      </m:oMathPara>
    </w:p>
    <w:p>
      <w:pPr>
        <w:pStyle w:val="FirstParagraph"/>
      </w:pPr>
      <w:r>
        <w:t xml:space="preserve">Se Q pré-operatório = -0.25 (córnea normal):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pré-op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1.00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1.25</m:t>
          </m:r>
        </m:oMath>
      </m:oMathPara>
    </w:p>
    <w:p>
      <w:pPr>
        <w:pStyle w:val="FirstParagraph"/>
      </w:pPr>
      <w:r>
        <w:rPr>
          <w:b/>
          <w:bCs/>
        </w:rPr>
        <w:t xml:space="preserve">Advertência:</w:t>
      </w:r>
      <w:r>
        <w:br/>
      </w:r>
      <w:r>
        <w:t xml:space="preserve">Este valor de Q = -1.25 é</w:t>
      </w:r>
      <w:r>
        <w:t xml:space="preserve"> </w:t>
      </w:r>
      <w:r>
        <w:rPr>
          <w:b/>
          <w:bCs/>
        </w:rPr>
        <w:t xml:space="preserve">agressivo</w:t>
      </w:r>
      <w:r>
        <w:t xml:space="preserve"> </w:t>
      </w:r>
      <w:r>
        <w:t xml:space="preserve">e só é biomecânicamente sustentável em córneas com K &gt;44 D.</w:t>
      </w:r>
    </w:p>
    <w:bookmarkEnd w:id="15"/>
    <w:bookmarkStart w:id="16" w:name="X6864718dc2078720be55534df89806f0b5a9f8c"/>
    <w:p>
      <w:pPr>
        <w:pStyle w:val="Heading3"/>
      </w:pPr>
      <w:r>
        <w:t xml:space="preserve">5.2.2. A Relação Q vs. Shift Esférico (Compensação Refrativa)</w:t>
      </w:r>
    </w:p>
    <w:p>
      <w:pPr>
        <w:pStyle w:val="FirstParagraph"/>
      </w:pPr>
      <w:r>
        <w:rPr>
          <w:b/>
          <w:bCs/>
        </w:rPr>
        <w:t xml:space="preserve">Problema Clínico:</w:t>
      </w:r>
    </w:p>
    <w:p>
      <w:pPr>
        <w:pStyle w:val="BodyText"/>
      </w:pPr>
      <w:r>
        <w:t xml:space="preserve">Ao induzir hiper-prolatividade (Q muito negativo), o centro da córnea torna-se relativamente</w:t>
      </w:r>
      <w:r>
        <w:t xml:space="preserve"> </w:t>
      </w:r>
      <w:r>
        <w:rPr>
          <w:b/>
          <w:bCs/>
        </w:rPr>
        <w:t xml:space="preserve">mais curvo</w:t>
      </w:r>
      <w:r>
        <w:t xml:space="preserve"> </w:t>
      </w:r>
      <w:r>
        <w:t xml:space="preserve">(steepening). Isto induz um shift</w:t>
      </w:r>
      <w:r>
        <w:t xml:space="preserve"> </w:t>
      </w:r>
      <w:r>
        <w:rPr>
          <w:b/>
          <w:bCs/>
        </w:rPr>
        <w:t xml:space="preserve">miópico</w:t>
      </w:r>
      <w:r>
        <w:t xml:space="preserve"> </w:t>
      </w:r>
      <w:r>
        <w:t xml:space="preserve">se não compensado.</w:t>
      </w:r>
    </w:p>
    <w:p>
      <w:pPr>
        <w:pStyle w:val="BodyText"/>
      </w:pPr>
      <w:r>
        <w:rPr>
          <w:b/>
          <w:bCs/>
        </w:rPr>
        <w:t xml:space="preserve">Fórmula de Compensação Ghenassia:</w:t>
      </w:r>
    </w:p>
    <w:p>
      <w:pPr>
        <w:pStyle w:val="BodyText"/>
      </w:pPr>
      <w:r>
        <w:t xml:space="preserve">Baseada em análise de ray-tracing e validação clínica retrospectiva:[1,2]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compensação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fator</m:t>
              </m:r>
            </m:sub>
          </m:sSub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|</m:t>
        </m:r>
      </m:oMath>
      <w:r>
        <w:t xml:space="preserve"> </w:t>
      </w:r>
      <w:r>
        <w:t xml:space="preserve">= Valor absoluto da mudança de Q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fator</m:t>
            </m:r>
          </m:sub>
        </m:sSub>
      </m:oMath>
      <w:r>
        <w:t xml:space="preserve"> </w:t>
      </w:r>
      <w:r>
        <w:t xml:space="preserve">= Constante que varia com a curvatura:</w:t>
      </w:r>
      <w:r>
        <w:t xml:space="preserve"> </w:t>
      </w:r>
      <w:r>
        <w:t xml:space="preserve">- Córneas planas (K &lt;42 D):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fator</m:t>
            </m:r>
          </m:sub>
        </m:sSub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- Córneas médias (K 42-45 D):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fator</m:t>
            </m:r>
          </m:sub>
        </m:sSub>
        <m:r>
          <m:rPr>
            <m:sty m:val="p"/>
          </m:rPr>
          <m:t>≈</m:t>
        </m:r>
        <m:r>
          <m:t>0.6</m:t>
        </m:r>
      </m:oMath>
      <w:r>
        <w:t xml:space="preserve"> </w:t>
      </w:r>
      <w:r>
        <w:t xml:space="preserve">- Córneas curvas (K &gt;45 D):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fator</m:t>
            </m:r>
          </m:sub>
        </m:sSub>
        <m:r>
          <m:rPr>
            <m:sty m:val="p"/>
          </m:rPr>
          <m:t>≈</m:t>
        </m:r>
        <m:r>
          <m:t>0.7</m:t>
        </m:r>
      </m:oMath>
    </w:p>
    <w:p>
      <w:pPr>
        <w:pStyle w:val="BodyText"/>
      </w:pPr>
      <w:r>
        <w:rPr>
          <w:b/>
          <w:bCs/>
        </w:rPr>
        <w:t xml:space="preserve">Exemplo Prático:</w:t>
      </w:r>
    </w:p>
    <w:p>
      <w:pPr>
        <w:pStyle w:val="BodyText"/>
      </w:pPr>
      <w:r>
        <w:t xml:space="preserve">Paciente hipermétrope +2.00 D, K médio = 43 D, Q pré-op = -0.20</w:t>
      </w:r>
    </w:p>
    <w:p>
      <w:pPr>
        <w:pStyle w:val="BodyText"/>
      </w:pPr>
      <w:r>
        <w:rPr>
          <w:b/>
          <w:bCs/>
        </w:rPr>
        <w:t xml:space="preserve">Target clínico:</w:t>
      </w:r>
      <w:r>
        <w:br/>
      </w:r>
      <w:r>
        <w:t xml:space="preserve">- Add de perto: +1.50 D</w:t>
      </w:r>
      <w:r>
        <w:t xml:space="preserve"> </w:t>
      </w:r>
      <w:r>
        <w:t xml:space="preserve">- Equivale a SA negativa: -0.45 μm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necessário:</w:t>
      </w:r>
      <w:r>
        <w:t xml:space="preserve"> </w:t>
      </w:r>
      <m:oMath>
        <m:r>
          <m:rPr>
            <m:sty m:val="p"/>
          </m:rPr>
          <m:t>−</m:t>
        </m:r>
        <m:r>
          <m:t>0.45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0.90</m:t>
        </m:r>
      </m:oMath>
      <w:r>
        <w:t xml:space="preserve"> </w:t>
      </w:r>
      <w:r>
        <w:t xml:space="preserve">- Q target:</w:t>
      </w:r>
      <w:r>
        <w:t xml:space="preserve"> </w:t>
      </w:r>
      <m:oMath>
        <m:r>
          <m:rPr>
            <m:sty m:val="p"/>
          </m:rPr>
          <m:t>−</m:t>
        </m:r>
        <m:r>
          <m:t>0.20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1.10</m:t>
        </m:r>
      </m:oMath>
    </w:p>
    <w:p>
      <w:pPr>
        <w:pStyle w:val="BodyText"/>
      </w:pPr>
      <w:r>
        <w:rPr>
          <w:b/>
          <w:bCs/>
        </w:rPr>
        <w:t xml:space="preserve">Compensação esférica: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r>
            <m:t>0.90</m:t>
          </m:r>
          <m:r>
            <m:rPr>
              <m:sty m:val="p"/>
            </m:rPr>
            <m:t>×</m:t>
          </m:r>
          <m:r>
            <m:t>0.6</m:t>
          </m:r>
          <m:r>
            <m:rPr>
              <m:sty m:val="p"/>
            </m:rPr>
            <m:t>=</m:t>
          </m:r>
          <m:r>
            <m:t>0.54</m:t>
          </m:r>
          <m:r>
            <m:t> </m:t>
          </m:r>
          <m:r>
            <m:rPr>
              <m:nor/>
              <m:sty m:val="p"/>
            </m:rPr>
            <m:t>D</m:t>
          </m:r>
        </m:oMath>
      </m:oMathPara>
    </w:p>
    <w:p>
      <w:pPr>
        <w:pStyle w:val="FirstParagraph"/>
      </w:pPr>
      <w:r>
        <w:rPr>
          <w:b/>
          <w:bCs/>
        </w:rPr>
        <w:t xml:space="preserve">Programação no laser:</w:t>
      </w:r>
    </w:p>
    <w:p>
      <w:pPr>
        <w:pStyle w:val="BodyText"/>
      </w:pPr>
      <w:r>
        <w:t xml:space="preserve">Esfera a programar: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laser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refração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2.00</m:t>
          </m:r>
          <m:r>
            <m:rPr>
              <m:sty m:val="p"/>
            </m:rPr>
            <m:t>−</m:t>
          </m:r>
          <m:r>
            <m:t>0.54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1.46</m:t>
          </m:r>
          <m:r>
            <m:t> </m:t>
          </m:r>
          <m:r>
            <m:rPr>
              <m:nor/>
              <m:sty m:val="p"/>
            </m:rPr>
            <m:t>D</m:t>
          </m:r>
        </m:oMath>
      </m:oMathPara>
    </w:p>
    <w:p>
      <w:pPr>
        <w:pStyle w:val="FirstParagraph"/>
      </w:pPr>
      <w:r>
        <w:t xml:space="preserve">Arredondar:</w:t>
      </w:r>
      <w:r>
        <w:t xml:space="preserve"> </w:t>
      </w:r>
      <w:r>
        <w:rPr>
          <w:b/>
          <w:bCs/>
        </w:rPr>
        <w:t xml:space="preserve">+1.50 D</w:t>
      </w:r>
      <w:r>
        <w:t xml:space="preserve"> </w:t>
      </w:r>
      <w:r>
        <w:t xml:space="preserve">(o laser induzirá ~0.50 D de miopia pelo steepening central)</w:t>
      </w:r>
    </w:p>
    <w:bookmarkEnd w:id="16"/>
    <w:bookmarkStart w:id="17" w:name="ajuste-por-idade-acomodação-residual"/>
    <w:p>
      <w:pPr>
        <w:pStyle w:val="Heading3"/>
      </w:pPr>
      <w:r>
        <w:t xml:space="preserve">5.2.3. Ajuste por Idade (Acomodação Residual)</w:t>
      </w:r>
    </w:p>
    <w:p>
      <w:pPr>
        <w:pStyle w:val="FirstParagraph"/>
      </w:pPr>
      <w:r>
        <w:t xml:space="preserve">Ghenassia incorpora um factor etário para pacientes &lt;50 anos com acomodação residual significativa: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target ajustado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Idade</m:t>
                  </m:r>
                </m:num>
                <m:den>
                  <m:r>
                    <m:t>20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0.1</m:t>
          </m:r>
        </m:oMath>
      </m:oMathPara>
    </w:p>
    <w:p>
      <w:pPr>
        <w:pStyle w:val="FirstParagraph"/>
      </w:pPr>
      <w:r>
        <w:rPr>
          <w:b/>
          <w:bCs/>
        </w:rPr>
        <w:t xml:space="preserve">Raciocínio:</w:t>
      </w:r>
      <w:r>
        <w:br/>
      </w:r>
      <w:r>
        <w:t xml:space="preserve">Pacientes mais jovens (45-48 anos) ainda possuem 3-4 D de acomodação. Induzir SA negativa excessiva pode criar visão de longe comprometida (over-correction do efeito multifocal) porque o paciente ainda consegue acomodar parcialmente.</w:t>
      </w:r>
    </w:p>
    <w:p>
      <w:pPr>
        <w:pStyle w:val="BodyText"/>
      </w:pPr>
      <w:r>
        <w:rPr>
          <w:b/>
          <w:bCs/>
        </w:rPr>
        <w:t xml:space="preserve">Exemplo:</w:t>
      </w:r>
    </w:p>
    <w:p>
      <w:pPr>
        <w:pStyle w:val="BodyText"/>
      </w:pPr>
      <w:r>
        <w:t xml:space="preserve">Paciente 47 anos, Q base calculado = -0.80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ajustado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50</m:t>
                  </m:r>
                  <m:r>
                    <m:rPr>
                      <m:sty m:val="p"/>
                    </m:rPr>
                    <m:t>−</m:t>
                  </m:r>
                  <m:r>
                    <m:t>47</m:t>
                  </m:r>
                </m:num>
                <m:den>
                  <m:r>
                    <m:t>20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−</m:t>
          </m:r>
          <m:r>
            <m:t>0.015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0.815</m:t>
          </m:r>
        </m:oMath>
      </m:oMathPara>
    </w:p>
    <w:p>
      <w:pPr>
        <w:pStyle w:val="FirstParagraph"/>
      </w:pPr>
      <w:r>
        <w:t xml:space="preserve">Arredondar:</w:t>
      </w:r>
      <w:r>
        <w:t xml:space="preserve"> </w:t>
      </w:r>
      <w:r>
        <w:rPr>
          <w:b/>
          <w:bCs/>
        </w:rPr>
        <w:t xml:space="preserve">Q = -0.80</w:t>
      </w:r>
      <w:r>
        <w:t xml:space="preserve"> </w:t>
      </w:r>
      <w:r>
        <w:t xml:space="preserve">(ajuste mínimo neste caso)</w:t>
      </w:r>
    </w:p>
    <w:p>
      <w:pPr>
        <w:pStyle w:val="BodyText"/>
      </w:pPr>
      <w:r>
        <w:t xml:space="preserve">Para paciente de 45 anos: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ajustado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50</m:t>
                  </m:r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</m:num>
                <m:den>
                  <m:r>
                    <m:t>20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−</m:t>
          </m:r>
          <m:r>
            <m:t>0.025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0.775</m:t>
          </m:r>
        </m:oMath>
      </m:oMathPara>
    </w:p>
    <w:p>
      <w:pPr>
        <w:pStyle w:val="FirstParagraph"/>
      </w:pPr>
      <w:r>
        <w:t xml:space="preserve">Arredondar:</w:t>
      </w:r>
      <w:r>
        <w:t xml:space="preserve"> </w:t>
      </w:r>
      <w:r>
        <w:rPr>
          <w:b/>
          <w:bCs/>
        </w:rPr>
        <w:t xml:space="preserve">Q = -0.75</w:t>
      </w:r>
      <w:r>
        <w:t xml:space="preserve"> </w:t>
      </w:r>
      <w:r>
        <w:t xml:space="preserve">(redução mais significativa)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Xdfdbb92b0887c1fa95809b2bce3a28dc9854b61"/>
    <w:p>
      <w:pPr>
        <w:pStyle w:val="Heading2"/>
      </w:pPr>
      <w:r>
        <w:t xml:space="preserve">5.3. Nomograma</w:t>
      </w:r>
      <w:r>
        <w:t xml:space="preserve"> </w:t>
      </w:r>
      <w:r>
        <w:t xml:space="preserve">“de Bolso”</w:t>
      </w:r>
      <w:r>
        <w:t xml:space="preserve"> </w:t>
      </w:r>
      <w:r>
        <w:t xml:space="preserve">do Autor - Aplicação Prática</w:t>
      </w:r>
    </w:p>
    <w:p>
      <w:pPr>
        <w:pStyle w:val="FirstParagraph"/>
      </w:pPr>
      <w:r>
        <w:t xml:space="preserve">Com base na experiência cirúrgica acumulada com o algoritmo PresbyCor em plataforma Alcon Wavelight EX500, desenvolvi tabelas de referência rápida para uso intra-operatório.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luxograma de Decisão Q-Target" title="" id="20" name="Picture"/>
            <a:graphic>
              <a:graphicData uri="http://schemas.openxmlformats.org/drawingml/2006/picture">
                <pic:pic>
                  <pic:nvPicPr>
                    <pic:cNvPr descr="figures/chapter5/q_target_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5.2: Árvore de decisão para cálculo rápido do Q-Target no bloco operatório, integrando os ajustes de idade e curvatura.</w:t>
      </w:r>
    </w:p>
    <w:bookmarkStart w:id="25" w:name="Xbdcfd1eca8b483a92b54080916fa41f3ac0bc58"/>
    <w:p>
      <w:pPr>
        <w:pStyle w:val="Heading3"/>
      </w:pPr>
      <w:r>
        <w:t xml:space="preserve">5.3.1. Tabela de Decisão Q-Target (Olho Não-Dominante)</w:t>
      </w:r>
    </w:p>
    <w:p>
      <w:pPr>
        <w:pStyle w:val="FirstParagraph"/>
      </w:pPr>
      <w:r>
        <w:t xml:space="preserve">Esta tabela assume:</w:t>
      </w:r>
      <w:r>
        <w:t xml:space="preserve"> </w:t>
      </w:r>
      <w:r>
        <w:t xml:space="preserve">- Córnea K médio = 43.0 D ± 1.0 D</w:t>
      </w:r>
      <w:r>
        <w:t xml:space="preserve"> </w:t>
      </w:r>
      <w:r>
        <w:t xml:space="preserve">- Paciente ≥50 anos (acomodação residual &lt;2.5 D)</w:t>
      </w:r>
      <w:r>
        <w:t xml:space="preserve"> </w:t>
      </w:r>
      <w:r>
        <w:t xml:space="preserve">- Pupila mesópica 4.5-6.0 mm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6"/>
        <w:gridCol w:w="842"/>
        <w:gridCol w:w="1600"/>
        <w:gridCol w:w="1600"/>
        <w:gridCol w:w="17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Adição Clínica Desejada</w:t>
            </w:r>
          </w:p>
        </w:tc>
        <w:tc>
          <w:tcPr/>
          <w:p>
            <w:pPr>
              <w:pStyle w:val="Compact"/>
            </w:pPr>
            <w:r>
              <w:t xml:space="preserve">Q Target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 </w:t>
            </w:r>
            <w:r>
              <w:t xml:space="preserve">Típico</w:t>
            </w:r>
          </w:p>
        </w:tc>
        <w:tc>
          <w:tcPr/>
          <w:p>
            <w:pPr>
              <w:pStyle w:val="Compact"/>
            </w:pPr>
            <w:r>
              <w:t xml:space="preserve">SA Induzida (6mm)</w:t>
            </w:r>
          </w:p>
        </w:tc>
        <w:tc>
          <w:tcPr/>
          <w:p>
            <w:pPr>
              <w:pStyle w:val="Compact"/>
            </w:pPr>
            <w:r>
              <w:t xml:space="preserve">Compensação Esférica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+1.00 D</w:t>
            </w:r>
            <w:r>
              <w:t xml:space="preserve"> </w:t>
            </w:r>
            <w:r>
              <w:t xml:space="preserve">(Ligeira)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t xml:space="preserve">-0.15 μm</w:t>
            </w:r>
          </w:p>
        </w:tc>
        <w:tc>
          <w:tcPr/>
          <w:p>
            <w:pPr>
              <w:pStyle w:val="Compact"/>
            </w:pPr>
            <w:r>
              <w:t xml:space="preserve">+0.20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 D</w:t>
            </w:r>
            <w:r>
              <w:t xml:space="preserve"> </w:t>
            </w:r>
            <w:r>
              <w:t xml:space="preserve">(Moderada)</w:t>
            </w:r>
          </w:p>
        </w:tc>
        <w:tc>
          <w:tcPr/>
          <w:p>
            <w:pPr>
              <w:pStyle w:val="Compact"/>
            </w:pPr>
            <w:r>
              <w:t xml:space="preserve">-0.65</w:t>
            </w:r>
          </w:p>
        </w:tc>
        <w:tc>
          <w:tcPr/>
          <w:p>
            <w:pPr>
              <w:pStyle w:val="Compact"/>
            </w:pPr>
            <w:r>
              <w:t xml:space="preserve">-0.40</w:t>
            </w:r>
          </w:p>
        </w:tc>
        <w:tc>
          <w:tcPr/>
          <w:p>
            <w:pPr>
              <w:pStyle w:val="Compact"/>
            </w:pPr>
            <w:r>
              <w:t xml:space="preserve">-0.20 μm</w:t>
            </w:r>
          </w:p>
        </w:tc>
        <w:tc>
          <w:tcPr/>
          <w:p>
            <w:pPr>
              <w:pStyle w:val="Compact"/>
            </w:pPr>
            <w:r>
              <w:t xml:space="preserve">+0.25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+1.50 D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</w:pPr>
            <w:r>
              <w:t xml:space="preserve">-0.75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-0.25 μm</w:t>
            </w:r>
          </w:p>
        </w:tc>
        <w:tc>
          <w:tcPr/>
          <w:p>
            <w:pPr>
              <w:pStyle w:val="Compact"/>
            </w:pPr>
            <w:r>
              <w:t xml:space="preserve">+0.30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+1.75 D</w:t>
            </w:r>
            <w:r>
              <w:t xml:space="preserve"> </w:t>
            </w:r>
            <w:r>
              <w:t xml:space="preserve">(Agressiva)</w:t>
            </w:r>
          </w:p>
        </w:tc>
        <w:tc>
          <w:tcPr/>
          <w:p>
            <w:pPr>
              <w:pStyle w:val="Compact"/>
            </w:pPr>
            <w:r>
              <w:t xml:space="preserve">-0.85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-0.30 μm</w:t>
            </w:r>
          </w:p>
        </w:tc>
        <w:tc>
          <w:tcPr/>
          <w:p>
            <w:pPr>
              <w:pStyle w:val="Compact"/>
            </w:pPr>
            <w:r>
              <w:t xml:space="preserve">+0.40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+2.00 D</w:t>
            </w:r>
            <w:r>
              <w:t xml:space="preserve"> </w:t>
            </w:r>
            <w:r>
              <w:t xml:space="preserve">(Máxima)</w:t>
            </w:r>
          </w:p>
        </w:tc>
        <w:tc>
          <w:tcPr/>
          <w:p>
            <w:pPr>
              <w:pStyle w:val="Compact"/>
            </w:pPr>
            <w:r>
              <w:t xml:space="preserve">-0.95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-0.35 μm</w:t>
            </w:r>
          </w:p>
        </w:tc>
        <w:tc>
          <w:tcPr/>
          <w:p>
            <w:pPr>
              <w:pStyle w:val="Compact"/>
            </w:pPr>
            <w:r>
              <w:t xml:space="preserve">+0.50 D</w:t>
            </w:r>
          </w:p>
        </w:tc>
      </w:tr>
    </w:tbl>
    <w:p>
      <w:pPr>
        <w:pStyle w:val="BodyText"/>
      </w:pPr>
      <w:r>
        <w:drawing>
          <wp:inline>
            <wp:extent cx="5334000" cy="3251270"/>
            <wp:effectExtent b="0" l="0" r="0" t="0"/>
            <wp:docPr descr="Gráfico: Q-Target vs Adição Desejada" title="" id="23" name="Picture"/>
            <a:graphic>
              <a:graphicData uri="http://schemas.openxmlformats.org/drawingml/2006/picture">
                <pic:pic>
                  <pic:nvPicPr>
                    <pic:cNvPr descr="figures/chapter5/plot_qfactor_vs_ad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5.2b: Relação linear entre a adição desejada e o Q-Target necessário, conforme o nomograma de Ghenassia.</w:t>
      </w:r>
    </w:p>
    <w:p>
      <w:pPr>
        <w:pStyle w:val="BodyText"/>
      </w:pPr>
      <w:r>
        <w:rPr>
          <w:b/>
          <w:bCs/>
        </w:rPr>
        <w:t xml:space="preserve">Nota Crítica:</w:t>
      </w:r>
      <w:r>
        <w:br/>
      </w:r>
      <w:r>
        <w:t xml:space="preserve">Valores de Q &lt;-0.90 só devem ser usados em:</w:t>
      </w:r>
      <w:r>
        <w:t xml:space="preserve"> </w:t>
      </w:r>
      <w:r>
        <w:t xml:space="preserve">- Córneas K &gt;44 D</w:t>
      </w:r>
      <w:r>
        <w:t xml:space="preserve"> </w:t>
      </w:r>
      <w:r>
        <w:t xml:space="preserve">- Hipermétropes &gt;+2.50 D (ablação hipermetrópica sinergiza com indução de prolatividade)</w:t>
      </w:r>
      <w:r>
        <w:t xml:space="preserve"> </w:t>
      </w:r>
      <w:r>
        <w:t xml:space="preserve">- Ausência de olho seco significativo (remodelação epitelial exacerbada aumenta sintomas)</w:t>
      </w:r>
    </w:p>
    <w:bookmarkEnd w:id="25"/>
    <w:bookmarkStart w:id="26" w:name="ajuste-para-míopes-nomograma-modificado"/>
    <w:p>
      <w:pPr>
        <w:pStyle w:val="Heading3"/>
      </w:pPr>
      <w:r>
        <w:t xml:space="preserve">5.3.2. Ajuste para Míopes (Nomograma Modificado)</w:t>
      </w:r>
    </w:p>
    <w:p>
      <w:pPr>
        <w:pStyle w:val="FirstParagraph"/>
      </w:pPr>
      <w:r>
        <w:t xml:space="preserve">Em míopes, a ablação refrativa</w:t>
      </w:r>
      <w:r>
        <w:t xml:space="preserve"> </w:t>
      </w:r>
      <w:r>
        <w:rPr>
          <w:b/>
          <w:bCs/>
        </w:rPr>
        <w:t xml:space="preserve">remove tecido central</w:t>
      </w:r>
      <w:r>
        <w:t xml:space="preserve">, criando oblatividade. Para induzir hiper-prolatividade em cima desta oblatividade requer</w:t>
      </w:r>
      <w:r>
        <w:t xml:space="preserve"> </w:t>
      </w:r>
      <w:r>
        <w:rPr>
          <w:b/>
          <w:bCs/>
        </w:rPr>
        <w:t xml:space="preserve">maior remoção de tecido periférico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 de Ajuste (Observação Clínica):</w:t>
      </w:r>
    </w:p>
    <w:p>
      <w:pPr>
        <w:pStyle w:val="BodyText"/>
      </w:pPr>
      <w:r>
        <w:t xml:space="preserve">Para cada dioptria de miopia a corrigir,</w:t>
      </w:r>
      <w:r>
        <w:t xml:space="preserve"> </w:t>
      </w:r>
      <w:r>
        <w:rPr>
          <w:b/>
          <w:bCs/>
        </w:rPr>
        <w:t xml:space="preserve">reduzir</w:t>
      </w:r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planeado em 0.05-0.10 para evitar sobre-correção do efeito presbiópico.</w:t>
      </w:r>
    </w:p>
    <w:p>
      <w:pPr>
        <w:pStyle w:val="BodyText"/>
      </w:pPr>
      <w:r>
        <w:rPr>
          <w:b/>
          <w:bCs/>
        </w:rPr>
        <w:t xml:space="preserve">Exemplo:</w:t>
      </w:r>
    </w:p>
    <w:p>
      <w:pPr>
        <w:pStyle w:val="BodyText"/>
      </w:pPr>
      <w:r>
        <w:t xml:space="preserve">Míope -3.00 D, 52 anos, deseja add +1.50 D no olho não-dominante.</w:t>
      </w:r>
    </w:p>
    <w:p>
      <w:pPr>
        <w:pStyle w:val="BodyText"/>
      </w:pPr>
      <w:r>
        <w:t xml:space="preserve">Standard (hipermétrope): Q target = -0.75</w:t>
      </w:r>
    </w:p>
    <w:p>
      <w:pPr>
        <w:pStyle w:val="BodyText"/>
      </w:pPr>
      <w:r>
        <w:t xml:space="preserve">Ajuste miópico: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target míope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3.00</m:t>
          </m:r>
          <m:r>
            <m:rPr>
              <m:sty m:val="p"/>
            </m:rPr>
            <m:t>×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0.75</m:t>
          </m:r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0.60</m:t>
          </m:r>
        </m:oMath>
      </m:oMathPara>
    </w:p>
    <w:p>
      <w:pPr>
        <w:pStyle w:val="FirstParagraph"/>
      </w:pPr>
      <w:r>
        <w:rPr>
          <w:b/>
          <w:bCs/>
        </w:rPr>
        <w:t xml:space="preserve">E compensação esférica no míope é MENOR: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r>
            <m:t>0.35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0.175</m:t>
          </m:r>
          <m:r>
            <m:t> </m:t>
          </m:r>
          <m:r>
            <m:rPr>
              <m:nor/>
              <m:sty m:val="p"/>
            </m:rPr>
            <m:t>D</m:t>
          </m:r>
        </m:oMath>
      </m:oMathPara>
    </w:p>
    <w:p>
      <w:pPr>
        <w:pStyle w:val="FirstParagraph"/>
      </w:pPr>
      <w:r>
        <w:t xml:space="preserve">Programar:</w:t>
      </w:r>
      <w:r>
        <w:t xml:space="preserve"> </w:t>
      </w:r>
      <m:oMath>
        <m:r>
          <m:rPr>
            <m:sty m:val="p"/>
          </m:rPr>
          <m:t>−</m:t>
        </m:r>
        <m:r>
          <m:t>3.00</m:t>
        </m:r>
        <m:r>
          <m:rPr>
            <m:sty m:val="p"/>
          </m:rPr>
          <m:t>+</m:t>
        </m:r>
        <m:r>
          <m:t>0.175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2.825</m:t>
        </m:r>
      </m:oMath>
      <w:r>
        <w:t xml:space="preserve"> </w:t>
      </w:r>
      <w:r>
        <w:t xml:space="preserve">→ Arredondar</w:t>
      </w:r>
      <w:r>
        <w:t xml:space="preserve"> </w:t>
      </w:r>
      <w:r>
        <w:rPr>
          <w:b/>
          <w:bCs/>
        </w:rPr>
        <w:t xml:space="preserve">-2.75 D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Observação Clínica Crítica:</w:t>
      </w:r>
      <w:r>
        <w:t xml:space="preserve"> </w:t>
      </w:r>
      <w:r>
        <w:t xml:space="preserve">A ablação miópica já remove tecido central profundo. Adicionar Q negativo agressivo num míope consome tecido paracentral excessivo, aumentando risco de:</w:t>
      </w:r>
      <w:r>
        <w:t xml:space="preserve"> </w:t>
      </w:r>
      <w:r>
        <w:t xml:space="preserve">- Hiper-correção hipermetrópica (paciente fica hipermétrope pós-op)</w:t>
      </w:r>
      <w:r>
        <w:t xml:space="preserve"> </w:t>
      </w:r>
      <w:r>
        <w:t xml:space="preserve">- RSB insuficiente</w:t>
      </w:r>
      <w:r>
        <w:t xml:space="preserve"> </w:t>
      </w:r>
      <w:r>
        <w:t xml:space="preserve">- Indução de aberrações de alta ordem patológicas (coma, trefoil)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Em míopes &gt;-4.00 D, favorecer</w:t>
      </w:r>
      <w:r>
        <w:t xml:space="preserve"> </w:t>
      </w:r>
      <w:r>
        <w:rPr>
          <w:b/>
          <w:bCs/>
        </w:rPr>
        <w:t xml:space="preserve">monovisão pura</w:t>
      </w:r>
      <w:r>
        <w:t xml:space="preserve"> </w:t>
      </w:r>
      <w:r>
        <w:t xml:space="preserve">(sem Custom-Q) ou micro-monovisão com Q-shift mínimo (-0.40 máximo).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54451953cbbf719687873fb254eaf009424fb31"/>
    <w:p>
      <w:pPr>
        <w:pStyle w:val="Heading2"/>
      </w:pPr>
      <w:r>
        <w:t xml:space="preserve">5.4. Zona Óptica e Dinâmica Pupilar - O</w:t>
      </w:r>
      <w:r>
        <w:t xml:space="preserve"> </w:t>
      </w:r>
      <w:r>
        <w:t xml:space="preserve">“Pupil Matching”</w:t>
      </w:r>
    </w:p>
    <w:p>
      <w:pPr>
        <w:pStyle w:val="FirstParagraph"/>
      </w:pPr>
      <w:r>
        <w:t xml:space="preserve">A seleção da zona óptica (OZ) é crítica em perfis asféricos personalizados.</w:t>
      </w:r>
    </w:p>
    <w:bookmarkStart w:id="28" w:name="relação-pupila-oz-em-presbycor"/>
    <w:p>
      <w:pPr>
        <w:pStyle w:val="Heading3"/>
      </w:pPr>
      <w:r>
        <w:t xml:space="preserve">5.4.1. Relação Pupila-OZ em PresbyCor</w:t>
      </w:r>
    </w:p>
    <w:p>
      <w:pPr>
        <w:pStyle w:val="FirstParagraph"/>
      </w:pPr>
      <w:r>
        <w:rPr>
          <w:b/>
          <w:bCs/>
        </w:rPr>
        <w:t xml:space="preserve">Princípio de Ghenassia:</w:t>
      </w:r>
    </w:p>
    <w:p>
      <w:pPr>
        <w:pStyle w:val="BlockText"/>
      </w:pPr>
      <w:r>
        <w:rPr>
          <w:i/>
          <w:iCs/>
        </w:rPr>
        <w:t xml:space="preserve">A OZ deve ser suficientemente grande para cobrir a pupila mesópica (condução noturna), mas não excessivamente grande para não consumir tecido desnecessário.</w:t>
      </w:r>
    </w:p>
    <w:p>
      <w:pPr>
        <w:pStyle w:val="FirstParagraph"/>
      </w:pPr>
      <w:r>
        <w:rPr>
          <w:b/>
          <w:bCs/>
        </w:rPr>
        <w:t xml:space="preserve">Fórmula Empírica: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OZ ideal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Pupila Mesópica</m:t>
          </m:r>
          <m:r>
            <m:rPr>
              <m:sty m:val="p"/>
            </m:rPr>
            <m:t>+</m:t>
          </m:r>
          <m:r>
            <m:t>0.5</m:t>
          </m:r>
          <m:r>
            <m:t> </m:t>
          </m:r>
          <m:r>
            <m:rPr>
              <m:nor/>
              <m:sty m:val="p"/>
            </m:rPr>
            <m:t>mm</m:t>
          </m:r>
        </m:oMath>
      </m:oMathPara>
    </w:p>
    <w:p>
      <w:pPr>
        <w:pStyle w:val="FirstParagraph"/>
      </w:pPr>
      <w:r>
        <w:t xml:space="preserve">Com</w:t>
      </w:r>
      <w:r>
        <w:t xml:space="preserve"> </w:t>
      </w:r>
      <w:r>
        <w:rPr>
          <w:b/>
          <w:bCs/>
        </w:rPr>
        <w:t xml:space="preserve">limites rígidos</w:t>
      </w:r>
      <w:r>
        <w:t xml:space="preserve">:</w:t>
      </w:r>
      <w:r>
        <w:t xml:space="preserve"> </w:t>
      </w:r>
      <w:r>
        <w:t xml:space="preserve">- OZ mínima: 6.0 mm (mesmo se pupila &lt;5.5 mm)</w:t>
      </w:r>
      <w:r>
        <w:t xml:space="preserve"> </w:t>
      </w:r>
      <w:r>
        <w:t xml:space="preserve">- OZ máxima: 6.5 mm (exceto córneas muito espessas &gt;600 μm)</w:t>
      </w:r>
    </w:p>
    <w:p>
      <w:pPr>
        <w:pStyle w:val="BodyText"/>
      </w:pPr>
      <w:r>
        <w:rPr>
          <w:b/>
          <w:bCs/>
        </w:rPr>
        <w:t xml:space="preserve">Justificação dos Limites: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OZ &lt;6.0 mm:</w:t>
      </w:r>
      <w:r>
        <w:t xml:space="preserve"> </w:t>
      </w:r>
      <w:r>
        <w:t xml:space="preserve">Risco de halos severos por transição abrupta entre zona tratada/não-tratada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OZ &gt;6.5 mm:</w:t>
      </w:r>
      <w:r>
        <w:t xml:space="preserve"> </w:t>
      </w:r>
      <w:r>
        <w:t xml:space="preserve">Consumo excessivo de tecido periférico (ablações hipermetrópicas são mais profundas na periferia); risco de RSB insuficiente</w:t>
      </w:r>
    </w:p>
    <w:bookmarkEnd w:id="28"/>
    <w:bookmarkStart w:id="29" w:name="tabela-de-decisão-oz"/>
    <w:p>
      <w:pPr>
        <w:pStyle w:val="Heading3"/>
      </w:pPr>
      <w:r>
        <w:t xml:space="preserve">5.4.2. Tabela de Decisão OZ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1"/>
        <w:gridCol w:w="1916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Pupila Mesópica</w:t>
            </w:r>
          </w:p>
        </w:tc>
        <w:tc>
          <w:tcPr/>
          <w:p>
            <w:pPr>
              <w:pStyle w:val="Compact"/>
            </w:pPr>
            <w:r>
              <w:t xml:space="preserve">Curvatura (K)</w:t>
            </w:r>
          </w:p>
        </w:tc>
        <w:tc>
          <w:tcPr/>
          <w:p>
            <w:pPr>
              <w:pStyle w:val="Compact"/>
            </w:pPr>
            <w:r>
              <w:t xml:space="preserve">OZ Recomendada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&lt;4.5 mm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6.0 mm</w:t>
            </w:r>
          </w:p>
        </w:tc>
        <w:tc>
          <w:tcPr/>
          <w:p>
            <w:pPr>
              <w:pStyle w:val="Compact"/>
            </w:pPr>
            <w:r>
              <w:t xml:space="preserve">OZ mínima segura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4.5-5.5 mm</w:t>
            </w:r>
          </w:p>
        </w:tc>
        <w:tc>
          <w:tcPr/>
          <w:p>
            <w:pPr>
              <w:pStyle w:val="Compact"/>
            </w:pPr>
            <w:r>
              <w:t xml:space="preserve">&lt;43 D</w:t>
            </w:r>
          </w:p>
        </w:tc>
        <w:tc>
          <w:tcPr/>
          <w:p>
            <w:pPr>
              <w:pStyle w:val="Compact"/>
            </w:pPr>
            <w:r>
              <w:t xml:space="preserve">6.0 mm</w:t>
            </w:r>
          </w:p>
        </w:tc>
        <w:tc>
          <w:tcPr/>
          <w:p>
            <w:pPr>
              <w:pStyle w:val="Compact"/>
            </w:pPr>
            <w:r>
              <w:t xml:space="preserve">Córnea plana: conservar tecido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4.5-5.5 mm</w:t>
            </w:r>
          </w:p>
        </w:tc>
        <w:tc>
          <w:tcPr/>
          <w:p>
            <w:pPr>
              <w:pStyle w:val="Compact"/>
            </w:pPr>
            <w:r>
              <w:t xml:space="preserve">≥43 D</w:t>
            </w:r>
          </w:p>
        </w:tc>
        <w:tc>
          <w:tcPr/>
          <w:p>
            <w:pPr>
              <w:pStyle w:val="Compact"/>
            </w:pPr>
            <w:r>
              <w:t xml:space="preserve">6.0-6.3 mm</w:t>
            </w:r>
          </w:p>
        </w:tc>
        <w:tc>
          <w:tcPr/>
          <w:p>
            <w:pPr>
              <w:pStyle w:val="Compact"/>
            </w:pPr>
            <w:r>
              <w:t xml:space="preserve">Balancear tecido vs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5.5-6.5 mm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6.5 mm</w:t>
            </w:r>
          </w:p>
        </w:tc>
        <w:tc>
          <w:tcPr/>
          <w:p>
            <w:pPr>
              <w:pStyle w:val="Compact"/>
            </w:pPr>
            <w:r>
              <w:t xml:space="preserve">Garantir cobertura mesópica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&gt;6.5 mm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 mm</w:t>
            </w:r>
            <w:r>
              <w:t xml:space="preserve"> </w:t>
            </w:r>
            <w:r>
              <w:t xml:space="preserve">+ Informar halos noturnos</w:t>
            </w:r>
          </w:p>
        </w:tc>
        <w:tc>
          <w:tcPr/>
          <w:p>
            <w:pPr>
              <w:pStyle w:val="Compact"/>
            </w:pPr>
            <w:r>
              <w:t xml:space="preserve">Pupila grande: trade-off inevitável</w:t>
            </w:r>
          </w:p>
        </w:tc>
      </w:tr>
    </w:tbl>
    <w:bookmarkEnd w:id="29"/>
    <w:bookmarkStart w:id="30" w:name="efeito-dinâmico-fotópico-vs.-mesópico"/>
    <w:p>
      <w:pPr>
        <w:pStyle w:val="Heading3"/>
      </w:pPr>
      <w:r>
        <w:t xml:space="preserve">5.4.3. Efeito Dinâmico: Fotópico vs. Mesópico</w:t>
      </w:r>
    </w:p>
    <w:p>
      <w:pPr>
        <w:pStyle w:val="FirstParagraph"/>
      </w:pPr>
      <w:r>
        <w:t xml:space="preserve">O perfil PresbyCor é dinâmico com a luz ambiente:</w:t>
      </w:r>
    </w:p>
    <w:p>
      <w:pPr>
        <w:pStyle w:val="BodyText"/>
      </w:pPr>
      <w:r>
        <w:rPr>
          <w:b/>
          <w:bCs/>
        </w:rPr>
        <w:t xml:space="preserve">Condições Fotópicas (Pupila ~3.0 mm):</w:t>
      </w:r>
      <w:r>
        <w:t xml:space="preserve"> </w:t>
      </w:r>
      <w:r>
        <w:t xml:space="preserve">- Pupila utiliza</w:t>
      </w:r>
      <w:r>
        <w:t xml:space="preserve"> </w:t>
      </w:r>
      <w:r>
        <w:rPr>
          <w:b/>
          <w:bCs/>
        </w:rPr>
        <w:t xml:space="preserve">apenas zona central</w:t>
      </w:r>
      <w:r>
        <w:t xml:space="preserve"> </w:t>
      </w:r>
      <w:r>
        <w:t xml:space="preserve">(região de maior steepening)</w:t>
      </w:r>
      <w:r>
        <w:t xml:space="preserve"> </w:t>
      </w:r>
      <w:r>
        <w:t xml:space="preserve">- Predominância de potência de perto</w:t>
      </w:r>
      <w:r>
        <w:t xml:space="preserve"> </w:t>
      </w:r>
      <w:r>
        <w:t xml:space="preserve">- Efeito pinhole adicional (bloqueio de raios periféricos)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Excelente visão de perto, visão de longe aceitável</w:t>
      </w:r>
    </w:p>
    <w:p>
      <w:pPr>
        <w:pStyle w:val="BodyText"/>
      </w:pPr>
      <w:r>
        <w:rPr>
          <w:b/>
          <w:bCs/>
        </w:rPr>
        <w:t xml:space="preserve">Condições Mesópicas (Pupila ~6.0 mm):</w:t>
      </w:r>
      <w:r>
        <w:t xml:space="preserve"> </w:t>
      </w:r>
      <w:r>
        <w:t xml:space="preserve">- Pupila expõe</w:t>
      </w:r>
      <w:r>
        <w:t xml:space="preserve"> </w:t>
      </w:r>
      <w:r>
        <w:rPr>
          <w:b/>
          <w:bCs/>
        </w:rPr>
        <w:t xml:space="preserve">toda a zona óptica</w:t>
      </w:r>
      <w:r>
        <w:t xml:space="preserve"> </w:t>
      </w:r>
      <w:r>
        <w:t xml:space="preserve">(centro steep + periferia menos steep)</w:t>
      </w:r>
      <w:r>
        <w:t xml:space="preserve"> </w:t>
      </w:r>
      <w:r>
        <w:t xml:space="preserve">- Balanço entre raios centrais (perto) e periféricos (longe)</w:t>
      </w:r>
      <w:r>
        <w:t xml:space="preserve"> </w:t>
      </w:r>
      <w:r>
        <w:t xml:space="preserve">- SA negativa induzida manifesta-se plenamente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Visão de longe melhorada, visão de perto mantida por SA</w:t>
      </w:r>
    </w:p>
    <w:p>
      <w:pPr>
        <w:pStyle w:val="BodyText"/>
      </w:pPr>
      <w:r>
        <w:rPr>
          <w:b/>
          <w:bCs/>
        </w:rPr>
        <w:t xml:space="preserve">Implicação:</w:t>
      </w:r>
      <w:r>
        <w:br/>
      </w:r>
      <w:r>
        <w:t xml:space="preserve">O paciente</w:t>
      </w:r>
      <w:r>
        <w:t xml:space="preserve"> </w:t>
      </w:r>
      <w:r>
        <w:rPr>
          <w:b/>
          <w:bCs/>
        </w:rPr>
        <w:t xml:space="preserve">auto-ajusta</w:t>
      </w:r>
      <w:r>
        <w:t xml:space="preserve"> </w:t>
      </w:r>
      <w:r>
        <w:t xml:space="preserve">a sua refração conforme a iluminação ambiente, mimetizando parcialmente a acomodação natural.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84a8b287cc524ab324fbb0ad2e6577b31bb8fb5"/>
    <w:p>
      <w:pPr>
        <w:pStyle w:val="Heading2"/>
      </w:pPr>
      <w:r>
        <w:t xml:space="preserve">5.5. Protocolo Cirúrgico: O</w:t>
      </w:r>
      <w:r>
        <w:t xml:space="preserve"> </w:t>
      </w:r>
      <w:r>
        <w:t xml:space="preserve">“Cockpit”</w:t>
      </w:r>
      <w:r>
        <w:t xml:space="preserve"> </w:t>
      </w:r>
      <w:r>
        <w:t xml:space="preserve">Alcon Wavelight</w:t>
      </w:r>
    </w:p>
    <w:bookmarkStart w:id="32" w:name="plataforma-alcon-wavelight-ex500"/>
    <w:p>
      <w:pPr>
        <w:pStyle w:val="Heading3"/>
      </w:pPr>
      <w:r>
        <w:t xml:space="preserve">5.5.1. Plataforma Alcon Wavelight EX500</w:t>
      </w:r>
    </w:p>
    <w:p>
      <w:pPr>
        <w:pStyle w:val="FirstParagraph"/>
      </w:pPr>
      <w:r>
        <w:rPr>
          <w:b/>
          <w:bCs/>
        </w:rPr>
        <w:t xml:space="preserve">Especificações Técnicas Relevantes: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Frequência:</w:t>
      </w:r>
      <w:r>
        <w:t xml:space="preserve"> </w:t>
      </w:r>
      <w:r>
        <w:t xml:space="preserve">500 Hz (ablação rápida, reduz desidratação)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Flying Spot:</w:t>
      </w:r>
      <w:r>
        <w:t xml:space="preserve"> </w:t>
      </w:r>
      <w:r>
        <w:t xml:space="preserve">0.95 mm diâmetro (Gaussian profile)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Eye-Tracker:</w:t>
      </w:r>
      <w:r>
        <w:t xml:space="preserve"> </w:t>
      </w:r>
      <w:r>
        <w:t xml:space="preserve">1050 Hz (rastreamento preciso para centragem Custom-Q)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Perfil Asférico:</w:t>
      </w:r>
      <w:r>
        <w:t xml:space="preserve"> </w:t>
      </w:r>
      <w:r>
        <w:t xml:space="preserve">Programável via</w:t>
      </w:r>
      <w:r>
        <w:t xml:space="preserve"> </w:t>
      </w:r>
      <w:r>
        <w:t xml:space="preserve">“Custom Ablation”</w:t>
      </w:r>
      <w:r>
        <w:t xml:space="preserve"> </w:t>
      </w:r>
      <w:r>
        <w:t xml:space="preserve">mode</w:t>
      </w:r>
    </w:p>
    <w:p>
      <w:pPr>
        <w:pStyle w:val="FirstParagraph"/>
      </w:pPr>
      <w:r>
        <w:rPr>
          <w:b/>
          <w:bCs/>
        </w:rPr>
        <w:t xml:space="preserve">Software:</w:t>
      </w:r>
      <w:r>
        <w:t xml:space="preserve"> </w:t>
      </w:r>
      <w:r>
        <w:t xml:space="preserve">WaveLight Oculyzer/Refractive Studio permite entrada manual de Q-target.</w:t>
      </w:r>
    </w:p>
    <w:bookmarkEnd w:id="32"/>
    <w:bookmarkStart w:id="33" w:name="Xa7c776595a1a00ad09bbeab4e91b97aa2c78773"/>
    <w:p>
      <w:pPr>
        <w:pStyle w:val="Heading3"/>
      </w:pPr>
      <w:r>
        <w:t xml:space="preserve">5.5.2. Input de Dados Pré-Operatórios Essenciais</w:t>
      </w:r>
    </w:p>
    <w:p>
      <w:pPr>
        <w:pStyle w:val="FirstParagraph"/>
      </w:pPr>
      <w:r>
        <w:rPr>
          <w:b/>
          <w:bCs/>
        </w:rPr>
        <w:t xml:space="preserve">Checklist Mandatória: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Refração Cicloplegiada:</w:t>
      </w:r>
      <w:r>
        <w:t xml:space="preserve"> </w:t>
      </w:r>
      <w:r>
        <w:t xml:space="preserve">(Se &lt;50 anos ou hipermétrope latente suspeito)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 Médio (Pentacam):</w:t>
      </w:r>
      <w:r>
        <w:t xml:space="preserve"> </w:t>
      </w:r>
      <w:r>
        <w:t xml:space="preserve">Influencia nomograma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Q Pré-Operatório (Pentacam, zona 6.0 mm):</w:t>
      </w:r>
      <w:r>
        <w:t xml:space="preserve"> </w:t>
      </w:r>
      <w:r>
        <w:t xml:space="preserve">Base do cálculo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Pupila Mesópica (Pentacam Pupilometry):</w:t>
      </w:r>
      <w:r>
        <w:t xml:space="preserve"> </w:t>
      </w:r>
      <w:r>
        <w:t xml:space="preserve">Determina OZ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Ângulo Kappa (iTrace ou manual):</w:t>
      </w:r>
      <w:r>
        <w:t xml:space="preserve"> </w:t>
      </w:r>
      <w:r>
        <w:t xml:space="preserve">Centragem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Paquimetria Mínima:</w:t>
      </w:r>
      <w:r>
        <w:t xml:space="preserve"> </w:t>
      </w:r>
      <w:r>
        <w:t xml:space="preserve">Cálculo de RSB</w:t>
      </w:r>
    </w:p>
    <w:bookmarkEnd w:id="33"/>
    <w:bookmarkStart w:id="34" w:name="centragem-cruzada---purkinje-pupil-blend"/>
    <w:p>
      <w:pPr>
        <w:pStyle w:val="Heading3"/>
      </w:pPr>
      <w:r>
        <w:t xml:space="preserve">5.5.3. Centragem Cruzada -</w:t>
      </w:r>
      <w:r>
        <w:t xml:space="preserve"> </w:t>
      </w:r>
      <w:r>
        <w:t xml:space="preserve">“Purkinje-Pupil Blend”</w:t>
      </w:r>
    </w:p>
    <w:p>
      <w:pPr>
        <w:pStyle w:val="FirstParagraph"/>
      </w:pPr>
      <w:r>
        <w:t xml:space="preserve">Ghenassia enfatiza:</w:t>
      </w:r>
      <w:r>
        <w:t xml:space="preserve"> </w:t>
      </w:r>
      <w:r>
        <w:rPr>
          <w:b/>
          <w:bCs/>
        </w:rPr>
        <w:t xml:space="preserve">Não centrar na pupila em Custom-Q.</w:t>
      </w:r>
    </w:p>
    <w:p>
      <w:pPr>
        <w:pStyle w:val="BodyText"/>
      </w:pPr>
      <w:r>
        <w:rPr>
          <w:b/>
          <w:bCs/>
        </w:rPr>
        <w:t xml:space="preserve">Técnica Recomendada (Minha Prática):</w:t>
      </w:r>
    </w:p>
    <w:p>
      <w:pPr>
        <w:pStyle w:val="BodyText"/>
      </w:pPr>
      <w:r>
        <w:t xml:space="preserve">Na plataforma Wavelight, durante a captura de imagem de íris:</w:t>
      </w:r>
    </w:p>
    <w:p>
      <w:pPr>
        <w:pStyle w:val="Compact"/>
        <w:numPr>
          <w:ilvl w:val="0"/>
          <w:numId w:val="1006"/>
        </w:numPr>
      </w:pPr>
      <w:r>
        <w:t xml:space="preserve">Marcar o</w:t>
      </w:r>
      <w:r>
        <w:t xml:space="preserve"> </w:t>
      </w:r>
      <w:r>
        <w:rPr>
          <w:b/>
          <w:bCs/>
        </w:rPr>
        <w:t xml:space="preserve">reflexo de Purkinje P1</w:t>
      </w:r>
      <w:r>
        <w:t xml:space="preserve"> </w:t>
      </w:r>
      <w:r>
        <w:t xml:space="preserve">manualmente (cruz verde)</w:t>
      </w:r>
    </w:p>
    <w:p>
      <w:pPr>
        <w:pStyle w:val="Compact"/>
        <w:numPr>
          <w:ilvl w:val="0"/>
          <w:numId w:val="1006"/>
        </w:numPr>
      </w:pPr>
      <w:r>
        <w:t xml:space="preserve">Sistema automaticamente detecta centro pupilar (círculo vermelho)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Selecionar ponto de centragem:</w:t>
      </w:r>
      <w:r>
        <w:rPr>
          <w:b/>
          <w:bCs/>
        </w:rPr>
        <w:t xml:space="preserve"> </w:t>
      </w:r>
      <w:r>
        <w:rPr>
          <w:b/>
          <w:bCs/>
        </w:rPr>
        <w:t xml:space="preserve">“50% offset”</w:t>
      </w:r>
    </w:p>
    <w:p>
      <w:pPr>
        <w:pStyle w:val="Compact"/>
        <w:numPr>
          <w:ilvl w:val="1"/>
          <w:numId w:val="1007"/>
        </w:numPr>
      </w:pPr>
      <w:r>
        <w:t xml:space="preserve">Software calcula ponto médio entre Purkinje e pupila</w:t>
      </w:r>
    </w:p>
    <w:p>
      <w:pPr>
        <w:pStyle w:val="Compact"/>
        <w:numPr>
          <w:ilvl w:val="1"/>
          <w:numId w:val="1007"/>
        </w:numPr>
      </w:pPr>
      <w:r>
        <w:t xml:space="preserve">Equivale à fórmula:</w:t>
      </w:r>
      <w:r>
        <w:t xml:space="preserve"> </w:t>
      </w:r>
      <m:oMath>
        <m:r>
          <m:rPr>
            <m:nor/>
            <m:sty m:val="p"/>
          </m:rPr>
          <m:t>Centragem</m:t>
        </m:r>
        <m:r>
          <m:rPr>
            <m:sty m:val="p"/>
          </m:rPr>
          <m:t>=</m:t>
        </m:r>
        <m:r>
          <m:rPr>
            <m:nor/>
            <m:sty m:val="p"/>
          </m:rPr>
          <m:t>Pupila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Purkinje</m:t>
        </m:r>
        <m:r>
          <m:rPr>
            <m:sty m:val="p"/>
          </m:rPr>
          <m:t>−</m:t>
        </m:r>
        <m:r>
          <m:rPr>
            <m:nor/>
            <m:sty m:val="p"/>
          </m:rPr>
          <m:t>Pupila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Confirmar visualmente no monitor que crosshair está no ponto híbrido</w:t>
      </w:r>
    </w:p>
    <w:p>
      <w:pPr>
        <w:pStyle w:val="FirstParagraph"/>
      </w:pPr>
      <w:r>
        <w:rPr>
          <w:b/>
          <w:bCs/>
        </w:rPr>
        <w:t xml:space="preserve">Validação Intra-Operatória:</w:t>
      </w:r>
    </w:p>
    <w:p>
      <w:pPr>
        <w:pStyle w:val="BodyText"/>
      </w:pPr>
      <w:r>
        <w:t xml:space="preserve">Após posicionar paciente sob laser:</w:t>
      </w:r>
      <w:r>
        <w:t xml:space="preserve"> </w:t>
      </w:r>
      <w:r>
        <w:t xml:space="preserve">- Eye-tracker ativo (anel verde)</w:t>
      </w:r>
      <w:r>
        <w:t xml:space="preserve"> </w:t>
      </w:r>
      <w:r>
        <w:t xml:space="preserve">- Confirmar que crosshair está alinhado com o ponto planeado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iniciar ablação</w:t>
      </w:r>
      <w:r>
        <w:t xml:space="preserve"> </w:t>
      </w:r>
      <w:r>
        <w:t xml:space="preserve">se descentramento &gt;0.3 mm (reposicionar paciente)</w:t>
      </w:r>
    </w:p>
    <w:bookmarkEnd w:id="34"/>
    <w:bookmarkStart w:id="38" w:name="Xa689bbd9468e4242571e3367424296399b0ca4a"/>
    <w:p>
      <w:pPr>
        <w:pStyle w:val="Heading3"/>
      </w:pPr>
      <w:r>
        <w:t xml:space="preserve">5.5.4. Controlo de Hidratação Estromal -</w:t>
      </w:r>
      <w:r>
        <w:t xml:space="preserve"> </w:t>
      </w:r>
      <w:r>
        <w:t xml:space="preserve">“Dry Bed Protocol”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br/>
      </w:r>
      <w:r>
        <w:t xml:space="preserve">Estroma hidratado resulta em</w:t>
      </w:r>
      <w:r>
        <w:t xml:space="preserve"> </w:t>
      </w:r>
      <w:r>
        <w:rPr>
          <w:b/>
          <w:bCs/>
        </w:rPr>
        <w:t xml:space="preserve">hipocorreção do Q</w:t>
      </w:r>
      <w:r>
        <w:t xml:space="preserve"> </w:t>
      </w:r>
      <w:r>
        <w:t xml:space="preserve">(efeito similar a aumentar o índice de refração; laser remove menos tecido efetivo).</w:t>
      </w:r>
    </w:p>
    <w:p>
      <w:pPr>
        <w:pStyle w:val="BodyText"/>
      </w:pPr>
      <w:r>
        <w:rPr>
          <w:b/>
          <w:bCs/>
        </w:rPr>
        <w:t xml:space="preserve">Protocolo Padronizado (Adaptado de Gatinel):</w:t>
      </w:r>
    </w:p>
    <w:p>
      <w:pPr>
        <w:pStyle w:val="BodyText"/>
      </w:pPr>
      <w:r>
        <w:t xml:space="preserve">Após lifting de flap (ou desepitelização em PRK):</w:t>
      </w:r>
    </w:p>
    <w:p>
      <w:pPr>
        <w:pStyle w:val="Compact"/>
        <w:numPr>
          <w:ilvl w:val="0"/>
          <w:numId w:val="1008"/>
        </w:numPr>
      </w:pPr>
      <w:r>
        <w:t xml:space="preserve">Irrigação com BSS (5 mL, aguardar 20 segundos)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Secagem com Weck-Cel:</w:t>
      </w:r>
    </w:p>
    <w:p>
      <w:pPr>
        <w:pStyle w:val="Compact"/>
        <w:numPr>
          <w:ilvl w:val="1"/>
          <w:numId w:val="1009"/>
        </w:numPr>
      </w:pPr>
      <w:r>
        <w:t xml:space="preserve">1º Weck-Cel: Contacto 3 segundos, movimentos radiais centro→periferia</w:t>
      </w:r>
    </w:p>
    <w:p>
      <w:pPr>
        <w:pStyle w:val="Compact"/>
        <w:numPr>
          <w:ilvl w:val="1"/>
          <w:numId w:val="1009"/>
        </w:numPr>
      </w:pPr>
      <w:r>
        <w:t xml:space="preserve">2º Weck-Cel: Contacto adicional 2 segundos</w:t>
      </w:r>
    </w:p>
    <w:p>
      <w:pPr>
        <w:pStyle w:val="Compact"/>
        <w:numPr>
          <w:ilvl w:val="1"/>
          <w:numId w:val="1009"/>
        </w:numPr>
      </w:pPr>
      <w:r>
        <w:t xml:space="preserve">Aguardar 10 segundos (evaporação natural)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Verificação Visual:</w:t>
      </w:r>
      <w:r>
        <w:t xml:space="preserve"> </w:t>
      </w:r>
      <w:r>
        <w:t xml:space="preserve">Superfície estromal com reflexo espelhado uniforme, sem</w:t>
      </w:r>
      <w:r>
        <w:t xml:space="preserve"> </w:t>
      </w:r>
      <w:r>
        <w:t xml:space="preserve">“lagos”</w:t>
      </w:r>
      <w:r>
        <w:t xml:space="preserve"> </w:t>
      </w:r>
      <w:r>
        <w:t xml:space="preserve">focais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Proceder IMEDIATAMENTE à ablação</w:t>
      </w:r>
      <w:r>
        <w:t xml:space="preserve"> </w:t>
      </w:r>
      <w:r>
        <w:t xml:space="preserve">(estroma começa a re-hidratar em 30-45 segundos)</w:t>
      </w:r>
    </w:p>
    <w:p>
      <w:pPr>
        <w:pStyle w:val="FirstParagraph"/>
      </w:pPr>
      <w:r>
        <w:rPr>
          <w:b/>
          <w:bCs/>
        </w:rPr>
        <w:t xml:space="preserve">Evidência Anedótica (Minha Série):</w:t>
      </w:r>
    </w:p>
    <w:p>
      <w:pPr>
        <w:pStyle w:val="BodyText"/>
      </w:pPr>
      <w:r>
        <w:t xml:space="preserve">Em análise retrospectiva de 47 casos, pacientes com tempo entre secagem e ablação &gt;60 segundos (interrupções por eye-tracker) apresentaram Q pós-operatório ~0.08 menos negativo que planeado (hipocorreção significativa).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Refazer secagem se ablação atrasar &gt;45 segundos.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Mapa Comparativo Topográfico: Pré vs Pós-PresbyCor" title="" id="36" name="Picture"/>
            <a:graphic>
              <a:graphicData uri="http://schemas.openxmlformats.org/drawingml/2006/picture">
                <pic:pic>
                  <pic:nvPicPr>
                    <pic:cNvPr descr="figures/chapter5/topography_compa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5.3: Topografia diferencial. À esquerda, córnea normal pré-operatória (verde/amarelo). À direita, córnea pós-PresbyCor exibindo o</w:t>
      </w:r>
      <w:r>
        <w:rPr>
          <w:i/>
          <w:iCs/>
        </w:rPr>
        <w:t xml:space="preserve"> </w:t>
      </w:r>
      <w:r>
        <w:rPr>
          <w:i/>
          <w:iCs/>
        </w:rPr>
        <w:t xml:space="preserve">“Plateau Óptico”</w:t>
      </w:r>
      <w:r>
        <w:rPr>
          <w:i/>
          <w:iCs/>
        </w:rPr>
        <w:t xml:space="preserve"> </w:t>
      </w:r>
      <w:r>
        <w:rPr>
          <w:i/>
          <w:iCs/>
        </w:rPr>
        <w:t xml:space="preserve">central (vermelho), evidenciando o steepening central controlado que proporciona a visão de perto.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bac1e621f06d6676413a2e150ac8de37be9b1a6"/>
    <w:p>
      <w:pPr>
        <w:pStyle w:val="Heading2"/>
      </w:pPr>
      <w:r>
        <w:t xml:space="preserve">5.6. Estratégia Bilateral - Olho Dominante vs. Não-Dominante</w:t>
      </w:r>
    </w:p>
    <w:bookmarkStart w:id="40" w:name="identificação-de-dominância-ocular"/>
    <w:p>
      <w:pPr>
        <w:pStyle w:val="Heading3"/>
      </w:pPr>
      <w:r>
        <w:t xml:space="preserve">5.6.1. Identificação de Dominância Ocular</w:t>
      </w:r>
    </w:p>
    <w:p>
      <w:pPr>
        <w:pStyle w:val="FirstParagraph"/>
      </w:pPr>
      <w:r>
        <w:rPr>
          <w:b/>
          <w:bCs/>
        </w:rPr>
        <w:t xml:space="preserve">Teste Standard (Hole-in-Card Test):</w:t>
      </w:r>
    </w:p>
    <w:p>
      <w:pPr>
        <w:pStyle w:val="Compact"/>
        <w:numPr>
          <w:ilvl w:val="0"/>
          <w:numId w:val="1010"/>
        </w:numPr>
      </w:pPr>
      <w:r>
        <w:t xml:space="preserve">Paciente estende braços, forma buraco com ambas as mãos</w:t>
      </w:r>
    </w:p>
    <w:p>
      <w:pPr>
        <w:pStyle w:val="Compact"/>
        <w:numPr>
          <w:ilvl w:val="0"/>
          <w:numId w:val="1010"/>
        </w:numPr>
      </w:pPr>
      <w:r>
        <w:t xml:space="preserve">Fixa objeto distante através do buraco (ambos os olhos abertos)</w:t>
      </w:r>
    </w:p>
    <w:p>
      <w:pPr>
        <w:pStyle w:val="Compact"/>
        <w:numPr>
          <w:ilvl w:val="0"/>
          <w:numId w:val="1010"/>
        </w:numPr>
      </w:pPr>
      <w:r>
        <w:t xml:space="preserve">Fechar alternadamente cada olho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Olho dominante:</w:t>
      </w:r>
      <w:r>
        <w:t xml:space="preserve"> </w:t>
      </w:r>
      <w:r>
        <w:t xml:space="preserve">Aquele que, quando fechado, faz o objeto</w:t>
      </w:r>
      <w:r>
        <w:t xml:space="preserve"> </w:t>
      </w:r>
      <w:r>
        <w:t xml:space="preserve">“desaparecer”</w:t>
      </w:r>
      <w:r>
        <w:t xml:space="preserve"> </w:t>
      </w:r>
      <w:r>
        <w:t xml:space="preserve">do buraco</w:t>
      </w:r>
    </w:p>
    <w:p>
      <w:pPr>
        <w:pStyle w:val="FirstParagraph"/>
      </w:pPr>
      <w:r>
        <w:rPr>
          <w:b/>
          <w:bCs/>
        </w:rPr>
        <w:t xml:space="preserve">Teste Alternativo (Convergência):</w:t>
      </w:r>
    </w:p>
    <w:p>
      <w:pPr>
        <w:pStyle w:val="Compact"/>
        <w:numPr>
          <w:ilvl w:val="0"/>
          <w:numId w:val="1011"/>
        </w:numPr>
      </w:pPr>
      <w:r>
        <w:t xml:space="preserve">Aproximar dedo de uma distância distante até ao nariz</w:t>
      </w:r>
    </w:p>
    <w:p>
      <w:pPr>
        <w:pStyle w:val="Compact"/>
        <w:numPr>
          <w:ilvl w:val="0"/>
          <w:numId w:val="1011"/>
        </w:numPr>
      </w:pPr>
      <w:r>
        <w:t xml:space="preserve">Olho dominante mantém fixação por mais tempo antes de desviar</w:t>
      </w:r>
    </w:p>
    <w:bookmarkEnd w:id="40"/>
    <w:bookmarkStart w:id="41" w:name="X1f1e7e079cb6f36e8f8feaafdbbf6b56eeb3229"/>
    <w:p>
      <w:pPr>
        <w:pStyle w:val="Heading3"/>
      </w:pPr>
      <w:r>
        <w:t xml:space="preserve">5.6.2. Protocolo de Tratamento Bilateral PresbyCor</w:t>
      </w:r>
    </w:p>
    <w:p>
      <w:pPr>
        <w:pStyle w:val="FirstParagraph"/>
      </w:pPr>
      <w:r>
        <w:rPr>
          <w:b/>
          <w:bCs/>
        </w:rPr>
        <w:t xml:space="preserve">Olho Dominante -</w:t>
      </w:r>
      <w:r>
        <w:rPr>
          <w:b/>
          <w:bCs/>
        </w:rPr>
        <w:t xml:space="preserve"> </w:t>
      </w:r>
      <w:r>
        <w:rPr>
          <w:b/>
          <w:bCs/>
        </w:rPr>
        <w:t xml:space="preserve">“Longe Otimizado com DoF Ligeira”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Preservar qualidade de longe ao máximo, adicionar profundidade de campo mínima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 Target:</w:t>
      </w:r>
      <w:r>
        <w:t xml:space="preserve"> </w:t>
      </w:r>
      <w:r>
        <w:t xml:space="preserve">-0.45 a -0.55 (ligeiramente hiper-prolato)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 Induzida:</w:t>
      </w:r>
      <w:r>
        <w:t xml:space="preserve"> </w:t>
      </w:r>
      <w:r>
        <w:t xml:space="preserve">-0.15 a -0.25 μm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Target Refrativo:</w:t>
      </w:r>
      <w:r>
        <w:t xml:space="preserve"> </w:t>
      </w:r>
      <w:r>
        <w:rPr>
          <w:b/>
          <w:bCs/>
        </w:rPr>
        <w:t xml:space="preserve">Plano (0.00 D)</w:t>
      </w:r>
      <w:r>
        <w:t xml:space="preserve"> </w:t>
      </w:r>
      <w:r>
        <w:t xml:space="preserve">ou ligeira hiper-correção (+0.25 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Efetiva:</w:t>
      </w:r>
      <w:r>
        <w:t xml:space="preserve"> </w:t>
      </w:r>
      <w:r>
        <w:t xml:space="preserve">~0.75-1.00 D (suficiente para visão intermédia: computador, painel de carro)</w:t>
      </w:r>
    </w:p>
    <w:p>
      <w:pPr>
        <w:pStyle w:val="FirstParagraph"/>
      </w:pPr>
      <w:r>
        <w:rPr>
          <w:b/>
          <w:bCs/>
        </w:rPr>
        <w:t xml:space="preserve">Olho Não-Dominante -</w:t>
      </w:r>
      <w:r>
        <w:rPr>
          <w:b/>
          <w:bCs/>
        </w:rPr>
        <w:t xml:space="preserve"> </w:t>
      </w:r>
      <w:r>
        <w:rPr>
          <w:b/>
          <w:bCs/>
        </w:rPr>
        <w:t xml:space="preserve">“Perto Otimizado”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Máxima profundidade de campo para leitura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 Target:</w:t>
      </w:r>
      <w:r>
        <w:t xml:space="preserve"> </w:t>
      </w:r>
      <w:r>
        <w:t xml:space="preserve">-0.75 a -0.95 (hiper-prolato agressivo)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 Induzida:</w:t>
      </w:r>
      <w:r>
        <w:t xml:space="preserve"> </w:t>
      </w:r>
      <w:r>
        <w:t xml:space="preserve">-0.35 a -0.45 μm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 Refrativo:</w:t>
      </w:r>
      <w:r>
        <w:t xml:space="preserve"> </w:t>
      </w:r>
      <w:r>
        <w:rPr>
          <w:b/>
          <w:bCs/>
        </w:rPr>
        <w:t xml:space="preserve">-0.50 a -1.00 D</w:t>
      </w:r>
      <w:r>
        <w:t xml:space="preserve"> </w:t>
      </w:r>
      <w:r>
        <w:t xml:space="preserve">(micro-monovisão deliberada)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 Efetiva:</w:t>
      </w:r>
      <w:r>
        <w:t xml:space="preserve"> </w:t>
      </w:r>
      <w:r>
        <w:t xml:space="preserve">~1.50-2.00 D</w:t>
      </w:r>
    </w:p>
    <w:p>
      <w:pPr>
        <w:pStyle w:val="FirstParagraph"/>
      </w:pPr>
      <w:r>
        <w:rPr>
          <w:b/>
          <w:bCs/>
        </w:rPr>
        <w:t xml:space="preserve">Anisometropia Total Induzida:</w:t>
      </w:r>
      <w:r>
        <w:t xml:space="preserve"> </w:t>
      </w:r>
      <w:r>
        <w:t xml:space="preserve">0.50-1.00 D</w:t>
      </w:r>
    </w:p>
    <w:p>
      <w:pPr>
        <w:pStyle w:val="BodyText"/>
      </w:pPr>
      <w:r>
        <w:rPr>
          <w:b/>
          <w:bCs/>
        </w:rPr>
        <w:t xml:space="preserve">Justificação Neurológica:</w:t>
      </w:r>
    </w:p>
    <w:p>
      <w:pPr>
        <w:pStyle w:val="BodyText"/>
      </w:pPr>
      <w:r>
        <w:t xml:space="preserve">Estudos de RMN funcional demonstram que anisometropia até 1.50 D não compromete fusão binocular central se introduzida gradualmente (não aguda, como em óculos).[3] A neuroadaptação cortical permite supressão seletiva da imagem desfocada conforme a distância de interesse.</w:t>
      </w:r>
    </w:p>
    <w:bookmarkEnd w:id="41"/>
    <w:bookmarkStart w:id="42" w:name="Xb425e9216fd3e4524498daaa5db7a194f72bb1c"/>
    <w:p>
      <w:pPr>
        <w:pStyle w:val="Heading3"/>
      </w:pPr>
      <w:r>
        <w:t xml:space="preserve">5.6.3. Casos Especiais: Paciente Sem Dominância Clara</w:t>
      </w:r>
    </w:p>
    <w:p>
      <w:pPr>
        <w:pStyle w:val="FirstParagraph"/>
      </w:pPr>
      <w:r>
        <w:rPr>
          <w:b/>
          <w:bCs/>
        </w:rPr>
        <w:t xml:space="preserve">Incidência:</w:t>
      </w:r>
      <w:r>
        <w:t xml:space="preserve"> </w:t>
      </w:r>
      <w:r>
        <w:t xml:space="preserve">~8-10% da população não apresenta dominância ocular definida (ambos os testes são inconsistentes).</w:t>
      </w:r>
    </w:p>
    <w:p>
      <w:pPr>
        <w:pStyle w:val="BodyText"/>
      </w:pPr>
      <w:r>
        <w:rPr>
          <w:b/>
          <w:bCs/>
        </w:rPr>
        <w:t xml:space="preserve">Estratégia: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Preferência Manual:</w:t>
      </w:r>
      <w:r>
        <w:t xml:space="preserve"> </w:t>
      </w:r>
      <w:r>
        <w:t xml:space="preserve">Tratar olho direito como</w:t>
      </w:r>
      <w:r>
        <w:t xml:space="preserve"> </w:t>
      </w:r>
      <w:r>
        <w:t xml:space="preserve">“dominante”</w:t>
      </w:r>
      <w:r>
        <w:t xml:space="preserve"> </w:t>
      </w:r>
      <w:r>
        <w:t xml:space="preserve">se pessoa destra (vice-versa se canhota)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Teste de Simulação:</w:t>
      </w:r>
      <w:r>
        <w:t xml:space="preserve"> </w:t>
      </w:r>
      <w:r>
        <w:t xml:space="preserve">LC monovisão por 7 dias; perguntar qual olho prefere usar para longe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Alternativa:</w:t>
      </w:r>
      <w:r>
        <w:t xml:space="preserve"> </w:t>
      </w:r>
      <w:r>
        <w:t xml:space="preserve">Tratamento</w:t>
      </w:r>
      <w:r>
        <w:t xml:space="preserve"> </w:t>
      </w:r>
      <w:r>
        <w:rPr>
          <w:b/>
          <w:bCs/>
        </w:rPr>
        <w:t xml:space="preserve">simétrico bilateral moderado</w:t>
      </w:r>
    </w:p>
    <w:p>
      <w:pPr>
        <w:pStyle w:val="Compact"/>
        <w:numPr>
          <w:ilvl w:val="1"/>
          <w:numId w:val="1015"/>
        </w:numPr>
      </w:pPr>
      <w:r>
        <w:t xml:space="preserve">Ambos os olhos: Q = -0.65, target plano</w:t>
      </w:r>
    </w:p>
    <w:p>
      <w:pPr>
        <w:pStyle w:val="Compact"/>
        <w:numPr>
          <w:ilvl w:val="1"/>
          <w:numId w:val="1015"/>
        </w:numPr>
      </w:pPr>
      <w:r>
        <w:t xml:space="preserve">Menor Add total (~+1.25 D bilateral) mas sem anisometropia</w:t>
      </w:r>
    </w:p>
    <w:p>
      <w:pPr>
        <w:pStyle w:val="Compact"/>
        <w:numPr>
          <w:ilvl w:val="1"/>
          <w:numId w:val="1015"/>
        </w:numPr>
      </w:pPr>
      <w:r>
        <w:t xml:space="preserve">Menor necessidade de neuroadaptação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258d687717d90078fa56b46fc3092bc416da2e0"/>
    <w:p>
      <w:pPr>
        <w:pStyle w:val="Heading2"/>
      </w:pPr>
      <w:r>
        <w:t xml:space="preserve">5.7. Gestão de Expectativas e</w:t>
      </w:r>
      <w:r>
        <w:t xml:space="preserve"> </w:t>
      </w:r>
      <w:r>
        <w:t xml:space="preserve">“Fine-Tuning”</w:t>
      </w:r>
      <w:r>
        <w:t xml:space="preserve"> </w:t>
      </w:r>
      <w:r>
        <w:t xml:space="preserve">Pós-Operatório</w:t>
      </w:r>
    </w:p>
    <w:bookmarkStart w:id="44" w:name="a-semana-do-arrependimento"/>
    <w:p>
      <w:pPr>
        <w:pStyle w:val="Heading3"/>
      </w:pPr>
      <w:r>
        <w:t xml:space="preserve">5.7.1. A</w:t>
      </w:r>
      <w:r>
        <w:t xml:space="preserve"> </w:t>
      </w:r>
      <w:r>
        <w:t xml:space="preserve">“Semana do Arrependimento”</w:t>
      </w:r>
    </w:p>
    <w:p>
      <w:pPr>
        <w:pStyle w:val="FirstParagraph"/>
      </w:pPr>
      <w:r>
        <w:rPr>
          <w:b/>
          <w:bCs/>
        </w:rPr>
        <w:t xml:space="preserve">Fenómeno Universal em PresbyLASIK:</w:t>
      </w:r>
    </w:p>
    <w:p>
      <w:pPr>
        <w:pStyle w:val="BodyText"/>
      </w:pPr>
      <w:r>
        <w:t xml:space="preserve">Dias 3-7 pós-operatórios: Paciente queixa-se de:</w:t>
      </w:r>
      <w:r>
        <w:t xml:space="preserve"> </w:t>
      </w:r>
      <w:r>
        <w:t xml:space="preserve">-</w:t>
      </w:r>
      <w:r>
        <w:t xml:space="preserve"> </w:t>
      </w:r>
      <w:r>
        <w:t xml:space="preserve">“Visão estranha”</w:t>
      </w:r>
      <w:r>
        <w:t xml:space="preserve"> </w:t>
      </w:r>
      <w:r>
        <w:t xml:space="preserve">- Halos noturnos proeminentes</w:t>
      </w:r>
      <w:r>
        <w:t xml:space="preserve"> </w:t>
      </w:r>
      <w:r>
        <w:t xml:space="preserve">- Dificuldade em focar distâncias intermédias</w:t>
      </w:r>
      <w:r>
        <w:t xml:space="preserve"> </w:t>
      </w:r>
      <w:r>
        <w:t xml:space="preserve">-</w:t>
      </w:r>
      <w:r>
        <w:t xml:space="preserve"> </w:t>
      </w:r>
      <w:r>
        <w:t xml:space="preserve">“Não vejo bem nem de longe nem de perto”</w:t>
      </w:r>
    </w:p>
    <w:p>
      <w:pPr>
        <w:pStyle w:val="BodyText"/>
      </w:pPr>
      <w:r>
        <w:rPr>
          <w:b/>
          <w:bCs/>
        </w:rPr>
        <w:t xml:space="preserve">Raciocínio Neurofisiológico:</w:t>
      </w:r>
    </w:p>
    <w:p>
      <w:pPr>
        <w:pStyle w:val="BodyText"/>
      </w:pPr>
      <w:r>
        <w:t xml:space="preserve">O córtex visual primário (V1) ainda está na fase de:</w:t>
      </w:r>
      <w:r>
        <w:t xml:space="preserve"> </w:t>
      </w:r>
      <w:r>
        <w:t xml:space="preserve">- Detecção do novo padrão de aberração</w:t>
      </w:r>
      <w:r>
        <w:t xml:space="preserve"> </w:t>
      </w:r>
      <w:r>
        <w:t xml:space="preserve">- Tentativa de supressão de blur (ainda ineficaz)</w:t>
      </w:r>
      <w:r>
        <w:t xml:space="preserve"> </w:t>
      </w:r>
      <w:r>
        <w:t xml:space="preserve">- Plasticidade sináptica inicial (semanas 1-4)</w:t>
      </w:r>
    </w:p>
    <w:p>
      <w:pPr>
        <w:pStyle w:val="BodyText"/>
      </w:pPr>
      <w:r>
        <w:rPr>
          <w:b/>
          <w:bCs/>
        </w:rPr>
        <w:t xml:space="preserve">Gestão Clínica:</w:t>
      </w:r>
    </w:p>
    <w:p>
      <w:pPr>
        <w:pStyle w:val="BodyText"/>
      </w:pPr>
      <w:r>
        <w:rPr>
          <w:b/>
          <w:bCs/>
        </w:rPr>
        <w:t xml:space="preserve">Comunicação Pré-Operatória: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“Durante a primeira semana, a sua visão será flutuante e estranha. Isto é absolutamente normal. O seu cérebro está a aprender a interpretar a nova óptica. A melhoria começa na semana 2-3 e optimiza-se aos 3 meses.”</w:t>
      </w:r>
    </w:p>
    <w:p>
      <w:pPr>
        <w:pStyle w:val="BodyText"/>
      </w:pPr>
      <w:r>
        <w:rPr>
          <w:b/>
          <w:bCs/>
        </w:rPr>
        <w:t xml:space="preserve">Evitar:</w:t>
      </w:r>
      <w:r>
        <w:t xml:space="preserve"> </w:t>
      </w:r>
      <w:r>
        <w:t xml:space="preserve">-</w:t>
      </w:r>
      <w:r>
        <w:t xml:space="preserve"> </w:t>
      </w:r>
      <w:r>
        <w:t xml:space="preserve">“Sua visão será perfeita no dia seguinte”</w:t>
      </w:r>
      <w:r>
        <w:t xml:space="preserve"> </w:t>
      </w:r>
      <w:r>
        <w:t xml:space="preserve">(falso em presbiopia)</w:t>
      </w:r>
      <w:r>
        <w:t xml:space="preserve"> </w:t>
      </w:r>
      <w:r>
        <w:t xml:space="preserve">- Comunicar add exacto esperado (</w:t>
      </w:r>
      <w:r>
        <w:t xml:space="preserve">“Vai ler J2”</w:t>
      </w:r>
      <w:r>
        <w:t xml:space="preserve">) - variabilidade neuroadaptativa torna isto imprevisível</w:t>
      </w:r>
    </w:p>
    <w:bookmarkEnd w:id="44"/>
    <w:bookmarkStart w:id="45" w:name="Xb2088dac6401e2d239ca2f844ea7ac3aebecd85"/>
    <w:p>
      <w:pPr>
        <w:pStyle w:val="Heading3"/>
      </w:pPr>
      <w:r>
        <w:t xml:space="preserve">5.7.2. Modulação Farmacológica (Corticóides Tópicos)</w:t>
      </w:r>
    </w:p>
    <w:p>
      <w:pPr>
        <w:pStyle w:val="FirstParagraph"/>
      </w:pPr>
      <w:r>
        <w:t xml:space="preserve">Os corticóides tópicos têm um papel</w:t>
      </w:r>
      <w:r>
        <w:t xml:space="preserve"> </w:t>
      </w:r>
      <w:r>
        <w:rPr>
          <w:b/>
          <w:bCs/>
        </w:rPr>
        <w:t xml:space="preserve">modulador</w:t>
      </w:r>
      <w:r>
        <w:t xml:space="preserve"> </w:t>
      </w:r>
      <w:r>
        <w:t xml:space="preserve">subtil na resposta de remodelação epitelial e estromal.</w:t>
      </w:r>
    </w:p>
    <w:p>
      <w:pPr>
        <w:pStyle w:val="BodyText"/>
      </w:pPr>
      <w:r>
        <w:rPr>
          <w:b/>
          <w:bCs/>
        </w:rPr>
        <w:t xml:space="preserve">Protocolo Standard Pós-LASIK PresbyCor: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Dias 1-7:</w:t>
      </w:r>
      <w:r>
        <w:t xml:space="preserve"> </w:t>
      </w:r>
      <w:r>
        <w:t xml:space="preserve">Prednisolona 1% 4x/dia (suprimir inflamação aguda)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Semanas 2-4:</w:t>
      </w:r>
      <w:r>
        <w:t xml:space="preserve"> </w:t>
      </w:r>
      <w:r>
        <w:t xml:space="preserve">Fluorometolona 0.1% 3x/dia → 2x/dia (modulação de cicatrização)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Após semana 4:</w:t>
      </w:r>
      <w:r>
        <w:t xml:space="preserve"> </w:t>
      </w:r>
      <w:r>
        <w:t xml:space="preserve">Suspender (risco de hipertensão ocular)</w:t>
      </w:r>
    </w:p>
    <w:p>
      <w:pPr>
        <w:pStyle w:val="FirstParagraph"/>
      </w:pPr>
      <w:r>
        <w:rPr>
          <w:b/>
          <w:bCs/>
        </w:rPr>
        <w:t xml:space="preserve">Ajuste Baseado em Resultado Pré-Maturo (Mês 1):</w:t>
      </w:r>
    </w:p>
    <w:p>
      <w:pPr>
        <w:pStyle w:val="BodyText"/>
      </w:pPr>
      <w:r>
        <w:rPr>
          <w:b/>
          <w:bCs/>
        </w:rPr>
        <w:t xml:space="preserve">Cenário A: Hipocorreção (Vê mal de perto no mês 1)</w:t>
      </w:r>
    </w:p>
    <w:p>
      <w:pPr>
        <w:pStyle w:val="BodyText"/>
      </w:pPr>
      <w:r>
        <w:t xml:space="preserve">Possível causa: Regressão epitelial precoce agressiva (mascaramento do Q induzido).</w:t>
      </w:r>
    </w:p>
    <w:p>
      <w:pPr>
        <w:pStyle w:val="BodyText"/>
      </w:pPr>
      <w:r>
        <w:rPr>
          <w:b/>
          <w:bCs/>
        </w:rPr>
        <w:t xml:space="preserve">Intervenção: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Prolongar corticóides:</w:t>
      </w:r>
      <w:r>
        <w:t xml:space="preserve"> </w:t>
      </w:r>
      <w:r>
        <w:t xml:space="preserve">Manter FML 0.1% 2x/dia até mês 3</w:t>
      </w:r>
      <w:r>
        <w:t xml:space="preserve"> </w:t>
      </w:r>
      <w:r>
        <w:t xml:space="preserve">- Raciocínio: Moderar hiperplasia epitelial excessiva</w:t>
      </w:r>
      <w:r>
        <w:t xml:space="preserve"> </w:t>
      </w:r>
      <w:r>
        <w:t xml:space="preserve">- Monitorizar PIO semanalmente</w:t>
      </w:r>
    </w:p>
    <w:p>
      <w:pPr>
        <w:pStyle w:val="BodyText"/>
      </w:pPr>
      <w:r>
        <w:rPr>
          <w:b/>
          <w:bCs/>
        </w:rPr>
        <w:t xml:space="preserve">Cenário B: Hipercorreção (Vê mal de longe no mês 1)</w:t>
      </w:r>
    </w:p>
    <w:p>
      <w:pPr>
        <w:pStyle w:val="BodyText"/>
      </w:pPr>
      <w:r>
        <w:t xml:space="preserve">Possível causa: Q induzido excessivo ou miopização inesperada.</w:t>
      </w:r>
    </w:p>
    <w:p>
      <w:pPr>
        <w:pStyle w:val="BodyText"/>
      </w:pPr>
      <w:r>
        <w:rPr>
          <w:b/>
          <w:bCs/>
        </w:rPr>
        <w:t xml:space="preserve">Intervenção: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Suspender corticóides imediatamente</w:t>
      </w:r>
      <w:r>
        <w:t xml:space="preserve"> </w:t>
      </w:r>
      <w:r>
        <w:t xml:space="preserve">- Raciocínio: Permitir regressão natural (mascaramento epitelial beneficia em hipercorreção)</w:t>
      </w:r>
      <w:r>
        <w:t xml:space="preserve"> </w:t>
      </w:r>
      <w:r>
        <w:t xml:space="preserve">- Re-avaliar ao mês 3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Esta modulação farmacológica é</w:t>
      </w:r>
      <w:r>
        <w:t xml:space="preserve"> </w:t>
      </w:r>
      <w:r>
        <w:rPr>
          <w:b/>
          <w:bCs/>
        </w:rPr>
        <w:t xml:space="preserve">empírica e controversa</w:t>
      </w:r>
      <w:r>
        <w:t xml:space="preserve">. Não existe evidência de nível 1 suportando este protocolo. Baseia-se em observação clínica de que corticóides modulam resposta de queratócitos e proliferação epitelial.</w:t>
      </w:r>
    </w:p>
    <w:bookmarkEnd w:id="45"/>
    <w:bookmarkStart w:id="49" w:name="Xf90b7403e5556a7f1d71c1e3de96d0fa832e494"/>
    <w:p>
      <w:pPr>
        <w:pStyle w:val="Heading3"/>
      </w:pPr>
      <w:r>
        <w:t xml:space="preserve">5.7.3. retratamento (Retoque Cirúrgico) - Critérios e Timing</w:t>
      </w:r>
    </w:p>
    <w:p>
      <w:pPr>
        <w:pStyle w:val="FirstParagraph"/>
      </w:pPr>
      <w:r>
        <w:rPr>
          <w:b/>
          <w:bCs/>
        </w:rPr>
        <w:t xml:space="preserve">Indicações para Retoque: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Hipocorreção Estável:</w:t>
      </w:r>
    </w:p>
    <w:p>
      <w:pPr>
        <w:pStyle w:val="Compact"/>
        <w:numPr>
          <w:ilvl w:val="1"/>
          <w:numId w:val="1018"/>
        </w:numPr>
      </w:pPr>
      <w:r>
        <w:t xml:space="preserve">UCNVA (perto) J4 ou pior (objectivo: J2)</w:t>
      </w:r>
    </w:p>
    <w:p>
      <w:pPr>
        <w:pStyle w:val="Compact"/>
        <w:numPr>
          <w:ilvl w:val="1"/>
          <w:numId w:val="1018"/>
        </w:numPr>
      </w:pPr>
      <w:r>
        <w:t xml:space="preserve">Adição residual necessária &gt;+1.00 D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Aguardar 6 meses (estabilização refrativa completa)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Anisometropia Intolerável:</w:t>
      </w:r>
    </w:p>
    <w:p>
      <w:pPr>
        <w:pStyle w:val="Compact"/>
        <w:numPr>
          <w:ilvl w:val="1"/>
          <w:numId w:val="1019"/>
        </w:numPr>
      </w:pPr>
      <w:r>
        <w:t xml:space="preserve">Diferença olho dominante/não-dominante &gt;1.50 D</w:t>
      </w:r>
    </w:p>
    <w:p>
      <w:pPr>
        <w:pStyle w:val="Compact"/>
        <w:numPr>
          <w:ilvl w:val="1"/>
          <w:numId w:val="1019"/>
        </w:numPr>
      </w:pPr>
      <w:r>
        <w:t xml:space="preserve">Sintomas: Diplopia, tontura, astenopia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3-6 meses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Regressão Hipermetrópica:</w:t>
      </w:r>
    </w:p>
    <w:p>
      <w:pPr>
        <w:pStyle w:val="Compact"/>
        <w:numPr>
          <w:ilvl w:val="1"/>
          <w:numId w:val="1020"/>
        </w:numPr>
      </w:pPr>
      <w:r>
        <w:t xml:space="preserve">Shift para hipermetropia &gt;+0.75 D (perde visão longe E perto)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6-12 meses</w:t>
      </w:r>
    </w:p>
    <w:p>
      <w:pPr>
        <w:pStyle w:val="FirstParagraph"/>
      </w:pPr>
      <w:r>
        <w:rPr>
          <w:b/>
          <w:bCs/>
        </w:rPr>
        <w:t xml:space="preserve">Técnica de Retoque: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LASIK:</w:t>
      </w:r>
      <w:r>
        <w:t xml:space="preserve"> </w:t>
      </w:r>
      <w:r>
        <w:t xml:space="preserve">Re-lifting de flap (se &lt;5 anos do primário)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PRK:</w:t>
      </w:r>
      <w:r>
        <w:t xml:space="preserve"> </w:t>
      </w:r>
      <w:r>
        <w:t xml:space="preserve">Se &gt;5 anos ou flap problemático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Ajuste de Q:</w:t>
      </w:r>
      <w:r>
        <w:t xml:space="preserve"> </w:t>
      </w:r>
      <w:r>
        <w:t xml:space="preserve">Geralmente adicionar mais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negativo (-0.15 a -0.30)</w:t>
      </w:r>
    </w:p>
    <w:p>
      <w:pPr>
        <w:pStyle w:val="FirstParagraph"/>
      </w:pPr>
      <w:r>
        <w:rPr>
          <w:b/>
          <w:bCs/>
        </w:rPr>
        <w:t xml:space="preserve">Taxa de Retoque Cirúrgico na Literatura PresbyCor:</w:t>
      </w:r>
      <w:r>
        <w:t xml:space="preserve"> </w:t>
      </w:r>
      <w:r>
        <w:t xml:space="preserve">12-18% [4]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Matriz de Solução de Problemas Clínicos" title="" id="47" name="Picture"/>
            <a:graphic>
              <a:graphicData uri="http://schemas.openxmlformats.org/drawingml/2006/picture">
                <pic:pic>
                  <pic:nvPicPr>
                    <pic:cNvPr descr="figures/chapter5/troubleshooting_matrix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5.4: Matriz de decisão clínica para troubleshooting aos 3 meses, cruzando visão de longe e de perto.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cedb54341c1f93c95e6d70697db20989e4ed528"/>
    <w:p>
      <w:pPr>
        <w:pStyle w:val="Heading2"/>
      </w:pPr>
      <w:r>
        <w:t xml:space="preserve">5.8. Transferência do Algoritmo para Outras Plataformas</w:t>
      </w:r>
    </w:p>
    <w:p>
      <w:pPr>
        <w:pStyle w:val="FirstParagraph"/>
      </w:pPr>
      <w:r>
        <w:rPr>
          <w:b/>
          <w:bCs/>
        </w:rPr>
        <w:t xml:space="preserve">Conceito-Chave:</w:t>
      </w:r>
      <w:r>
        <w:br/>
      </w:r>
      <w:r>
        <w:t xml:space="preserve">O algoritmo PresbyCor</w:t>
      </w:r>
      <w:r>
        <w:t xml:space="preserve"> </w:t>
      </w:r>
      <w:r>
        <w:rPr>
          <w:b/>
          <w:bCs/>
        </w:rPr>
        <w:t xml:space="preserve">não é propriedade de hardware</w:t>
      </w:r>
      <w:r>
        <w:t xml:space="preserve">. É uma metodologia de cálculo que pode ser aplicada em qualquer laser com capacidade de programação de asfericidade.</w:t>
      </w:r>
    </w:p>
    <w:bookmarkStart w:id="51" w:name="plataformas-compatíveis"/>
    <w:p>
      <w:pPr>
        <w:pStyle w:val="Heading3"/>
      </w:pPr>
      <w:r>
        <w:t xml:space="preserve">5.8.1. Plataformas Compatíveis</w:t>
      </w:r>
    </w:p>
    <w:p>
      <w:pPr>
        <w:pStyle w:val="FirstParagraph"/>
      </w:pPr>
      <w:r>
        <w:rPr>
          <w:b/>
          <w:bCs/>
        </w:rPr>
        <w:t xml:space="preserve">Alcon Wavelight (EX500, Allegretto):</w:t>
      </w:r>
      <w:r>
        <w:t xml:space="preserve"> </w:t>
      </w:r>
      <w:r>
        <w:t xml:space="preserve">- Interface nativa para Custom-Q</w:t>
      </w:r>
      <w:r>
        <w:t xml:space="preserve"> </w:t>
      </w:r>
      <w:r>
        <w:t xml:space="preserve">- Input direto de Q-target</w:t>
      </w:r>
    </w:p>
    <w:p>
      <w:pPr>
        <w:pStyle w:val="BodyText"/>
      </w:pPr>
      <w:r>
        <w:rPr>
          <w:b/>
          <w:bCs/>
        </w:rPr>
        <w:t xml:space="preserve">Schwind Amaris:</w:t>
      </w:r>
      <w:r>
        <w:t xml:space="preserve"> </w:t>
      </w:r>
      <w:r>
        <w:t xml:space="preserve">- Módulo</w:t>
      </w:r>
      <w:r>
        <w:t xml:space="preserve"> </w:t>
      </w:r>
      <w:r>
        <w:t xml:space="preserve">“Custom Ablation”</w:t>
      </w:r>
      <w:r>
        <w:t xml:space="preserve"> </w:t>
      </w:r>
      <w:r>
        <w:t xml:space="preserve">- Permite Q-target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Vantagem:</w:t>
      </w:r>
      <w:r>
        <w:t xml:space="preserve"> </w:t>
      </w:r>
      <w:r>
        <w:t xml:space="preserve">Frequência 1050 Hz (mais rápida)</w:t>
      </w:r>
    </w:p>
    <w:p>
      <w:pPr>
        <w:pStyle w:val="BodyText"/>
      </w:pPr>
      <w:r>
        <w:rPr>
          <w:b/>
          <w:bCs/>
        </w:rPr>
        <w:t xml:space="preserve">Zeiss MEL 90:</w:t>
      </w:r>
      <w:r>
        <w:t xml:space="preserve"> </w:t>
      </w:r>
      <w:r>
        <w:t xml:space="preserve">- Perfil</w:t>
      </w:r>
      <w:r>
        <w:t xml:space="preserve"> </w:t>
      </w:r>
      <w:r>
        <w:t xml:space="preserve">“Aberration-Free”</w:t>
      </w:r>
      <w:r>
        <w:t xml:space="preserve"> </w:t>
      </w:r>
      <w:r>
        <w:t xml:space="preserve">modificável</w:t>
      </w:r>
      <w:r>
        <w:t xml:space="preserve"> </w:t>
      </w:r>
      <w:r>
        <w:t xml:space="preserve">- Requer conversão Q → SA (</w:t>
      </w:r>
      <m:oMath>
        <m:sSubSup>
          <m:e>
            <m:r>
              <m:t>Z</m:t>
            </m:r>
          </m:e>
          <m:sub>
            <m:r>
              <m:t>4</m:t>
            </m:r>
          </m:sub>
          <m:sup>
            <m:r>
              <m:t>0</m:t>
            </m:r>
          </m:sup>
        </m:sSubSup>
      </m:oMath>
      <w:r>
        <w:t xml:space="preserve">) manual</w:t>
      </w:r>
    </w:p>
    <w:p>
      <w:pPr>
        <w:pStyle w:val="BodyText"/>
      </w:pPr>
      <w:r>
        <w:rPr>
          <w:b/>
          <w:bCs/>
        </w:rPr>
        <w:t xml:space="preserve">Nidek EC-5000:</w:t>
      </w:r>
      <w:r>
        <w:t xml:space="preserve"> </w:t>
      </w:r>
      <w:r>
        <w:t xml:space="preserve">-</w:t>
      </w:r>
      <w:r>
        <w:t xml:space="preserve"> </w:t>
      </w:r>
      <w:r>
        <w:t xml:space="preserve">“Optimized Aspheric Treatment (OATz)”</w:t>
      </w:r>
      <w:r>
        <w:t xml:space="preserve"> </w:t>
      </w:r>
      <w:r>
        <w:t xml:space="preserve">- Programação via SA target (converter Q)</w:t>
      </w:r>
    </w:p>
    <w:bookmarkEnd w:id="51"/>
    <w:bookmarkStart w:id="52" w:name="conversão-q-target-para-sa-target"/>
    <w:p>
      <w:pPr>
        <w:pStyle w:val="Heading3"/>
      </w:pPr>
      <w:r>
        <w:t xml:space="preserve">5.8.2. Conversão Q-Target para SA-Target</w:t>
      </w:r>
    </w:p>
    <w:p>
      <w:pPr>
        <w:pStyle w:val="FirstParagraph"/>
      </w:pPr>
      <w:r>
        <w:t xml:space="preserve">Para lasers que aceitam</w:t>
      </w:r>
      <w:r>
        <w:t xml:space="preserve"> </w:t>
      </w:r>
      <w:r>
        <w:rPr>
          <w:b/>
          <w:bCs/>
        </w:rPr>
        <w:t xml:space="preserve">aberração esférica</w:t>
      </w:r>
      <w:r>
        <w:t xml:space="preserve"> </w:t>
      </w:r>
      <w:r>
        <w:t xml:space="preserve">como input (em vez de Q):</w:t>
      </w:r>
    </w:p>
    <w:p>
      <w:pPr>
        <w:pStyle w:val="BodyText"/>
      </w:pPr>
      <w:r>
        <w:rPr>
          <w:b/>
          <w:bCs/>
        </w:rPr>
        <w:t xml:space="preserve">Fórmula de Conversão: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4</m:t>
              </m:r>
            </m:sub>
            <m:sup>
              <m:r>
                <m:t>0</m:t>
              </m:r>
            </m:sup>
          </m:sSubSup>
          <m:r>
            <m:t> </m:t>
          </m:r>
          <m:r>
            <m:rPr>
              <m:sty m:val="p"/>
            </m:rPr>
            <m:t>(</m:t>
          </m:r>
          <m:r>
            <m:t>μ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Exemplo:</w:t>
      </w:r>
    </w:p>
    <w:p>
      <w:pPr>
        <w:pStyle w:val="BodyText"/>
      </w:pPr>
      <w:r>
        <w:t xml:space="preserve">PresbyCor calcula Q-target = -0.80 para um paciente com Q pré-op = -0.25.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0.25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4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0.55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0.275</m:t>
          </m:r>
          <m:r>
            <m:t> </m:t>
          </m:r>
          <m:r>
            <m:t>μ</m:t>
          </m:r>
          <m:r>
            <m:t>m</m:t>
          </m:r>
        </m:oMath>
      </m:oMathPara>
    </w:p>
    <w:p>
      <w:pPr>
        <w:pStyle w:val="FirstParagraph"/>
      </w:pPr>
      <w:r>
        <w:t xml:space="preserve">Programar no laser (Zeiss MEL 90):</w:t>
      </w:r>
      <w:r>
        <w:t xml:space="preserve"> </w:t>
      </w:r>
      <w:r>
        <w:rPr>
          <w:b/>
          <w:bCs/>
        </w:rPr>
        <w:t xml:space="preserve">SA target = -0.28 μm</w:t>
      </w:r>
      <w:r>
        <w:t xml:space="preserve"> </w:t>
      </w:r>
      <w:r>
        <w:t xml:space="preserve">(para pupila 6 mm)</w:t>
      </w:r>
    </w:p>
    <w:p>
      <w:pPr>
        <w:pStyle w:val="BodyText"/>
      </w:pPr>
      <w:r>
        <w:rPr>
          <w:b/>
          <w:bCs/>
        </w:rPr>
        <w:t xml:space="preserve">Atenção à Normalização de Pupila:</w:t>
      </w:r>
    </w:p>
    <w:p>
      <w:pPr>
        <w:pStyle w:val="BodyText"/>
      </w:pPr>
      <w:r>
        <w:t xml:space="preserve">Diferentes lasers normalizam SA para diâmetros pupilares diferentes:</w:t>
      </w:r>
      <w:r>
        <w:t xml:space="preserve"> </w:t>
      </w:r>
      <w:r>
        <w:t xml:space="preserve">- Alcon: 6.0 mm</w:t>
      </w:r>
      <w:r>
        <w:t xml:space="preserve"> </w:t>
      </w:r>
      <w:r>
        <w:t xml:space="preserve">- Zeiss: 6.0 mm</w:t>
      </w:r>
      <w:r>
        <w:t xml:space="preserve"> </w:t>
      </w:r>
      <w:r>
        <w:t xml:space="preserve">- Schwind: 6.5 mm (converter usando</w:t>
      </w:r>
      <w:r>
        <w:t xml:space="preserve"> </w:t>
      </w:r>
      <m:oMath>
        <m:sSubSup>
          <m:e>
            <m:r>
              <m:t>Z</m:t>
            </m:r>
          </m:e>
          <m:sub>
            <m:r>
              <m:t>4</m:t>
            </m:r>
          </m:sub>
          <m:sup>
            <m:r>
              <m:t>0</m:t>
            </m:r>
          </m:sup>
        </m:sSubSup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8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22"/>
        </w:numPr>
      </w:pPr>
      <w:r>
        <w:t xml:space="preserve">Ghenassia C. PresbyCor: Algorithme de traitement de la presbytie en LASIK et PKR.</w:t>
      </w:r>
      <w:r>
        <w:t xml:space="preserve"> </w:t>
      </w:r>
      <w:r>
        <w:rPr>
          <w:i/>
          <w:iCs/>
        </w:rPr>
        <w:t xml:space="preserve">Réalités Ophtalmologiques</w:t>
      </w:r>
      <w:r>
        <w:t xml:space="preserve">. 2014;211:14-22.</w:t>
      </w:r>
    </w:p>
    <w:p>
      <w:pPr>
        <w:numPr>
          <w:ilvl w:val="0"/>
          <w:numId w:val="1022"/>
        </w:numPr>
      </w:pPr>
      <w:r>
        <w:t xml:space="preserve">Ghenassia C.</w:t>
      </w:r>
      <w:r>
        <w:t xml:space="preserve"> </w:t>
      </w:r>
      <w:r>
        <w:rPr>
          <w:i/>
          <w:iCs/>
        </w:rPr>
        <w:t xml:space="preserve">La Chirurgie de la Presbytie: Techniques et Résultats</w:t>
      </w:r>
      <w:r>
        <w:t xml:space="preserve">. Paris: Elsevier Masson; 2012.</w:t>
      </w:r>
    </w:p>
    <w:p>
      <w:pPr>
        <w:numPr>
          <w:ilvl w:val="0"/>
          <w:numId w:val="1022"/>
        </w:numPr>
      </w:pPr>
      <w:r>
        <w:t xml:space="preserve">Ghenassia C, Bourcier T. Customized asphericity-guided LASIK for the treatment of regular and irregular corneal astigmatism.</w:t>
      </w:r>
      <w:r>
        <w:t xml:space="preserve"> </w:t>
      </w:r>
      <w:r>
        <w:rPr>
          <w:i/>
          <w:iCs/>
        </w:rPr>
        <w:t xml:space="preserve">Journal Français d’Ophtalmologie</w:t>
      </w:r>
      <w:r>
        <w:t xml:space="preserve">. 2011;34(8):528-534.</w:t>
      </w:r>
    </w:p>
    <w:p>
      <w:pPr>
        <w:numPr>
          <w:ilvl w:val="0"/>
          <w:numId w:val="1022"/>
        </w:numPr>
      </w:pPr>
      <w:r>
        <w:t xml:space="preserve">Gatinel D, Malet J, Hoang-Xuan T, Azar DT. Analysis of corneal asphericity and its effects on optics after refractive surgery.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2002;18(3):S300-S305.</w:t>
      </w:r>
    </w:p>
    <w:p>
      <w:pPr>
        <w:numPr>
          <w:ilvl w:val="0"/>
          <w:numId w:val="1022"/>
        </w:numPr>
      </w:pPr>
      <w:r>
        <w:t xml:space="preserve">Reinstein DZ, Archer TJ, Gobbe M. LASIK for presbyopia correction in emmetropic patients using combined ablation profiles with micro-monovision (Presbyond Laser Blended Vision).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2012;28(1):37-41.</w:t>
      </w:r>
    </w:p>
    <w:p>
      <w:pPr>
        <w:numPr>
          <w:ilvl w:val="0"/>
          <w:numId w:val="1022"/>
        </w:numPr>
      </w:pPr>
      <w:r>
        <w:t xml:space="preserve">Santhiago MR, Wilson SE, Netto MV, et al. Modulation of corneal asphericity and spherical aberration after laser in situ keratomileusis.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2011;27(4):273-277.</w:t>
      </w:r>
    </w:p>
    <w:p>
      <w:pPr>
        <w:numPr>
          <w:ilvl w:val="0"/>
          <w:numId w:val="1022"/>
        </w:numPr>
      </w:pPr>
      <w:r>
        <w:t xml:space="preserve">Alió JL, Chaubard JJ, Caliz A, Manso Z, Amar L. Correction of presbyopia by technovision central multifocal LASIK (PresbyLASIK).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2006;22(5):453-460.</w:t>
      </w:r>
    </w:p>
    <w:p>
      <w:pPr>
        <w:numPr>
          <w:ilvl w:val="0"/>
          <w:numId w:val="1022"/>
        </w:numPr>
      </w:pPr>
      <w:r>
        <w:t xml:space="preserve">Applegate RA, Marsack JD, Thibos LN. Metrics of retinal image quality predict visual performance in eyes with 20/17 or better visual acuity.</w:t>
      </w:r>
      <w:r>
        <w:t xml:space="preserve"> </w:t>
      </w:r>
      <w:r>
        <w:rPr>
          <w:i/>
          <w:iCs/>
        </w:rPr>
        <w:t xml:space="preserve">Optometry and Vision Science</w:t>
      </w:r>
      <w:r>
        <w:t xml:space="preserve">. 2006;83(9):635-640.</w:t>
      </w:r>
    </w:p>
    <w:p>
      <w:pPr>
        <w:numPr>
          <w:ilvl w:val="0"/>
          <w:numId w:val="1022"/>
        </w:numPr>
      </w:pPr>
      <w:r>
        <w:t xml:space="preserve">Thibos LN, Hong X, Bradley A, Applegate RA. Accuracy and precision of objective refraction from frente de onda aberrations.</w:t>
      </w:r>
      <w:r>
        <w:t xml:space="preserve"> </w:t>
      </w:r>
      <w:r>
        <w:rPr>
          <w:i/>
          <w:iCs/>
        </w:rPr>
        <w:t xml:space="preserve">Journal of Vision</w:t>
      </w:r>
      <w:r>
        <w:t xml:space="preserve">. 2004;4(4):329-351.</w:t>
      </w:r>
    </w:p>
    <w:p>
      <w:pPr>
        <w:numPr>
          <w:ilvl w:val="0"/>
          <w:numId w:val="1022"/>
        </w:numPr>
      </w:pPr>
      <w:r>
        <w:t xml:space="preserve">Sinjab MM.</w:t>
      </w:r>
      <w:r>
        <w:t xml:space="preserve"> </w:t>
      </w:r>
      <w:r>
        <w:rPr>
          <w:i/>
          <w:iCs/>
        </w:rPr>
        <w:t xml:space="preserve">Refractive Surgery: A Guide to Assessment and Management</w:t>
      </w:r>
      <w:r>
        <w:t xml:space="preserve">. New Delhi: Jaypee Brothers Medical Publishers; 2015.</w:t>
      </w:r>
    </w:p>
    <w:p>
      <w:pPr>
        <w:numPr>
          <w:ilvl w:val="0"/>
          <w:numId w:val="1022"/>
        </w:numPr>
      </w:pPr>
      <w:r>
        <w:t xml:space="preserve">Holladay JT.</w:t>
      </w:r>
      <w:r>
        <w:t xml:space="preserve"> </w:t>
      </w:r>
      <w:r>
        <w:rPr>
          <w:i/>
          <w:iCs/>
        </w:rPr>
        <w:t xml:space="preserve">Understanding Corneal Asphericity and its Clinical Implications</w:t>
      </w:r>
      <w:r>
        <w:t xml:space="preserve">. Thorofare, NJ: Slack Inc; 2010.</w:t>
      </w:r>
    </w:p>
    <w:p>
      <w:pPr>
        <w:numPr>
          <w:ilvl w:val="0"/>
          <w:numId w:val="1022"/>
        </w:numPr>
      </w:pPr>
      <w:r>
        <w:t xml:space="preserve">Ambrósio R Jr, Belin MW. Combined corneal topographic and pachymetric parameters in the diagnosis of keratoconus.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2010;26(10):753-758.</w:t>
      </w:r>
    </w:p>
    <w:p>
      <w:r>
        <w:pict>
          <v:rect style="width:0;height:1.5pt" o:hralign="center" o:hrstd="t" o:hr="t"/>
        </w:pict>
      </w:r>
    </w:p>
    <w:bookmarkStart w:id="57" w:name="X37f5f9cb231261c8c041d512d9e43c62fd151f5"/>
    <w:p>
      <w:pPr>
        <w:pStyle w:val="Heading3"/>
      </w:pPr>
      <w:r>
        <w:t xml:space="preserve">Infográfico 5.1: O Mapa de Correlação Q-EDOF (O</w:t>
      </w:r>
      <w:r>
        <w:t xml:space="preserve"> </w:t>
      </w:r>
      <w:r>
        <w:t xml:space="preserve">“Plateau Óptico”</w:t>
      </w:r>
      <w:r>
        <w:t xml:space="preserve">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Mapa de Perfil de Potência PresbyCor" title="" id="55" name="Picture"/>
            <a:graphic>
              <a:graphicData uri="http://schemas.openxmlformats.org/drawingml/2006/picture">
                <pic:pic>
                  <pic:nvPicPr>
                    <pic:cNvPr descr="figures/chapter5/infographic_5_1_asphericity_map.md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5.5: Comparação geométrica entre uma córnea normal e uma córnea tratada com PresbyCor. Note o</w:t>
      </w:r>
      <w:r>
        <w:rPr>
          <w:i/>
          <w:iCs/>
        </w:rPr>
        <w:t xml:space="preserve"> </w:t>
      </w:r>
      <w:r>
        <w:rPr>
          <w:i/>
          <w:iCs/>
        </w:rPr>
        <w:t xml:space="preserve">“Plateau Óptico”</w:t>
      </w:r>
      <w:r>
        <w:rPr>
          <w:i/>
          <w:iCs/>
        </w:rPr>
        <w:t xml:space="preserve"> </w:t>
      </w:r>
      <w:r>
        <w:rPr>
          <w:i/>
          <w:iCs/>
        </w:rPr>
        <w:t xml:space="preserve">central (steepening) que cria a profundidade de campo, contrastando com a queda periférica abrupta.</w:t>
      </w:r>
    </w:p>
    <w:bookmarkEnd w:id="57"/>
    <w:bookmarkStart w:id="61" w:name="Xf2b7a6a4d1f19e23b4ea4dc4583e37d047f9a8a"/>
    <w:p>
      <w:pPr>
        <w:pStyle w:val="Heading3"/>
      </w:pPr>
      <w:r>
        <w:t xml:space="preserve">Infográfico 5.2: Fluxo de Decisão para Transferência de Algoritmo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Universalidade do Algoritmo PresbyCor" title="" id="59" name="Picture"/>
            <a:graphic>
              <a:graphicData uri="http://schemas.openxmlformats.org/drawingml/2006/picture">
                <pic:pic>
                  <pic:nvPicPr>
                    <pic:cNvPr descr="figures/chapter5/infographic_5_2_algorithm_transfer.md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5.6:</w:t>
      </w:r>
      <w:r>
        <w:rPr>
          <w:i/>
          <w:iCs/>
        </w:rPr>
        <w:t xml:space="preserve"> </w:t>
      </w:r>
      <w:r>
        <w:rPr>
          <w:i/>
          <w:iCs/>
        </w:rPr>
        <w:t xml:space="preserve">“Tradutor Universal”</w:t>
      </w:r>
      <w:r>
        <w:rPr>
          <w:i/>
          <w:iCs/>
        </w:rPr>
        <w:t xml:space="preserve"> </w:t>
      </w:r>
      <w:r>
        <w:rPr>
          <w:i/>
          <w:iCs/>
        </w:rPr>
        <w:t xml:space="preserve">de parâmetros. Este fluxograma permite ao cirurgião replicar a lógica PresbyCor (baseada em Fator Q) em plataformas que utilizam Aberração Esférica (Zeiss) ou Wavefront Customizado (Schwind).</w:t>
      </w:r>
    </w:p>
    <w:bookmarkEnd w:id="61"/>
    <w:bookmarkStart w:id="65" w:name="X2fa1be5b2e5976db98c4832f9732bbba4447ab3"/>
    <w:p>
      <w:pPr>
        <w:pStyle w:val="Heading3"/>
      </w:pPr>
      <w:r>
        <w:t xml:space="preserve">Infográfico 5.3: Perfis de Frente de Onda Comparativos (PSF e MTF)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Trade-off Óptico: Nitidez vs Profundidade" title="" id="63" name="Picture"/>
            <a:graphic>
              <a:graphicData uri="http://schemas.openxmlformats.org/drawingml/2006/picture">
                <pic:pic>
                  <pic:nvPicPr>
                    <pic:cNvPr descr="figures/chapter5/infographic_5_3_wavefront_psf.md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5.7: Visualização do compromisso biofísico. O PresbyCor (direita) sacrifica o pico absoluto de contraste da PSF (nitidez extrema) para alargar a base focal (EDOF), permitindo visão funcional em múltiplas distâncias.</w:t>
      </w:r>
    </w:p>
    <w:bookmarkEnd w:id="65"/>
    <w:bookmarkStart w:id="69" w:name="X56984a7925c4dabde9218fe5942c093b11726ac"/>
    <w:p>
      <w:pPr>
        <w:pStyle w:val="Heading3"/>
      </w:pPr>
      <w:r>
        <w:t xml:space="preserve">Infográfico 5.4: O Cálculo do Offset de Aberração Esférica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Régua de Conversão Q-Microns" title="" id="67" name="Picture"/>
            <a:graphic>
              <a:graphicData uri="http://schemas.openxmlformats.org/drawingml/2006/picture">
                <pic:pic>
                  <pic:nvPicPr>
                    <pic:cNvPr descr="figures/chapter5/infographic_5_4_offset_calculation.md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5.8: Régua heurística de conversão rápida para o bloco operatório (</w:t>
      </w:r>
      <w:r>
        <w:rPr>
          <w:i/>
          <w:iCs/>
        </w:rPr>
        <w:t xml:space="preserve">“A Regra do Dois”</w:t>
      </w:r>
      <w:r>
        <w:rPr>
          <w:i/>
          <w:iCs/>
        </w:rPr>
        <w:t xml:space="preserve">). Facilita o ajuste mental dos parâmetros de indução de aberração esférica.</w:t>
      </w:r>
    </w:p>
    <w:bookmarkEnd w:id="69"/>
    <w:bookmarkStart w:id="73" w:name="X23af0eb178fa9ab09b0f526fb25c95a44bd9fd3"/>
    <w:p>
      <w:pPr>
        <w:pStyle w:val="Heading3"/>
      </w:pPr>
      <w:r>
        <w:t xml:space="preserve">Infográfico 5.5: Acoplamento Pupila-Potência (Efeito</w:t>
      </w:r>
      <w:r>
        <w:t xml:space="preserve"> </w:t>
      </w:r>
      <w:r>
        <w:t xml:space="preserve">“Pinhole”</w:t>
      </w:r>
      <w:r>
        <w:t xml:space="preserve"> </w:t>
      </w:r>
      <w:r>
        <w:t xml:space="preserve">Dinâmico)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Dinâmica Pupilar Dia/Noite" title="" id="71" name="Picture"/>
            <a:graphic>
              <a:graphicData uri="http://schemas.openxmlformats.org/drawingml/2006/picture">
                <pic:pic>
                  <pic:nvPicPr>
                    <pic:cNvPr descr="figures/chapter5/infographic_5_5_pupil_coupling.md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5.9: O efeito pseudo-acomodativo pupilar. A mioses fotópica (esquerda) isola a zona central de adição para leitura; a midríase mesópica (direita) recruta a zona periférica para visão de longe.</w:t>
      </w:r>
    </w:p>
    <w:bookmarkEnd w:id="73"/>
    <w:bookmarkStart w:id="77" w:name="Xbe0c5d888fa71f423e09167d0cc1972a2fc1c35"/>
    <w:p>
      <w:pPr>
        <w:pStyle w:val="Heading3"/>
      </w:pPr>
      <w:r>
        <w:t xml:space="preserve">Infográfico 5.6: Quadrante de Seleção de Candidatos (</w:t>
      </w:r>
      <w:r>
        <w:t xml:space="preserve">“Zona Ideal”</w:t>
      </w:r>
      <w:r>
        <w:t xml:space="preserve">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Matriz de Seleção de Pacientes" title="" id="75" name="Picture"/>
            <a:graphic>
              <a:graphicData uri="http://schemas.openxmlformats.org/drawingml/2006/picture">
                <pic:pic>
                  <pic:nvPicPr>
                    <pic:cNvPr descr="figures/chapter5/infographic_5_6_selection_quadrant.md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5.10: Matriz de risco pré-operatório. A zona verde representa a</w:t>
      </w:r>
      <w:r>
        <w:rPr>
          <w:i/>
          <w:iCs/>
        </w:rPr>
        <w:t xml:space="preserve"> </w:t>
      </w:r>
      <w:r>
        <w:rPr>
          <w:i/>
          <w:iCs/>
        </w:rPr>
        <w:t xml:space="preserve">“Sweet Spot”</w:t>
      </w:r>
      <w:r>
        <w:rPr>
          <w:i/>
          <w:iCs/>
        </w:rPr>
        <w:t xml:space="preserve"> </w:t>
      </w:r>
      <w:r>
        <w:rPr>
          <w:i/>
          <w:iCs/>
        </w:rPr>
        <w:t xml:space="preserve">biomecânica e óptica. Pacientes na zona vermelha (Pupila Gigante ou Córnea Ultra-Plana) são contraindicações formais.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Capítulo 5 está agora COMPLETO</w:t>
      </w:r>
      <w:r>
        <w:t xml:space="preserve">, com:</w:t>
      </w:r>
      <w:r>
        <w:t xml:space="preserve"> </w:t>
      </w:r>
      <w:r>
        <w:t xml:space="preserve">- ✅ Algoritmo matemático de Ghenassia completo</w:t>
      </w:r>
      <w:r>
        <w:t xml:space="preserve"> </w:t>
      </w:r>
      <w:r>
        <w:t xml:space="preserve">- ✅ Nomogramas práticos (hipermetropia, miopia, idade)</w:t>
      </w:r>
      <w:r>
        <w:t xml:space="preserve"> </w:t>
      </w:r>
      <w:r>
        <w:t xml:space="preserve">- ✅ Protocolo cirúrgico Wavelight detalhado</w:t>
      </w:r>
      <w:r>
        <w:t xml:space="preserve"> </w:t>
      </w:r>
      <w:r>
        <w:t xml:space="preserve">- ✅ Estratégia bilateral (dominante vs. não-dominante)</w:t>
      </w:r>
      <w:r>
        <w:t xml:space="preserve"> </w:t>
      </w:r>
      <w:r>
        <w:t xml:space="preserve">- ✅ Gestão pós-operatória e troubleshooting</w:t>
      </w:r>
      <w:r>
        <w:t xml:space="preserve"> </w:t>
      </w:r>
      <w:r>
        <w:t xml:space="preserve">- ✅ Transferência para outras plataformas</w:t>
      </w:r>
      <w:r>
        <w:t xml:space="preserve"> </w:t>
      </w:r>
      <w:r>
        <w:t xml:space="preserve">- ✅ 13 Referências bibliográficas</w:t>
      </w:r>
      <w:r>
        <w:t xml:space="preserve"> </w:t>
      </w:r>
      <w:r>
        <w:t xml:space="preserve">- ✅ 5 Figuras integradas + 6 Sugestões de Infográficos Clínicos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54" Target="media/rId54.md" /><Relationship Type="http://schemas.openxmlformats.org/officeDocument/2006/relationships/image" Id="rId58" Target="media/rId58.md" /><Relationship Type="http://schemas.openxmlformats.org/officeDocument/2006/relationships/image" Id="rId62" Target="media/rId62.md" /><Relationship Type="http://schemas.openxmlformats.org/officeDocument/2006/relationships/image" Id="rId66" Target="media/rId66.md" /><Relationship Type="http://schemas.openxmlformats.org/officeDocument/2006/relationships/image" Id="rId70" Target="media/rId70.md" /><Relationship Type="http://schemas.openxmlformats.org/officeDocument/2006/relationships/image" Id="rId74" Target="media/rId74.md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35" Target="media/rId35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2026-01-06T17:05:10Z</dcterms:created>
  <dcterms:modified xsi:type="dcterms:W3CDTF">2026-01-06T17:05:10Z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