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md" ContentType="text/markdown"/>
  <Override PartName="/word/media/rId44.md" ContentType="text/markdown"/>
  <Override PartName="/word/media/rId48.md" ContentType="text/markdown"/>
  <Override PartName="/word/media/rId52.md" ContentType="text/markdown"/>
  <Override PartName="/word/media/rId56.md" ContentType="text/markdown"/>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1" w:name="Xdaabac5174aff5f789e12c7dd0dd73d2105ed82"/>
    <w:p>
      <w:pPr>
        <w:pStyle w:val="Heading1"/>
      </w:pPr>
      <w:r>
        <w:t xml:space="preserve">Capítulo 7: PRESBYOND (Zeiss) - Laser Blended Vision</w:t>
      </w:r>
    </w:p>
    <w:p>
      <w:pPr>
        <w:pStyle w:val="BlockText"/>
      </w:pPr>
      <w:r>
        <w:t xml:space="preserve">[!NOTE]</w:t>
      </w:r>
      <w:r>
        <w:t xml:space="preserve"> </w:t>
      </w:r>
      <w:r>
        <w:rPr>
          <w:b/>
          <w:bCs/>
        </w:rPr>
        <w:t xml:space="preserve">Definição do Conceito:</w:t>
      </w:r>
      <w:r>
        <w:t xml:space="preserve"> </w:t>
      </w:r>
      <w:r>
        <w:t xml:space="preserve">PRESBYOND Laser Blended Vision (LBV) é uma estratégia proprietária da Carl Zeiss Meditec (plataforma MEL 90) que representa uma abordagem filosoficamente distinta das técnicas multifocais analisadas nos capítulos anteriores. Em vez de criar zonas ópticas discretas (PresbyMAX) ou induzir aberração esférica negativa bilateral (Custom-Q), o PRESBYOND utiliza</w:t>
      </w:r>
      <w:r>
        <w:t xml:space="preserve"> </w:t>
      </w:r>
      <w:r>
        <w:rPr>
          <w:b/>
          <w:bCs/>
        </w:rPr>
        <w:t xml:space="preserve">micro-monovisão asférica otimizada</w:t>
      </w:r>
      <w:r>
        <w:t xml:space="preserve"> </w:t>
      </w:r>
      <w:r>
        <w:t xml:space="preserve">combinada com uma zona de</w:t>
      </w:r>
      <w:r>
        <w:t xml:space="preserve"> </w:t>
      </w:r>
      <w:r>
        <w:t xml:space="preserve">“blend”</w:t>
      </w:r>
      <w:r>
        <w:t xml:space="preserve"> </w:t>
      </w:r>
      <w:r>
        <w:t xml:space="preserve">(mistura) projetada para maximizar fusão binocular e minimizar a percepção de anisometropia. [1,2]</w:t>
      </w:r>
    </w:p>
    <w:bookmarkStart w:id="13" w:name="X92b007be03a066adae62b4cedbc5e47f5f6c977"/>
    <w:p>
      <w:pPr>
        <w:pStyle w:val="Heading2"/>
      </w:pPr>
      <w:r>
        <w:t xml:space="preserve">7.1. A Filosofia</w:t>
      </w:r>
      <w:r>
        <w:t xml:space="preserve"> </w:t>
      </w:r>
      <w:r>
        <w:t xml:space="preserve">“Blended Vision”</w:t>
      </w:r>
      <w:r>
        <w:t xml:space="preserve">: Monovisão Reimaginada</w:t>
      </w:r>
    </w:p>
    <w:bookmarkStart w:id="9" w:name="limitações-da-monovisão-clássica"/>
    <w:p>
      <w:pPr>
        <w:pStyle w:val="Heading3"/>
      </w:pPr>
      <w:r>
        <w:t xml:space="preserve">7.1.1. Limitações da Monovisão Clássica</w:t>
      </w:r>
    </w:p>
    <w:p>
      <w:pPr>
        <w:pStyle w:val="FirstParagraph"/>
      </w:pPr>
      <w:r>
        <w:t xml:space="preserve">A monovisão tradicional (desenvolvida inicialmente para lentes de contacto nos anos 1980) baseia-se num princípio simples mas biologicamente problemático:</w:t>
      </w:r>
    </w:p>
    <w:p>
      <w:pPr>
        <w:pStyle w:val="BodyText"/>
      </w:pPr>
      <w:r>
        <w:rPr>
          <w:b/>
          <w:bCs/>
        </w:rPr>
        <w:t xml:space="preserve">Conceito Clássico:</w:t>
      </w:r>
      <w:r>
        <w:t xml:space="preserve"> </w:t>
      </w:r>
      <w:r>
        <w:t xml:space="preserve">-</w:t>
      </w:r>
      <w:r>
        <w:t xml:space="preserve"> </w:t>
      </w:r>
      <w:r>
        <w:rPr>
          <w:b/>
          <w:bCs/>
        </w:rPr>
        <w:t xml:space="preserve">Olho dominante:</w:t>
      </w:r>
      <w:r>
        <w:t xml:space="preserve"> </w:t>
      </w:r>
      <w:r>
        <w:t xml:space="preserve">Corrigido para emetropia (0.00 D) → Visão de longe</w:t>
      </w:r>
      <w:r>
        <w:t xml:space="preserve"> </w:t>
      </w:r>
      <w:r>
        <w:t xml:space="preserve">-</w:t>
      </w:r>
      <w:r>
        <w:t xml:space="preserve"> </w:t>
      </w:r>
      <w:r>
        <w:rPr>
          <w:b/>
          <w:bCs/>
        </w:rPr>
        <w:t xml:space="preserve">Olho não-dominante:</w:t>
      </w:r>
      <w:r>
        <w:t xml:space="preserve"> </w:t>
      </w:r>
      <w:r>
        <w:t xml:space="preserve">Deixado míope (-1.50 a -2.50 D) → Visão de perto</w:t>
      </w:r>
      <w:r>
        <w:t xml:space="preserve"> </w:t>
      </w:r>
      <w:r>
        <w:t xml:space="preserve">-</w:t>
      </w:r>
      <w:r>
        <w:t xml:space="preserve"> </w:t>
      </w:r>
      <w:r>
        <w:rPr>
          <w:b/>
          <w:bCs/>
        </w:rPr>
        <w:t xml:space="preserve">Anisometropia induzida:</w:t>
      </w:r>
      <w:r>
        <w:t xml:space="preserve"> </w:t>
      </w:r>
      <w:r>
        <w:t xml:space="preserve">1.50-2.50 D</w:t>
      </w:r>
    </w:p>
    <w:p>
      <w:pPr>
        <w:pStyle w:val="BodyText"/>
      </w:pPr>
      <w:r>
        <w:rPr>
          <w:b/>
          <w:bCs/>
        </w:rPr>
        <w:t xml:space="preserve">Problemas Bem Documentados:</w:t>
      </w:r>
    </w:p>
    <w:p>
      <w:pPr>
        <w:pStyle w:val="Compact"/>
        <w:numPr>
          <w:ilvl w:val="0"/>
          <w:numId w:val="1001"/>
        </w:numPr>
      </w:pPr>
      <w:r>
        <w:rPr>
          <w:b/>
          <w:bCs/>
        </w:rPr>
        <w:t xml:space="preserve">Rivalidade Binocular e Supressão:</w:t>
      </w:r>
    </w:p>
    <w:p>
      <w:pPr>
        <w:pStyle w:val="Compact"/>
        <w:numPr>
          <w:ilvl w:val="1"/>
          <w:numId w:val="1002"/>
        </w:numPr>
      </w:pPr>
      <w:r>
        <w:t xml:space="preserve">O cérebro recebe duas imagens simultaneamente incompatíveis</w:t>
      </w:r>
    </w:p>
    <w:p>
      <w:pPr>
        <w:pStyle w:val="Compact"/>
        <w:numPr>
          <w:ilvl w:val="1"/>
          <w:numId w:val="1002"/>
        </w:numPr>
      </w:pPr>
      <w:r>
        <w:t xml:space="preserve">Em longe: Imagem nítida (OD) compete com imagem muito desfocada (OE)</w:t>
      </w:r>
    </w:p>
    <w:p>
      <w:pPr>
        <w:pStyle w:val="Compact"/>
        <w:numPr>
          <w:ilvl w:val="1"/>
          <w:numId w:val="1002"/>
        </w:numPr>
      </w:pPr>
      <w:r>
        <w:t xml:space="preserve">Em perto: Imagem nítida (OE) compete com imagem desfocada (OD)</w:t>
      </w:r>
    </w:p>
    <w:p>
      <w:pPr>
        <w:pStyle w:val="Compact"/>
        <w:numPr>
          <w:ilvl w:val="1"/>
          <w:numId w:val="1002"/>
        </w:numPr>
      </w:pPr>
      <w:r>
        <w:t xml:space="preserve">Mecanismo cortical: Supressão ativa da imagem desfocada → Custo energético neural</w:t>
      </w:r>
    </w:p>
    <w:p>
      <w:pPr>
        <w:pStyle w:val="Compact"/>
        <w:numPr>
          <w:ilvl w:val="0"/>
          <w:numId w:val="1001"/>
        </w:numPr>
      </w:pPr>
      <w:r>
        <w:rPr>
          <w:b/>
          <w:bCs/>
        </w:rPr>
        <w:t xml:space="preserve">Perda de Estereopsia:</w:t>
      </w:r>
    </w:p>
    <w:p>
      <w:pPr>
        <w:pStyle w:val="Compact"/>
        <w:numPr>
          <w:ilvl w:val="1"/>
          <w:numId w:val="1003"/>
        </w:numPr>
      </w:pPr>
      <w:r>
        <w:t xml:space="preserve">Visão estereoscópica (percepção de profundidade) requer fusão binocular</w:t>
      </w:r>
    </w:p>
    <w:p>
      <w:pPr>
        <w:pStyle w:val="Compact"/>
        <w:numPr>
          <w:ilvl w:val="1"/>
          <w:numId w:val="1003"/>
        </w:numPr>
      </w:pPr>
      <w:r>
        <w:t xml:space="preserve">Anisometropia &gt;1.00 D degrada estereopsia significativamente</w:t>
      </w:r>
    </w:p>
    <w:p>
      <w:pPr>
        <w:pStyle w:val="Compact"/>
        <w:numPr>
          <w:ilvl w:val="1"/>
          <w:numId w:val="1003"/>
        </w:numPr>
      </w:pPr>
      <w:r>
        <w:t xml:space="preserve">Estudos com Worth 4-dot test: 25-35% mostram supressão monocular intermitente [3]</w:t>
      </w:r>
    </w:p>
    <w:p>
      <w:pPr>
        <w:pStyle w:val="Compact"/>
        <w:numPr>
          <w:ilvl w:val="0"/>
          <w:numId w:val="1001"/>
        </w:numPr>
      </w:pPr>
      <w:r>
        <w:rPr>
          <w:b/>
          <w:bCs/>
        </w:rPr>
        <w:t xml:space="preserve">Taxa de Intolerância:</w:t>
      </w:r>
    </w:p>
    <w:p>
      <w:pPr>
        <w:pStyle w:val="Compact"/>
        <w:numPr>
          <w:ilvl w:val="1"/>
          <w:numId w:val="1004"/>
        </w:numPr>
      </w:pPr>
      <w:r>
        <w:t xml:space="preserve">Literatura: 10-20% dos pacientes não toleram monovisão</w:t>
      </w:r>
    </w:p>
    <w:p>
      <w:pPr>
        <w:pStyle w:val="Compact"/>
        <w:numPr>
          <w:ilvl w:val="1"/>
          <w:numId w:val="1004"/>
        </w:numPr>
      </w:pPr>
      <w:r>
        <w:t xml:space="preserve">Sintomas: Tontura, náusea, dificuldade em escadas, problemas com condução</w:t>
      </w:r>
    </w:p>
    <w:p>
      <w:pPr>
        <w:pStyle w:val="Compact"/>
        <w:numPr>
          <w:ilvl w:val="0"/>
          <w:numId w:val="1001"/>
        </w:numPr>
      </w:pPr>
      <w:r>
        <w:rPr>
          <w:b/>
          <w:bCs/>
        </w:rPr>
        <w:t xml:space="preserve">Limitação em Visão Intermediária:</w:t>
      </w:r>
    </w:p>
    <w:p>
      <w:pPr>
        <w:pStyle w:val="Compact"/>
        <w:numPr>
          <w:ilvl w:val="1"/>
          <w:numId w:val="1005"/>
        </w:numPr>
      </w:pPr>
      <w:r>
        <w:t xml:space="preserve">Nenhum dos dois olhos está focado a 60-80 cm (computador, painel de carro)</w:t>
      </w:r>
    </w:p>
    <w:p>
      <w:pPr>
        <w:pStyle w:val="Compact"/>
        <w:numPr>
          <w:ilvl w:val="1"/>
          <w:numId w:val="1005"/>
        </w:numPr>
      </w:pPr>
      <w:r>
        <w:t xml:space="preserve">“Gap”</w:t>
      </w:r>
      <w:r>
        <w:t xml:space="preserve"> </w:t>
      </w:r>
      <w:r>
        <w:t xml:space="preserve">visual problemático para profissões modernas</w:t>
      </w:r>
    </w:p>
    <w:bookmarkEnd w:id="9"/>
    <w:bookmarkStart w:id="12" w:name="o-conceito-reinstein-blend-zone"/>
    <w:p>
      <w:pPr>
        <w:pStyle w:val="Heading3"/>
      </w:pPr>
      <w:r>
        <w:t xml:space="preserve">7.1.2. O Conceito Reinstein:</w:t>
      </w:r>
      <w:r>
        <w:t xml:space="preserve"> </w:t>
      </w:r>
      <w:r>
        <w:t xml:space="preserve">“Blend Zone”</w:t>
      </w:r>
    </w:p>
    <w:p>
      <w:pPr>
        <w:pStyle w:val="FirstParagraph"/>
      </w:pPr>
      <w:r>
        <w:t xml:space="preserve">Dan Reinstein (London Vision Clinic, UK) desenvolveu o conceito PRESBYOND baseado em dois pilares inovadores:</w:t>
      </w:r>
    </w:p>
    <w:bookmarkStart w:id="10" w:name="X4f74823a92a3b6620c2bf629d1cbdd7d39bdb4c"/>
    <w:p>
      <w:pPr>
        <w:pStyle w:val="Heading4"/>
      </w:pPr>
      <w:r>
        <w:t xml:space="preserve">Pilar 1: Micro-Monovisão (Anisometropia Reduzida)</w:t>
      </w:r>
    </w:p>
    <w:p>
      <w:pPr>
        <w:pStyle w:val="FirstParagraph"/>
      </w:pPr>
      <w:r>
        <w:rPr>
          <w:b/>
          <w:bCs/>
        </w:rPr>
        <w:t xml:space="preserve">Target Refrativo:</w:t>
      </w:r>
      <w:r>
        <w:t xml:space="preserve"> </w:t>
      </w:r>
      <w:r>
        <w:t xml:space="preserve">-</w:t>
      </w:r>
      <w:r>
        <w:t xml:space="preserve"> </w:t>
      </w:r>
      <w:r>
        <w:rPr>
          <w:b/>
          <w:bCs/>
        </w:rPr>
        <w:t xml:space="preserve">Olho dominante:</w:t>
      </w:r>
      <w:r>
        <w:t xml:space="preserve"> </w:t>
      </w:r>
      <w:r>
        <w:t xml:space="preserve">+0.50 D (ligeiramente hipermétrope)</w:t>
      </w:r>
      <w:r>
        <w:t xml:space="preserve"> </w:t>
      </w:r>
      <w:r>
        <w:t xml:space="preserve">-</w:t>
      </w:r>
      <w:r>
        <w:t xml:space="preserve"> </w:t>
      </w:r>
      <w:r>
        <w:rPr>
          <w:b/>
          <w:bCs/>
        </w:rPr>
        <w:t xml:space="preserve">Olho não-dominante:</w:t>
      </w:r>
      <w:r>
        <w:t xml:space="preserve"> </w:t>
      </w:r>
      <w:r>
        <w:t xml:space="preserve">-1.00 a -1.25 D (miopia moderada)</w:t>
      </w:r>
      <w:r>
        <w:t xml:space="preserve"> </w:t>
      </w:r>
      <w:r>
        <w:t xml:space="preserve">-</w:t>
      </w:r>
      <w:r>
        <w:t xml:space="preserve"> </w:t>
      </w:r>
      <w:r>
        <w:rPr>
          <w:b/>
          <w:bCs/>
        </w:rPr>
        <w:t xml:space="preserve">Anisometropia total:</w:t>
      </w:r>
      <w:r>
        <w:t xml:space="preserve"> </w:t>
      </w:r>
      <w:r>
        <w:t xml:space="preserve">~1.50-1.75 D (vs. 2.00-2.50 D monovisão clássica)</w:t>
      </w:r>
    </w:p>
    <w:p>
      <w:pPr>
        <w:pStyle w:val="BodyText"/>
      </w:pPr>
      <w:r>
        <w:rPr>
          <w:b/>
          <w:bCs/>
        </w:rPr>
        <w:t xml:space="preserve">Vantagem:</w:t>
      </w:r>
      <w:r>
        <w:br/>
      </w:r>
      <w:r>
        <w:t xml:space="preserve">Anisometropia &lt;1.75 D permite fusão binocular parcial em vez de supressão total.</w:t>
      </w:r>
    </w:p>
    <w:bookmarkEnd w:id="10"/>
    <w:bookmarkStart w:id="11" w:name="Xd6c362fd3a3b0a210a201f5575e89566c0973d8"/>
    <w:p>
      <w:pPr>
        <w:pStyle w:val="Heading4"/>
      </w:pPr>
      <w:r>
        <w:t xml:space="preserve">Pilar 2: Perfil Asférico</w:t>
      </w:r>
      <w:r>
        <w:t xml:space="preserve"> </w:t>
      </w:r>
      <w:r>
        <w:t xml:space="preserve">“Blended”</w:t>
      </w:r>
      <w:r>
        <w:t xml:space="preserve"> </w:t>
      </w:r>
      <w:r>
        <w:t xml:space="preserve">(Zona de Fusão Óptica)</w:t>
      </w:r>
    </w:p>
    <w:p>
      <w:pPr>
        <w:pStyle w:val="FirstParagraph"/>
      </w:pPr>
      <w:r>
        <w:rPr>
          <w:b/>
          <w:bCs/>
        </w:rPr>
        <w:t xml:space="preserve">Conceito Revolucionário:</w:t>
      </w:r>
    </w:p>
    <w:p>
      <w:pPr>
        <w:pStyle w:val="BodyText"/>
      </w:pPr>
      <w:r>
        <w:t xml:space="preserve">Em vez de criar dois olhos com perfis standard (esféricos ou simplesmente asféricos), o PRESBYOND modifica</w:t>
      </w:r>
      <w:r>
        <w:t xml:space="preserve"> </w:t>
      </w:r>
      <w:r>
        <w:rPr>
          <w:b/>
          <w:bCs/>
        </w:rPr>
        <w:t xml:space="preserve">ambos os olhos</w:t>
      </w:r>
      <w:r>
        <w:t xml:space="preserve"> </w:t>
      </w:r>
      <w:r>
        <w:t xml:space="preserve">com perfis asféricos complementares que criam uma:</w:t>
      </w:r>
    </w:p>
    <w:p>
      <w:pPr>
        <w:pStyle w:val="BodyText"/>
      </w:pPr>
      <w:r>
        <w:rPr>
          <w:b/>
          <w:bCs/>
        </w:rPr>
        <w:t xml:space="preserve">“Blend Zone”</w:t>
      </w:r>
      <w:r>
        <w:rPr>
          <w:b/>
          <w:bCs/>
        </w:rPr>
        <w:t xml:space="preserve"> </w:t>
      </w:r>
      <w:r>
        <w:rPr>
          <w:b/>
          <w:bCs/>
        </w:rPr>
        <w:t xml:space="preserve">(Zona de Mistura):</w:t>
      </w:r>
      <w:r>
        <w:br/>
      </w:r>
      <w:r>
        <w:t xml:space="preserve">Região de distâncias focais (40-80 cm) onde</w:t>
      </w:r>
      <w:r>
        <w:t xml:space="preserve"> </w:t>
      </w:r>
      <w:r>
        <w:rPr>
          <w:b/>
          <w:bCs/>
        </w:rPr>
        <w:t xml:space="preserve">ambos os olhos contribuem simultaneamente</w:t>
      </w:r>
      <w:r>
        <w:t xml:space="preserve"> </w:t>
      </w:r>
      <w:r>
        <w:t xml:space="preserve">com imagens parcialmente focadas que o cérebro funde numa imagem binocular funcional.</w:t>
      </w:r>
    </w:p>
    <w:p>
      <w:pPr>
        <w:pStyle w:val="BodyText"/>
      </w:pPr>
      <w:r>
        <w:rPr>
          <w:b/>
          <w:bCs/>
        </w:rPr>
        <w:t xml:space="preserve">Mecanismo Óptico:</w:t>
      </w:r>
    </w:p>
    <w:p>
      <w:pPr>
        <w:pStyle w:val="Compact"/>
        <w:numPr>
          <w:ilvl w:val="0"/>
          <w:numId w:val="1006"/>
        </w:numPr>
      </w:pPr>
      <w:r>
        <w:rPr>
          <w:b/>
          <w:bCs/>
        </w:rPr>
        <w:t xml:space="preserve">Olho dominante (+0.50 D):</w:t>
      </w:r>
    </w:p>
    <w:p>
      <w:pPr>
        <w:pStyle w:val="Compact"/>
        <w:numPr>
          <w:ilvl w:val="1"/>
          <w:numId w:val="1007"/>
        </w:numPr>
      </w:pPr>
      <w:r>
        <w:t xml:space="preserve">SA negativa ligeira induzida (-0.20 μm)</w:t>
      </w:r>
    </w:p>
    <w:p>
      <w:pPr>
        <w:pStyle w:val="Compact"/>
        <w:numPr>
          <w:ilvl w:val="1"/>
          <w:numId w:val="1007"/>
        </w:numPr>
      </w:pPr>
      <w:r>
        <w:t xml:space="preserve">Cria EDOF que estende foco de infinito até ~80 cm</w:t>
      </w:r>
    </w:p>
    <w:p>
      <w:pPr>
        <w:pStyle w:val="Compact"/>
        <w:numPr>
          <w:ilvl w:val="1"/>
          <w:numId w:val="1007"/>
        </w:numPr>
      </w:pPr>
      <w:r>
        <w:t xml:space="preserve">Contribui para visão intermediária e longe</w:t>
      </w:r>
    </w:p>
    <w:p>
      <w:pPr>
        <w:pStyle w:val="Compact"/>
        <w:numPr>
          <w:ilvl w:val="0"/>
          <w:numId w:val="1006"/>
        </w:numPr>
      </w:pPr>
      <w:r>
        <w:rPr>
          <w:b/>
          <w:bCs/>
        </w:rPr>
        <w:t xml:space="preserve">Olho não-dominante (-1.25 D):</w:t>
      </w:r>
    </w:p>
    <w:p>
      <w:pPr>
        <w:pStyle w:val="Compact"/>
        <w:numPr>
          <w:ilvl w:val="1"/>
          <w:numId w:val="1008"/>
        </w:numPr>
      </w:pPr>
      <w:r>
        <w:t xml:space="preserve">SA negativa moderada (-0.35 μm)</w:t>
      </w:r>
    </w:p>
    <w:p>
      <w:pPr>
        <w:pStyle w:val="Compact"/>
        <w:numPr>
          <w:ilvl w:val="1"/>
          <w:numId w:val="1008"/>
        </w:numPr>
      </w:pPr>
      <w:r>
        <w:t xml:space="preserve">Cria EDOF que estende foco de 33 cm até ~100 cm</w:t>
      </w:r>
    </w:p>
    <w:p>
      <w:pPr>
        <w:pStyle w:val="Compact"/>
        <w:numPr>
          <w:ilvl w:val="1"/>
          <w:numId w:val="1008"/>
        </w:numPr>
      </w:pPr>
      <w:r>
        <w:t xml:space="preserve">Contribui para visão de perto e intermediária</w:t>
      </w:r>
    </w:p>
    <w:p>
      <w:pPr>
        <w:pStyle w:val="FirstParagraph"/>
      </w:pPr>
      <w:r>
        <w:rPr>
          <w:b/>
          <w:bCs/>
        </w:rPr>
        <w:t xml:space="preserve">Sobreposição (Blend):</w:t>
      </w:r>
      <w:r>
        <w:br/>
      </w:r>
      <w:r>
        <w:t xml:space="preserve">As zonas de EDOF dos dois olhos sobrepõem-se na região 60-100 cm (intermediária), criando:</w:t>
      </w:r>
      <w:r>
        <w:t xml:space="preserve"> </w:t>
      </w:r>
      <w:r>
        <w:t xml:space="preserve">-</w:t>
      </w:r>
      <w:r>
        <w:t xml:space="preserve"> </w:t>
      </w:r>
      <w:r>
        <w:rPr>
          <w:b/>
          <w:bCs/>
        </w:rPr>
        <w:t xml:space="preserve">Fusão binocular ativa</w:t>
      </w:r>
      <w:r>
        <w:t xml:space="preserve"> </w:t>
      </w:r>
      <w:r>
        <w:t xml:space="preserve">(não supressão)</w:t>
      </w:r>
      <w:r>
        <w:t xml:space="preserve"> </w:t>
      </w:r>
      <w:r>
        <w:t xml:space="preserve">-</w:t>
      </w:r>
      <w:r>
        <w:t xml:space="preserve"> </w:t>
      </w:r>
      <w:r>
        <w:rPr>
          <w:b/>
          <w:bCs/>
        </w:rPr>
        <w:t xml:space="preserve">Estereopsia preservada</w:t>
      </w:r>
      <w:r>
        <w:t xml:space="preserve"> </w:t>
      </w:r>
      <w:r>
        <w:t xml:space="preserve">nesta zona crítica</w:t>
      </w:r>
      <w:r>
        <w:t xml:space="preserve"> </w:t>
      </w:r>
      <w:r>
        <w:t xml:space="preserve">-</w:t>
      </w:r>
      <w:r>
        <w:t xml:space="preserve"> </w:t>
      </w:r>
      <w:r>
        <w:rPr>
          <w:b/>
          <w:bCs/>
        </w:rPr>
        <w:t xml:space="preserve">Transição suave</w:t>
      </w:r>
      <w:r>
        <w:t xml:space="preserve"> </w:t>
      </w:r>
      <w:r>
        <w:t xml:space="preserve">entre visão de longe e perto</w:t>
      </w:r>
    </w:p>
    <w:p>
      <w:r>
        <w:pict>
          <v:rect style="width:0;height:1.5pt" o:hralign="center" o:hrstd="t" o:hr="t"/>
        </w:pict>
      </w:r>
    </w:p>
    <w:bookmarkEnd w:id="11"/>
    <w:bookmarkEnd w:id="12"/>
    <w:bookmarkEnd w:id="13"/>
    <w:bookmarkStart w:id="16" w:name="matemática-e-óptica-do-blend"/>
    <w:p>
      <w:pPr>
        <w:pStyle w:val="Heading2"/>
      </w:pPr>
      <w:r>
        <w:t xml:space="preserve">7.2. Matemática e Óptica do Blend</w:t>
      </w:r>
    </w:p>
    <w:bookmarkStart w:id="14" w:name="X69b9ef896150b7ab34845a3253ad74cb8f90ac6"/>
    <w:p>
      <w:pPr>
        <w:pStyle w:val="Heading3"/>
      </w:pPr>
      <w:r>
        <w:t xml:space="preserve">7.2.1. Cálculo de Profundidade de Campo Combinada</w:t>
      </w:r>
    </w:p>
    <w:p>
      <w:pPr>
        <w:pStyle w:val="FirstParagraph"/>
      </w:pPr>
      <w:r>
        <w:t xml:space="preserve">A profundidade de campo (DoF) efetiva em PRESBYOND é</w:t>
      </w:r>
      <w:r>
        <w:t xml:space="preserve"> </w:t>
      </w:r>
      <w:r>
        <w:rPr>
          <w:b/>
          <w:bCs/>
        </w:rPr>
        <w:t xml:space="preserve">não-aditiva linear</w:t>
      </w:r>
      <w:r>
        <w:t xml:space="preserve">, mas segue um modelo de</w:t>
      </w:r>
      <w:r>
        <w:t xml:space="preserve"> </w:t>
      </w:r>
      <w:r>
        <w:rPr>
          <w:b/>
          <w:bCs/>
        </w:rPr>
        <w:t xml:space="preserve">somação binocular ponderada</w:t>
      </w:r>
      <w:r>
        <w:t xml:space="preserve">.</w:t>
      </w:r>
    </w:p>
    <w:p>
      <w:pPr>
        <w:pStyle w:val="BodyText"/>
      </w:pPr>
      <w:r>
        <w:rPr>
          <w:b/>
          <w:bCs/>
        </w:rPr>
        <w:t xml:space="preserve">Modelo Simplificado:</w:t>
      </w:r>
    </w:p>
    <w:p>
      <w:pPr>
        <w:pStyle w:val="BodyText"/>
      </w:pPr>
      <w:r>
        <w:t xml:space="preserve">Para cada olho, a DoF pode ser aproximada por:</w:t>
      </w:r>
    </w:p>
    <w:p>
      <w:pPr>
        <w:pStyle w:val="BodyText"/>
      </w:pPr>
      <m:oMathPara>
        <m:oMathParaPr>
          <m:jc m:val="center"/>
        </m:oMathParaPr>
        <m:oMath>
          <m:r>
            <m:rPr>
              <m:nor/>
              <m:sty m:val="p"/>
            </m:rPr>
            <m:t>DoF</m:t>
          </m:r>
          <m:r>
            <m:rPr>
              <m:sty m:val="p"/>
            </m:rPr>
            <m:t>=</m:t>
          </m:r>
          <m:f>
            <m:fPr>
              <m:type m:val="bar"/>
            </m:fPr>
            <m:num>
              <m:r>
                <m:t>2</m:t>
              </m:r>
              <m:r>
                <m:rPr>
                  <m:sty m:val="p"/>
                </m:rPr>
                <m:t>⋅</m:t>
              </m:r>
              <m:r>
                <m:t>d</m:t>
              </m:r>
              <m:r>
                <m:rPr>
                  <m:sty m:val="p"/>
                </m:rPr>
                <m:t>⋅</m:t>
              </m:r>
              <m:r>
                <m:t>c</m:t>
              </m:r>
            </m:num>
            <m:den>
              <m:sSup>
                <m:e>
                  <m:r>
                    <m:t>f</m:t>
                  </m:r>
                </m:e>
                <m:sup>
                  <m:r>
                    <m:t>2</m:t>
                  </m:r>
                </m:sup>
              </m:sSup>
            </m:den>
          </m:f>
        </m:oMath>
      </m:oMathPara>
    </w:p>
    <w:p>
      <w:pPr>
        <w:pStyle w:val="FirstParagraph"/>
      </w:pPr>
      <w:r>
        <w:t xml:space="preserve">Onde:</w:t>
      </w:r>
      <w:r>
        <w:t xml:space="preserve"> </w:t>
      </w:r>
      <w:r>
        <w:t xml:space="preserve">-</w:t>
      </w:r>
      <w:r>
        <w:t xml:space="preserve"> </w:t>
      </w:r>
      <w:r>
        <w:rPr>
          <w:b/>
          <w:bCs/>
        </w:rPr>
        <w:t xml:space="preserve">d:</w:t>
      </w:r>
      <w:r>
        <w:t xml:space="preserve"> </w:t>
      </w:r>
      <w:r>
        <w:t xml:space="preserve">Diâmetro pupilar</w:t>
      </w:r>
      <w:r>
        <w:t xml:space="preserve"> </w:t>
      </w:r>
      <w:r>
        <w:t xml:space="preserve">-</w:t>
      </w:r>
      <w:r>
        <w:t xml:space="preserve"> </w:t>
      </w:r>
      <w:r>
        <w:rPr>
          <w:b/>
          <w:bCs/>
        </w:rPr>
        <w:t xml:space="preserve">c:</w:t>
      </w:r>
      <w:r>
        <w:t xml:space="preserve"> </w:t>
      </w:r>
      <w:r>
        <w:t xml:space="preserve">Círculo de confusão tolerável (~20-30 μm)</w:t>
      </w:r>
      <w:r>
        <w:t xml:space="preserve"> </w:t>
      </w:r>
      <w:r>
        <w:t xml:space="preserve">-</w:t>
      </w:r>
      <w:r>
        <w:t xml:space="preserve"> </w:t>
      </w:r>
      <w:r>
        <w:rPr>
          <w:b/>
          <w:bCs/>
        </w:rPr>
        <w:t xml:space="preserve">f:</w:t>
      </w:r>
      <w:r>
        <w:t xml:space="preserve"> </w:t>
      </w:r>
      <w:r>
        <w:t xml:space="preserve">Distância focal efetiva</w:t>
      </w:r>
    </w:p>
    <w:p>
      <w:pPr>
        <w:pStyle w:val="BodyText"/>
      </w:pPr>
      <w:r>
        <w:rPr>
          <w:b/>
          <w:bCs/>
        </w:rPr>
        <w:t xml:space="preserve">Em PRESBYOND:</w:t>
      </w:r>
    </w:p>
    <w:p>
      <w:pPr>
        <w:pStyle w:val="BodyText"/>
      </w:pPr>
      <w:r>
        <w:rPr>
          <w:b/>
          <w:bCs/>
        </w:rPr>
        <w:t xml:space="preserve">Olho Dominante (OD):</w:t>
      </w:r>
      <w:r>
        <w:t xml:space="preserve"> </w:t>
      </w:r>
      <w:r>
        <w:t xml:space="preserve">- Target: +0.50 D</w:t>
      </w:r>
      <w:r>
        <w:t xml:space="preserve"> </w:t>
      </w:r>
      <w:r>
        <w:t xml:space="preserve">- SA induzida: -0.20 μm</w:t>
      </w:r>
      <w:r>
        <w:t xml:space="preserve"> </w:t>
      </w:r>
      <w:r>
        <w:t xml:space="preserve">- DoF estimada: 2.5-3.0 D (de infinito a ~40 cm)</w:t>
      </w:r>
    </w:p>
    <w:p>
      <w:pPr>
        <w:pStyle w:val="BodyText"/>
      </w:pPr>
      <w:r>
        <w:rPr>
          <w:b/>
          <w:bCs/>
        </w:rPr>
        <w:t xml:space="preserve">Olho Não-Dominante (OE):</w:t>
      </w:r>
      <w:r>
        <w:t xml:space="preserve"> </w:t>
      </w:r>
      <w:r>
        <w:t xml:space="preserve">- Target: -1.25 D</w:t>
      </w:r>
      <w:r>
        <w:t xml:space="preserve"> </w:t>
      </w:r>
      <w:r>
        <w:t xml:space="preserve">- SA induzida: -0.35 μm</w:t>
      </w:r>
      <w:r>
        <w:t xml:space="preserve"> </w:t>
      </w:r>
      <w:r>
        <w:t xml:space="preserve">- DoF estimada: 2.0-2.5 D (de ~33 cm a ~80 cm)</w:t>
      </w:r>
    </w:p>
    <w:p>
      <w:pPr>
        <w:pStyle w:val="BodyText"/>
      </w:pPr>
      <w:r>
        <w:rPr>
          <w:b/>
          <w:bCs/>
        </w:rPr>
        <w:t xml:space="preserve">DoF Binocular Combinada:</w:t>
      </w:r>
    </w:p>
    <w:p>
      <w:pPr>
        <w:pStyle w:val="BodyText"/>
      </w:pPr>
      <m:oMathPara>
        <m:oMathParaPr>
          <m:jc m:val="center"/>
        </m:oMathParaPr>
        <m:oMath>
          <m:sSub>
            <m:e>
              <m:r>
                <m:rPr>
                  <m:nor/>
                  <m:sty m:val="p"/>
                </m:rPr>
                <m:t>DoF</m:t>
              </m:r>
            </m:e>
            <m:sub>
              <m:r>
                <m:rPr>
                  <m:nor/>
                  <m:sty m:val="p"/>
                </m:rPr>
                <m:t>total</m:t>
              </m:r>
            </m:sub>
          </m:sSub>
          <m:r>
            <m:rPr>
              <m:sty m:val="p"/>
            </m:rPr>
            <m:t>≈</m:t>
          </m:r>
          <m:rad>
            <m:radPr>
              <m:degHide m:val="on"/>
            </m:radPr>
            <m:deg/>
            <m:e>
              <m:sSubSup>
                <m:e>
                  <m:r>
                    <m:rPr>
                      <m:nor/>
                      <m:sty m:val="p"/>
                    </m:rPr>
                    <m:t>DoF</m:t>
                  </m:r>
                </m:e>
                <m:sub>
                  <m:r>
                    <m:rPr>
                      <m:nor/>
                      <m:sty m:val="p"/>
                    </m:rPr>
                    <m:t>OD</m:t>
                  </m:r>
                </m:sub>
                <m:sup>
                  <m:r>
                    <m:t>2</m:t>
                  </m:r>
                </m:sup>
              </m:sSubSup>
              <m:r>
                <m:rPr>
                  <m:sty m:val="p"/>
                </m:rPr>
                <m:t>+</m:t>
              </m:r>
              <m:sSubSup>
                <m:e>
                  <m:r>
                    <m:rPr>
                      <m:nor/>
                      <m:sty m:val="p"/>
                    </m:rPr>
                    <m:t>DoF</m:t>
                  </m:r>
                </m:e>
                <m:sub>
                  <m:r>
                    <m:rPr>
                      <m:nor/>
                      <m:sty m:val="p"/>
                    </m:rPr>
                    <m:t>OE</m:t>
                  </m:r>
                </m:sub>
                <m:sup>
                  <m:r>
                    <m:t>2</m:t>
                  </m:r>
                </m:sup>
              </m:sSubSup>
            </m:e>
          </m:rad>
        </m:oMath>
      </m:oMathPara>
    </w:p>
    <w:p>
      <w:pPr>
        <w:pStyle w:val="FirstParagraph"/>
      </w:pPr>
      <m:oMathPara>
        <m:oMathParaPr>
          <m:jc m:val="center"/>
        </m:oMathParaPr>
        <m:oMath>
          <m:sSub>
            <m:e>
              <m:r>
                <m:rPr>
                  <m:nor/>
                  <m:sty m:val="p"/>
                </m:rPr>
                <m:t>DoF</m:t>
              </m:r>
            </m:e>
            <m:sub>
              <m:r>
                <m:rPr>
                  <m:nor/>
                  <m:sty m:val="p"/>
                </m:rPr>
                <m:t>total</m:t>
              </m:r>
            </m:sub>
          </m:sSub>
          <m:r>
            <m:rPr>
              <m:sty m:val="p"/>
            </m:rPr>
            <m:t>≈</m:t>
          </m:r>
          <m:rad>
            <m:radPr>
              <m:degHide m:val="on"/>
            </m:radPr>
            <m:deg/>
            <m:e>
              <m:sSup>
                <m:e>
                  <m:r>
                    <m:t>2.75</m:t>
                  </m:r>
                </m:e>
                <m:sup>
                  <m:r>
                    <m:t>2</m:t>
                  </m:r>
                </m:sup>
              </m:sSup>
              <m:r>
                <m:rPr>
                  <m:sty m:val="p"/>
                </m:rPr>
                <m:t>+</m:t>
              </m:r>
              <m:sSup>
                <m:e>
                  <m:r>
                    <m:t>2.25</m:t>
                  </m:r>
                </m:e>
                <m:sup>
                  <m:r>
                    <m:t>2</m:t>
                  </m:r>
                </m:sup>
              </m:sSup>
            </m:e>
          </m:rad>
          <m:r>
            <m:rPr>
              <m:sty m:val="p"/>
            </m:rPr>
            <m:t>≈</m:t>
          </m:r>
          <m:r>
            <m:t>3.55</m:t>
          </m:r>
          <m:r>
            <m:t> </m:t>
          </m:r>
          <m:r>
            <m:rPr>
              <m:nor/>
              <m:sty m:val="p"/>
            </m:rPr>
            <m:t>D</m:t>
          </m:r>
        </m:oMath>
      </m:oMathPara>
    </w:p>
    <w:p>
      <w:pPr>
        <w:pStyle w:val="FirstParagraph"/>
      </w:pPr>
      <w:r>
        <w:rPr>
          <w:b/>
          <w:bCs/>
        </w:rPr>
        <w:t xml:space="preserve">Resultado:</w:t>
      </w:r>
      <w:r>
        <w:br/>
      </w:r>
      <w:r>
        <w:t xml:space="preserve">Cobertura focal contínua de infinito (~0 D) até 33 cm (~3.0 D), com fusão binocular ótima na zona 60-100 cm.</w:t>
      </w:r>
    </w:p>
    <w:bookmarkEnd w:id="14"/>
    <w:bookmarkStart w:id="15" w:name="a-curva-de-defocus-binocular"/>
    <w:p>
      <w:pPr>
        <w:pStyle w:val="Heading3"/>
      </w:pPr>
      <w:r>
        <w:t xml:space="preserve">7.2.2. A Curva de</w:t>
      </w:r>
      <w:r>
        <w:t xml:space="preserve"> </w:t>
      </w:r>
      <w:r>
        <w:t xml:space="preserve">“Defocus”</w:t>
      </w:r>
      <w:r>
        <w:t xml:space="preserve"> </w:t>
      </w:r>
      <w:r>
        <w:t xml:space="preserve">Binocular</w:t>
      </w:r>
    </w:p>
    <w:p>
      <w:pPr>
        <w:pStyle w:val="FirstParagraph"/>
      </w:pPr>
      <w:r>
        <w:t xml:space="preserve">Estudos de Reinstein utilizaram</w:t>
      </w:r>
      <w:r>
        <w:t xml:space="preserve"> </w:t>
      </w:r>
      <w:r>
        <w:rPr>
          <w:b/>
          <w:bCs/>
        </w:rPr>
        <w:t xml:space="preserve">curvas de defocus</w:t>
      </w:r>
      <w:r>
        <w:t xml:space="preserve"> </w:t>
      </w:r>
      <w:r>
        <w:t xml:space="preserve">para demonstrar o benefício do blend:</w:t>
      </w:r>
    </w:p>
    <w:p>
      <w:pPr>
        <w:pStyle w:val="BodyText"/>
      </w:pPr>
      <w:r>
        <w:rPr>
          <w:b/>
          <w:bCs/>
        </w:rPr>
        <w:t xml:space="preserve">Protocolo:</w:t>
      </w:r>
      <w:r>
        <w:t xml:space="preserve"> </w:t>
      </w:r>
      <w:r>
        <w:t xml:space="preserve">- Adicionar lentes positivas/negativas incrementalmente (±0.50 D steps)</w:t>
      </w:r>
      <w:r>
        <w:t xml:space="preserve"> </w:t>
      </w:r>
      <w:r>
        <w:t xml:space="preserve">- Medir BCVA a cada step</w:t>
      </w:r>
      <w:r>
        <w:t xml:space="preserve"> </w:t>
      </w:r>
      <w:r>
        <w:t xml:space="preserve">- Gráfico: Visual Acuity (logMAR) vs. Defocus (D)</w:t>
      </w:r>
    </w:p>
    <w:p>
      <w:pPr>
        <w:pStyle w:val="BodyText"/>
      </w:pPr>
      <w:r>
        <w:rPr>
          <w:b/>
          <w:bCs/>
        </w:rPr>
        <w:t xml:space="preserve">Resultados PRESBYOND vs. Monovisão Standard:</w:t>
      </w:r>
    </w:p>
    <w:tbl>
      <w:tblPr>
        <w:tblStyle w:val="Table"/>
        <w:tblW w:type="pct" w:w="5000"/>
        <w:tblLayout w:type="fixed"/>
        <w:tblLook w:firstRow="1" w:lastRow="0" w:firstColumn="0" w:lastColumn="0" w:noHBand="0" w:noVBand="0" w:val="0020"/>
      </w:tblPr>
      <w:tblGrid>
        <w:gridCol w:w="2071"/>
        <w:gridCol w:w="2315"/>
        <w:gridCol w:w="1827"/>
        <w:gridCol w:w="1705"/>
      </w:tblGrid>
      <w:tr>
        <w:trPr>
          <w:tblHeader w:val="on"/>
        </w:trPr>
        <w:tc>
          <w:tcPr/>
          <w:p>
            <w:pPr>
              <w:pStyle w:val="Compact"/>
            </w:pPr>
            <w:r>
              <w:t xml:space="preserve">Distância Focal</w:t>
            </w:r>
          </w:p>
        </w:tc>
        <w:tc>
          <w:tcPr/>
          <w:p>
            <w:pPr>
              <w:pStyle w:val="Compact"/>
            </w:pPr>
            <w:r>
              <w:t xml:space="preserve">Monovisão Clássica</w:t>
            </w:r>
          </w:p>
        </w:tc>
        <w:tc>
          <w:tcPr/>
          <w:p>
            <w:pPr>
              <w:pStyle w:val="Compact"/>
            </w:pPr>
            <w:r>
              <w:t xml:space="preserve">PRESBYOND LBV</w:t>
            </w:r>
          </w:p>
        </w:tc>
        <w:tc>
          <w:tcPr/>
          <w:p>
            <w:pPr>
              <w:pStyle w:val="Compact"/>
            </w:pPr>
            <w:r>
              <w:t xml:space="preserve">Vantagem LBV</w:t>
            </w:r>
          </w:p>
        </w:tc>
      </w:tr>
      <w:tr>
        <w:tc>
          <w:tcPr/>
          <w:p>
            <w:pPr>
              <w:pStyle w:val="Compact"/>
            </w:pPr>
            <w:r>
              <w:rPr>
                <w:b/>
                <w:bCs/>
              </w:rPr>
              <w:t xml:space="preserve">Infinito (0.00 D)</w:t>
            </w:r>
          </w:p>
        </w:tc>
        <w:tc>
          <w:tcPr/>
          <w:p>
            <w:pPr>
              <w:pStyle w:val="Compact"/>
            </w:pPr>
            <w:r>
              <w:t xml:space="preserve">0.05 logMAR (20/22)</w:t>
            </w:r>
          </w:p>
        </w:tc>
        <w:tc>
          <w:tcPr/>
          <w:p>
            <w:pPr>
              <w:pStyle w:val="Compact"/>
            </w:pPr>
            <w:r>
              <w:rPr>
                <w:b/>
                <w:bCs/>
              </w:rPr>
              <w:t xml:space="preserve">0.00 logMAR (20/20)</w:t>
            </w:r>
          </w:p>
        </w:tc>
        <w:tc>
          <w:tcPr/>
          <w:p>
            <w:pPr>
              <w:pStyle w:val="Compact"/>
            </w:pPr>
            <w:r>
              <w:t xml:space="preserve">+1 linha</w:t>
            </w:r>
          </w:p>
        </w:tc>
      </w:tr>
      <w:tr>
        <w:tc>
          <w:tcPr/>
          <w:p>
            <w:pPr>
              <w:pStyle w:val="Compact"/>
            </w:pPr>
            <w:r>
              <w:rPr>
                <w:b/>
                <w:bCs/>
              </w:rPr>
              <w:t xml:space="preserve">80 cm (-1.25 D)</w:t>
            </w:r>
          </w:p>
        </w:tc>
        <w:tc>
          <w:tcPr/>
          <w:p>
            <w:pPr>
              <w:pStyle w:val="Compact"/>
            </w:pPr>
            <w:r>
              <w:t xml:space="preserve">0.20 logMAR (20/32)</w:t>
            </w:r>
          </w:p>
        </w:tc>
        <w:tc>
          <w:tcPr/>
          <w:p>
            <w:pPr>
              <w:pStyle w:val="Compact"/>
            </w:pPr>
            <w:r>
              <w:rPr>
                <w:b/>
                <w:bCs/>
              </w:rPr>
              <w:t xml:space="preserve">0.10 logMAR (20/25)</w:t>
            </w:r>
          </w:p>
        </w:tc>
        <w:tc>
          <w:tcPr/>
          <w:p>
            <w:pPr>
              <w:pStyle w:val="Compact"/>
            </w:pPr>
            <w:r>
              <w:t xml:space="preserve">+1.5 linhas</w:t>
            </w:r>
          </w:p>
        </w:tc>
      </w:tr>
      <w:tr>
        <w:tc>
          <w:tcPr/>
          <w:p>
            <w:pPr>
              <w:pStyle w:val="Compact"/>
            </w:pPr>
            <w:r>
              <w:rPr>
                <w:b/>
                <w:bCs/>
              </w:rPr>
              <w:t xml:space="preserve">50 cm (-2.00 D)</w:t>
            </w:r>
          </w:p>
        </w:tc>
        <w:tc>
          <w:tcPr/>
          <w:p>
            <w:pPr>
              <w:pStyle w:val="Compact"/>
            </w:pPr>
            <w:r>
              <w:t xml:space="preserve">0.15 logMAR (20/28)</w:t>
            </w:r>
          </w:p>
        </w:tc>
        <w:tc>
          <w:tcPr/>
          <w:p>
            <w:pPr>
              <w:pStyle w:val="Compact"/>
            </w:pPr>
            <w:r>
              <w:rPr>
                <w:b/>
                <w:bCs/>
              </w:rPr>
              <w:t xml:space="preserve">0.08 logMAR (20/24)</w:t>
            </w:r>
          </w:p>
        </w:tc>
        <w:tc>
          <w:tcPr/>
          <w:p>
            <w:pPr>
              <w:pStyle w:val="Compact"/>
            </w:pPr>
            <w:r>
              <w:t xml:space="preserve">+1 linha</w:t>
            </w:r>
          </w:p>
        </w:tc>
      </w:tr>
      <w:tr>
        <w:tc>
          <w:tcPr/>
          <w:p>
            <w:pPr>
              <w:pStyle w:val="Compact"/>
            </w:pPr>
            <w:r>
              <w:rPr>
                <w:b/>
                <w:bCs/>
              </w:rPr>
              <w:t xml:space="preserve">33 cm (-3.00 D)</w:t>
            </w:r>
          </w:p>
        </w:tc>
        <w:tc>
          <w:tcPr/>
          <w:p>
            <w:pPr>
              <w:pStyle w:val="Compact"/>
            </w:pPr>
            <w:r>
              <w:t xml:space="preserve">0.10 logMAR (20/25)</w:t>
            </w:r>
          </w:p>
        </w:tc>
        <w:tc>
          <w:tcPr/>
          <w:p>
            <w:pPr>
              <w:pStyle w:val="Compact"/>
            </w:pPr>
            <w:r>
              <w:t xml:space="preserve">0.12 logMAR (20/26)</w:t>
            </w:r>
          </w:p>
        </w:tc>
        <w:tc>
          <w:tcPr/>
          <w:p>
            <w:pPr>
              <w:pStyle w:val="Compact"/>
            </w:pPr>
            <w:r>
              <w:t xml:space="preserve">Equivalente</w:t>
            </w:r>
          </w:p>
        </w:tc>
      </w:tr>
    </w:tbl>
    <w:p>
      <w:pPr>
        <w:pStyle w:val="BodyText"/>
      </w:pPr>
      <w:r>
        <w:rPr>
          <w:b/>
          <w:bCs/>
        </w:rPr>
        <w:t xml:space="preserve">Conclusão:</w:t>
      </w:r>
      <w:r>
        <w:br/>
      </w:r>
      <w:r>
        <w:t xml:space="preserve">PRESBYOND oferece performance superior em</w:t>
      </w:r>
      <w:r>
        <w:t xml:space="preserve"> </w:t>
      </w:r>
      <w:r>
        <w:rPr>
          <w:b/>
          <w:bCs/>
        </w:rPr>
        <w:t xml:space="preserve">longe e intermediária</w:t>
      </w:r>
      <w:r>
        <w:t xml:space="preserve">, mantendo perto equivalente.</w:t>
      </w:r>
    </w:p>
    <w:p>
      <w:r>
        <w:pict>
          <v:rect style="width:0;height:1.5pt" o:hralign="center" o:hrstd="t" o:hr="t"/>
        </w:pict>
      </w:r>
    </w:p>
    <w:bookmarkEnd w:id="15"/>
    <w:bookmarkEnd w:id="16"/>
    <w:bookmarkStart w:id="22" w:name="Xf895f183cfd07a921588831d57c82897cee4106"/>
    <w:p>
      <w:pPr>
        <w:pStyle w:val="Heading2"/>
      </w:pPr>
      <w:r>
        <w:t xml:space="preserve">7.3. Protocolo Cirúrgico: Plataforma Zeiss MEL 90</w:t>
      </w:r>
    </w:p>
    <w:bookmarkStart w:id="17" w:name="hardware-carl-zeiss-mel-90"/>
    <w:p>
      <w:pPr>
        <w:pStyle w:val="Heading3"/>
      </w:pPr>
      <w:r>
        <w:t xml:space="preserve">7.3.1. Hardware: Carl Zeiss MEL 90</w:t>
      </w:r>
    </w:p>
    <w:p>
      <w:pPr>
        <w:pStyle w:val="FirstParagraph"/>
      </w:pPr>
      <w:r>
        <w:rPr>
          <w:b/>
          <w:bCs/>
        </w:rPr>
        <w:t xml:space="preserve">Especificações Técnicas:</w:t>
      </w:r>
    </w:p>
    <w:p>
      <w:pPr>
        <w:pStyle w:val="Compact"/>
        <w:numPr>
          <w:ilvl w:val="0"/>
          <w:numId w:val="1009"/>
        </w:numPr>
      </w:pPr>
      <w:r>
        <w:rPr>
          <w:b/>
          <w:bCs/>
        </w:rPr>
        <w:t xml:space="preserve">Frequência:</w:t>
      </w:r>
      <w:r>
        <w:t xml:space="preserve"> </w:t>
      </w:r>
      <w:r>
        <w:t xml:space="preserve">500 Hz</w:t>
      </w:r>
    </w:p>
    <w:p>
      <w:pPr>
        <w:pStyle w:val="Compact"/>
        <w:numPr>
          <w:ilvl w:val="0"/>
          <w:numId w:val="1009"/>
        </w:numPr>
      </w:pPr>
      <w:r>
        <w:rPr>
          <w:b/>
          <w:bCs/>
        </w:rPr>
        <w:t xml:space="preserve">Flying Spot:</w:t>
      </w:r>
      <w:r>
        <w:t xml:space="preserve"> </w:t>
      </w:r>
      <w:r>
        <w:t xml:space="preserve">0.7 mm diâmetro (Gaussian beam profile)</w:t>
      </w:r>
    </w:p>
    <w:p>
      <w:pPr>
        <w:pStyle w:val="Compact"/>
        <w:numPr>
          <w:ilvl w:val="0"/>
          <w:numId w:val="1009"/>
        </w:numPr>
      </w:pPr>
      <w:r>
        <w:rPr>
          <w:b/>
          <w:bCs/>
        </w:rPr>
        <w:t xml:space="preserve">Eye-Tracker:</w:t>
      </w:r>
      <w:r>
        <w:t xml:space="preserve"> </w:t>
      </w:r>
      <w:r>
        <w:t xml:space="preserve">1050 Hz, velocidade de resposta &lt;2 ms</w:t>
      </w:r>
    </w:p>
    <w:p>
      <w:pPr>
        <w:pStyle w:val="Compact"/>
        <w:numPr>
          <w:ilvl w:val="0"/>
          <w:numId w:val="1009"/>
        </w:numPr>
      </w:pPr>
      <w:r>
        <w:rPr>
          <w:b/>
          <w:bCs/>
        </w:rPr>
        <w:t xml:space="preserve">Perfil Asférico:</w:t>
      </w:r>
      <w:r>
        <w:t xml:space="preserve"> </w:t>
      </w:r>
      <w:r>
        <w:t xml:space="preserve">“Aberration-Free”</w:t>
      </w:r>
      <w:r>
        <w:t xml:space="preserve"> </w:t>
      </w:r>
      <w:r>
        <w:t xml:space="preserve">otimizado (preserva Q natural em correções standard)</w:t>
      </w:r>
    </w:p>
    <w:p>
      <w:pPr>
        <w:pStyle w:val="Compact"/>
        <w:numPr>
          <w:ilvl w:val="0"/>
          <w:numId w:val="1009"/>
        </w:numPr>
      </w:pPr>
      <w:r>
        <w:rPr>
          <w:b/>
          <w:bCs/>
        </w:rPr>
        <w:t xml:space="preserve">Interface:</w:t>
      </w:r>
      <w:r>
        <w:t xml:space="preserve"> </w:t>
      </w:r>
      <w:r>
        <w:t xml:space="preserve">PresbyMAX mode NÃO disponível (sistema Zeiss é exclusivo PRESBYOND)</w:t>
      </w:r>
    </w:p>
    <w:bookmarkEnd w:id="17"/>
    <w:bookmarkStart w:id="18" w:name="Xe22c1be150ab8ddcb366f02e943b430efdf4ec3"/>
    <w:p>
      <w:pPr>
        <w:pStyle w:val="Heading3"/>
      </w:pPr>
      <w:r>
        <w:t xml:space="preserve">7.3.2. Software PRESBYOND: Inputs e Cálculo Automático</w:t>
      </w:r>
    </w:p>
    <w:p>
      <w:pPr>
        <w:pStyle w:val="FirstParagraph"/>
      </w:pPr>
      <w:r>
        <w:rPr>
          <w:b/>
          <w:bCs/>
        </w:rPr>
        <w:t xml:space="preserve">Interface PresbyMAX Calculator (Software Forum):</w:t>
      </w:r>
    </w:p>
    <w:p>
      <w:pPr>
        <w:pStyle w:val="BodyText"/>
      </w:pPr>
      <w:r>
        <w:t xml:space="preserve">O módulo PRESBYOND no MEL 90 solicita:</w:t>
      </w:r>
    </w:p>
    <w:p>
      <w:pPr>
        <w:pStyle w:val="Compact"/>
        <w:numPr>
          <w:ilvl w:val="0"/>
          <w:numId w:val="1010"/>
        </w:numPr>
      </w:pPr>
      <w:r>
        <w:rPr>
          <w:b/>
          <w:bCs/>
        </w:rPr>
        <w:t xml:space="preserve">Dominância Ocular:</w:t>
      </w:r>
      <w:r>
        <w:t xml:space="preserve"> </w:t>
      </w:r>
      <w:r>
        <w:t xml:space="preserve">Direito / Esquerdo (mandatório)</w:t>
      </w:r>
    </w:p>
    <w:p>
      <w:pPr>
        <w:pStyle w:val="Compact"/>
        <w:numPr>
          <w:ilvl w:val="0"/>
          <w:numId w:val="1010"/>
        </w:numPr>
      </w:pPr>
      <w:r>
        <w:rPr>
          <w:b/>
          <w:bCs/>
        </w:rPr>
        <w:t xml:space="preserve">Refração Pré-Op:</w:t>
      </w:r>
      <w:r>
        <w:t xml:space="preserve"> </w:t>
      </w:r>
      <w:r>
        <w:t xml:space="preserve">Esfera, Cilindro, Eixo (ambos os olhos)</w:t>
      </w:r>
    </w:p>
    <w:p>
      <w:pPr>
        <w:pStyle w:val="Compact"/>
        <w:numPr>
          <w:ilvl w:val="0"/>
          <w:numId w:val="1010"/>
        </w:numPr>
      </w:pPr>
      <w:r>
        <w:rPr>
          <w:b/>
          <w:bCs/>
        </w:rPr>
        <w:t xml:space="preserve">Pupila Mesópica:</w:t>
      </w:r>
      <w:r>
        <w:t xml:space="preserve"> </w:t>
      </w:r>
      <w:r>
        <w:t xml:space="preserve">Auto-detectada ou input manual (mm)</w:t>
      </w:r>
    </w:p>
    <w:p>
      <w:pPr>
        <w:pStyle w:val="Compact"/>
        <w:numPr>
          <w:ilvl w:val="0"/>
          <w:numId w:val="1010"/>
        </w:numPr>
      </w:pPr>
      <w:r>
        <w:rPr>
          <w:b/>
          <w:bCs/>
        </w:rPr>
        <w:t xml:space="preserve">Add Desejada:</w:t>
      </w:r>
      <w:r>
        <w:t xml:space="preserve"> </w:t>
      </w:r>
      <w:r>
        <w:t xml:space="preserve">+1.50 D / +2.00 D / +2.50 D (menu pré-definido)</w:t>
      </w:r>
    </w:p>
    <w:p>
      <w:pPr>
        <w:pStyle w:val="Compact"/>
        <w:numPr>
          <w:ilvl w:val="0"/>
          <w:numId w:val="1010"/>
        </w:numPr>
      </w:pPr>
      <w:r>
        <w:rPr>
          <w:b/>
          <w:bCs/>
        </w:rPr>
        <w:t xml:space="preserve">Idade:</w:t>
      </w:r>
      <w:r>
        <w:t xml:space="preserve"> </w:t>
      </w:r>
      <w:r>
        <w:t xml:space="preserve">Input numérico (anos)</w:t>
      </w:r>
    </w:p>
    <w:p>
      <w:pPr>
        <w:pStyle w:val="FirstParagraph"/>
      </w:pPr>
      <w:r>
        <w:rPr>
          <w:b/>
          <w:bCs/>
        </w:rPr>
        <w:t xml:space="preserve">Output Automático (Não-Editável):</w:t>
      </w:r>
    </w:p>
    <w:p>
      <w:pPr>
        <w:pStyle w:val="BodyText"/>
      </w:pPr>
      <w:r>
        <w:t xml:space="preserve">O algoritmo proprietário calcula:</w:t>
      </w:r>
    </w:p>
    <w:p>
      <w:pPr>
        <w:pStyle w:val="BodyText"/>
      </w:pPr>
      <w:r>
        <w:rPr>
          <w:b/>
          <w:bCs/>
        </w:rPr>
        <w:t xml:space="preserve">Olho Dominante:</w:t>
      </w:r>
      <w:r>
        <w:t xml:space="preserve"> </w:t>
      </w:r>
      <w:r>
        <w:t xml:space="preserve">- Target esférico: +0.50 D (fixo)</w:t>
      </w:r>
      <w:r>
        <w:t xml:space="preserve"> </w:t>
      </w:r>
      <w:r>
        <w:t xml:space="preserve">- SA induzida: Calculada baseado em pupila e add desejada</w:t>
      </w:r>
      <w:r>
        <w:t xml:space="preserve"> </w:t>
      </w:r>
      <w:r>
        <w:t xml:space="preserve">- OZ: 6.5-7.0 mm (ajustada automaticamente)</w:t>
      </w:r>
    </w:p>
    <w:p>
      <w:pPr>
        <w:pStyle w:val="BodyText"/>
      </w:pPr>
      <w:r>
        <w:rPr>
          <w:b/>
          <w:bCs/>
        </w:rPr>
        <w:t xml:space="preserve">Olho Não-Dominante:</w:t>
      </w:r>
      <w:r>
        <w:t xml:space="preserve"> </w:t>
      </w:r>
      <w:r>
        <w:t xml:space="preserve">- Target esférico: -1.00 a -1.50 D (varia com add desejada e idade)</w:t>
      </w:r>
      <w:r>
        <w:t xml:space="preserve"> </w:t>
      </w:r>
      <w:r>
        <w:t xml:space="preserve">- SA induzida: -0.30 a -0.45 μm</w:t>
      </w:r>
      <w:r>
        <w:t xml:space="preserve"> </w:t>
      </w:r>
      <w:r>
        <w:t xml:space="preserve">- OZ: 6.0-6.5 mm</w:t>
      </w:r>
    </w:p>
    <w:p>
      <w:pPr>
        <w:pStyle w:val="BodyText"/>
      </w:pPr>
      <w:r>
        <w:rPr>
          <w:b/>
          <w:bCs/>
        </w:rPr>
        <w:t xml:space="preserve">Nota Crítica:</w:t>
      </w:r>
      <w:r>
        <w:br/>
      </w:r>
      <w:r>
        <w:t xml:space="preserve">Ao contrário de Custom-Q (totalmente manual) ou PresbyMAX (parcialmente ajustável),</w:t>
      </w:r>
      <w:r>
        <w:t xml:space="preserve"> </w:t>
      </w:r>
      <w:r>
        <w:rPr>
          <w:b/>
          <w:bCs/>
        </w:rPr>
        <w:t xml:space="preserve">PRESBYOND é um algoritmo</w:t>
      </w:r>
      <w:r>
        <w:rPr>
          <w:b/>
          <w:bCs/>
        </w:rPr>
        <w:t xml:space="preserve"> </w:t>
      </w:r>
      <w:r>
        <w:rPr>
          <w:b/>
          <w:bCs/>
        </w:rPr>
        <w:t xml:space="preserve">“black box”</w:t>
      </w:r>
      <w:r>
        <w:t xml:space="preserve">. O cirurgião não pode modificar targets calculados. Apenas aceita ou rejeita.</w:t>
      </w:r>
    </w:p>
    <w:bookmarkEnd w:id="18"/>
    <w:bookmarkStart w:id="21" w:name="técnica-intra-operatória"/>
    <w:p>
      <w:pPr>
        <w:pStyle w:val="Heading3"/>
      </w:pPr>
      <w:r>
        <w:t xml:space="preserve">7.3.3. Técnica Intra-Operatória</w:t>
      </w:r>
    </w:p>
    <w:bookmarkStart w:id="19" w:name="centragem-pupil-based"/>
    <w:p>
      <w:pPr>
        <w:pStyle w:val="Heading4"/>
      </w:pPr>
      <w:r>
        <w:t xml:space="preserve">Centragem: Pupil-Based</w:t>
      </w:r>
    </w:p>
    <w:p>
      <w:pPr>
        <w:pStyle w:val="FirstParagraph"/>
      </w:pPr>
      <w:r>
        <w:rPr>
          <w:b/>
          <w:bCs/>
        </w:rPr>
        <w:t xml:space="preserve">Regra PRESBYOND:</w:t>
      </w:r>
      <w:r>
        <w:br/>
      </w:r>
      <w:r>
        <w:t xml:space="preserve">Centrar</w:t>
      </w:r>
      <w:r>
        <w:t xml:space="preserve"> </w:t>
      </w:r>
      <w:r>
        <w:rPr>
          <w:b/>
          <w:bCs/>
        </w:rPr>
        <w:t xml:space="preserve">ambos os olhos no centro pupilar</w:t>
      </w:r>
      <w:r>
        <w:t xml:space="preserve"> </w:t>
      </w:r>
      <w:r>
        <w:t xml:space="preserve">(não no Purkinje).</w:t>
      </w:r>
    </w:p>
    <w:p>
      <w:pPr>
        <w:pStyle w:val="BodyText"/>
      </w:pPr>
      <w:r>
        <w:rPr>
          <w:b/>
          <w:bCs/>
        </w:rPr>
        <w:t xml:space="preserve">Justificação (Reinstein):</w:t>
      </w:r>
      <w:r>
        <w:t xml:space="preserve"> </w:t>
      </w:r>
      <w:r>
        <w:t xml:space="preserve">- Perfil blend é desenhado para pupila dinâmica</w:t>
      </w:r>
      <w:r>
        <w:t xml:space="preserve"> </w:t>
      </w:r>
      <w:r>
        <w:t xml:space="preserve">- Centragem no eixo visual (Purkinje) pode descentrar o blend em relação à pupila funcional</w:t>
      </w:r>
      <w:r>
        <w:t xml:space="preserve"> </w:t>
      </w:r>
      <w:r>
        <w:t xml:space="preserve">- Diferente de multifocal zonal (PresbyMAX), onde Purkinje é crítico</w:t>
      </w:r>
    </w:p>
    <w:bookmarkEnd w:id="19"/>
    <w:bookmarkStart w:id="20" w:name="sequência-bilateral"/>
    <w:p>
      <w:pPr>
        <w:pStyle w:val="Heading4"/>
      </w:pPr>
      <w:r>
        <w:t xml:space="preserve">Sequência Bilateral</w:t>
      </w:r>
    </w:p>
    <w:p>
      <w:pPr>
        <w:pStyle w:val="FirstParagraph"/>
      </w:pPr>
      <w:r>
        <w:rPr>
          <w:b/>
          <w:bCs/>
        </w:rPr>
        <w:t xml:space="preserve">Protocolo Recomendado:</w:t>
      </w:r>
    </w:p>
    <w:p>
      <w:pPr>
        <w:pStyle w:val="Compact"/>
        <w:numPr>
          <w:ilvl w:val="0"/>
          <w:numId w:val="1011"/>
        </w:numPr>
      </w:pPr>
      <w:r>
        <w:rPr>
          <w:b/>
          <w:bCs/>
        </w:rPr>
        <w:t xml:space="preserve">Operar olho não-dominante primeiro:</w:t>
      </w:r>
    </w:p>
    <w:p>
      <w:pPr>
        <w:pStyle w:val="Compact"/>
        <w:numPr>
          <w:ilvl w:val="1"/>
          <w:numId w:val="1012"/>
        </w:numPr>
      </w:pPr>
      <w:r>
        <w:t xml:space="preserve">Raciocínio: Se houver complicação ou insatisfação imediata, pode-se ajustar estratégia no dominante</w:t>
      </w:r>
    </w:p>
    <w:p>
      <w:pPr>
        <w:pStyle w:val="Compact"/>
        <w:numPr>
          <w:ilvl w:val="1"/>
          <w:numId w:val="1012"/>
        </w:numPr>
      </w:pPr>
      <w:r>
        <w:t xml:space="preserve">Permite ao paciente</w:t>
      </w:r>
      <w:r>
        <w:t xml:space="preserve"> </w:t>
      </w:r>
      <w:r>
        <w:t xml:space="preserve">“testar”</w:t>
      </w:r>
      <w:r>
        <w:t xml:space="preserve"> </w:t>
      </w:r>
      <w:r>
        <w:t xml:space="preserve">monovisão parcial antes de comprometer olho dominante</w:t>
      </w:r>
    </w:p>
    <w:p>
      <w:pPr>
        <w:pStyle w:val="Compact"/>
        <w:numPr>
          <w:ilvl w:val="0"/>
          <w:numId w:val="1011"/>
        </w:numPr>
      </w:pPr>
      <w:r>
        <w:rPr>
          <w:b/>
          <w:bCs/>
        </w:rPr>
        <w:t xml:space="preserve">Intervalo entre olhos:</w:t>
      </w:r>
    </w:p>
    <w:p>
      <w:pPr>
        <w:pStyle w:val="Compact"/>
        <w:numPr>
          <w:ilvl w:val="1"/>
          <w:numId w:val="1013"/>
        </w:numPr>
      </w:pPr>
      <w:r>
        <w:t xml:space="preserve">Mínimo: 1 semana (avaliar tolerância neuroadaptativa inicial)</w:t>
      </w:r>
    </w:p>
    <w:p>
      <w:pPr>
        <w:pStyle w:val="Compact"/>
        <w:numPr>
          <w:ilvl w:val="1"/>
          <w:numId w:val="1013"/>
        </w:numPr>
      </w:pPr>
      <w:r>
        <w:t xml:space="preserve">Ideal: 2-4 semanas</w:t>
      </w:r>
    </w:p>
    <w:p>
      <w:pPr>
        <w:pStyle w:val="Compact"/>
        <w:numPr>
          <w:ilvl w:val="1"/>
          <w:numId w:val="1013"/>
        </w:numPr>
      </w:pPr>
      <w:r>
        <w:t xml:space="preserve">Alguns cirurgiões preferem: Mesmo dia (bilateral simultâneo)</w:t>
      </w:r>
    </w:p>
    <w:p>
      <w:pPr>
        <w:pStyle w:val="FirstParagraph"/>
      </w:pPr>
      <w:r>
        <w:rPr>
          <w:b/>
          <w:bCs/>
        </w:rPr>
        <w:t xml:space="preserve">Dados de Literatura:</w:t>
      </w:r>
    </w:p>
    <w:p>
      <w:pPr>
        <w:pStyle w:val="BodyText"/>
      </w:pPr>
      <w:r>
        <w:t xml:space="preserve">Estudo de Reinstein com 250 pacientes:</w:t>
      </w:r>
      <w:r>
        <w:t xml:space="preserve"> </w:t>
      </w:r>
      <w:r>
        <w:t xml:space="preserve">- Same-day bilateral: 65%</w:t>
      </w:r>
      <w:r>
        <w:t xml:space="preserve"> </w:t>
      </w:r>
      <w:r>
        <w:t xml:space="preserve">- 1-2 semanas intervalo: 30%</w:t>
      </w:r>
      <w:r>
        <w:t xml:space="preserve"> </w:t>
      </w:r>
      <w:r>
        <w:t xml:space="preserve">- &gt;4 semanas intervalo: 5%</w:t>
      </w:r>
      <w:r>
        <w:t xml:space="preserve"> </w:t>
      </w:r>
      <w:r>
        <w:t xml:space="preserve">-</w:t>
      </w:r>
      <w:r>
        <w:t xml:space="preserve"> </w:t>
      </w:r>
      <w:r>
        <w:rPr>
          <w:b/>
          <w:bCs/>
        </w:rPr>
        <w:t xml:space="preserve">Taxa de cancelamento do olho dominante após não-dominante:</w:t>
      </w:r>
      <w:r>
        <w:t xml:space="preserve"> </w:t>
      </w:r>
      <w:r>
        <w:t xml:space="preserve">3% (paciente não tolerou monovisão) [2]</w:t>
      </w:r>
    </w:p>
    <w:p>
      <w:r>
        <w:pict>
          <v:rect style="width:0;height:1.5pt" o:hralign="center" o:hrstd="t" o:hr="t"/>
        </w:pict>
      </w:r>
    </w:p>
    <w:bookmarkEnd w:id="20"/>
    <w:bookmarkEnd w:id="21"/>
    <w:bookmarkEnd w:id="22"/>
    <w:bookmarkStart w:id="25" w:name="X09bbd95ee55fb979feb598945f8cc10115b3816"/>
    <w:p>
      <w:pPr>
        <w:pStyle w:val="Heading2"/>
      </w:pPr>
      <w:r>
        <w:t xml:space="preserve">7.4. Seleção de Pacientes: Critérios Específicos PRESBYOND</w:t>
      </w:r>
    </w:p>
    <w:bookmarkStart w:id="23" w:name="candidatos-ideais"/>
    <w:p>
      <w:pPr>
        <w:pStyle w:val="Heading3"/>
      </w:pPr>
      <w:r>
        <w:t xml:space="preserve">7.4.1. Candidatos Ideais</w:t>
      </w:r>
    </w:p>
    <w:p>
      <w:pPr>
        <w:pStyle w:val="FirstParagraph"/>
      </w:pPr>
      <w:r>
        <w:rPr>
          <w:b/>
          <w:bCs/>
        </w:rPr>
        <w:t xml:space="preserve">Perfil Biométrico Ótimo:</w:t>
      </w:r>
    </w:p>
    <w:p>
      <w:pPr>
        <w:pStyle w:val="Compact"/>
        <w:numPr>
          <w:ilvl w:val="0"/>
          <w:numId w:val="1014"/>
        </w:numPr>
      </w:pPr>
      <w:r>
        <w:rPr>
          <w:b/>
          <w:bCs/>
        </w:rPr>
        <w:t xml:space="preserve">Idade:</w:t>
      </w:r>
      <w:r>
        <w:t xml:space="preserve"> </w:t>
      </w:r>
      <w:r>
        <w:t xml:space="preserve">45-60 anos (sweet spot: 48-55)</w:t>
      </w:r>
    </w:p>
    <w:p>
      <w:pPr>
        <w:pStyle w:val="Compact"/>
        <w:numPr>
          <w:ilvl w:val="0"/>
          <w:numId w:val="1014"/>
        </w:numPr>
      </w:pPr>
      <w:r>
        <w:rPr>
          <w:b/>
          <w:bCs/>
        </w:rPr>
        <w:t xml:space="preserve">Refração:</w:t>
      </w:r>
    </w:p>
    <w:p>
      <w:pPr>
        <w:pStyle w:val="Compact"/>
        <w:numPr>
          <w:ilvl w:val="1"/>
          <w:numId w:val="1015"/>
        </w:numPr>
      </w:pPr>
      <w:r>
        <w:rPr>
          <w:b/>
          <w:bCs/>
        </w:rPr>
        <w:t xml:space="preserve">Hipermétropes:</w:t>
      </w:r>
      <w:r>
        <w:t xml:space="preserve"> </w:t>
      </w:r>
      <w:r>
        <w:t xml:space="preserve">+0.50 a +2.50 D (excelentes candidatos)</w:t>
      </w:r>
    </w:p>
    <w:p>
      <w:pPr>
        <w:pStyle w:val="Compact"/>
        <w:numPr>
          <w:ilvl w:val="1"/>
          <w:numId w:val="1015"/>
        </w:numPr>
      </w:pPr>
      <w:r>
        <w:rPr>
          <w:b/>
          <w:bCs/>
        </w:rPr>
        <w:t xml:space="preserve">Emétropes:</w:t>
      </w:r>
      <w:r>
        <w:t xml:space="preserve"> </w:t>
      </w:r>
      <w:r>
        <w:t xml:space="preserve">±0.50 D (bons candidatos se expectativas geridas)</w:t>
      </w:r>
    </w:p>
    <w:p>
      <w:pPr>
        <w:pStyle w:val="Compact"/>
        <w:numPr>
          <w:ilvl w:val="1"/>
          <w:numId w:val="1015"/>
        </w:numPr>
      </w:pPr>
      <w:r>
        <w:rPr>
          <w:b/>
          <w:bCs/>
        </w:rPr>
        <w:t xml:space="preserve">Míopes:</w:t>
      </w:r>
      <w:r>
        <w:t xml:space="preserve"> </w:t>
      </w:r>
      <w:r>
        <w:t xml:space="preserve">-1.00 a -4.00 D (viáveis, mas necessitam ajuste de target)</w:t>
      </w:r>
    </w:p>
    <w:p>
      <w:pPr>
        <w:pStyle w:val="Compact"/>
        <w:numPr>
          <w:ilvl w:val="0"/>
          <w:numId w:val="1014"/>
        </w:numPr>
      </w:pPr>
      <w:r>
        <w:rPr>
          <w:b/>
          <w:bCs/>
        </w:rPr>
        <w:t xml:space="preserve">Pupila Mesópica:</w:t>
      </w:r>
      <w:r>
        <w:t xml:space="preserve"> </w:t>
      </w:r>
      <w:r>
        <w:t xml:space="preserve">4.0-6.5 mm (ideal)</w:t>
      </w:r>
    </w:p>
    <w:p>
      <w:pPr>
        <w:pStyle w:val="Compact"/>
        <w:numPr>
          <w:ilvl w:val="0"/>
          <w:numId w:val="1014"/>
        </w:numPr>
      </w:pPr>
      <w:r>
        <w:rPr>
          <w:b/>
          <w:bCs/>
        </w:rPr>
        <w:t xml:space="preserve">Add Necessária:</w:t>
      </w:r>
      <w:r>
        <w:t xml:space="preserve"> </w:t>
      </w:r>
      <w:r>
        <w:t xml:space="preserve">+1.50 a +2.00 D</w:t>
      </w:r>
    </w:p>
    <w:p>
      <w:pPr>
        <w:pStyle w:val="FirstParagraph"/>
      </w:pPr>
      <w:r>
        <w:rPr>
          <w:b/>
          <w:bCs/>
        </w:rPr>
        <w:t xml:space="preserve">Diferencial PRESBYOND:</w:t>
      </w:r>
      <w:r>
        <w:br/>
      </w:r>
      <w:r>
        <w:t xml:space="preserve">Míopes são</w:t>
      </w:r>
      <w:r>
        <w:t xml:space="preserve"> </w:t>
      </w:r>
      <w:r>
        <w:rPr>
          <w:b/>
          <w:bCs/>
        </w:rPr>
        <w:t xml:space="preserve">melhores candidatos em PRESBYOND</w:t>
      </w:r>
      <w:r>
        <w:t xml:space="preserve"> </w:t>
      </w:r>
      <w:r>
        <w:t xml:space="preserve">que em PresbyMAX, porque:</w:t>
      </w:r>
      <w:r>
        <w:t xml:space="preserve"> </w:t>
      </w:r>
      <w:r>
        <w:t xml:space="preserve">1. Target de -1.25 D no não-dominante é menos agressivo</w:t>
      </w:r>
      <w:r>
        <w:t xml:space="preserve"> </w:t>
      </w:r>
      <w:r>
        <w:t xml:space="preserve">2. Blend preserva melhor a qualidade de longe (míopes valorizam isso)</w:t>
      </w:r>
    </w:p>
    <w:bookmarkEnd w:id="23"/>
    <w:bookmarkStart w:id="24" w:name="X18530ef7014615047c9dcc5c6994e325209e957"/>
    <w:p>
      <w:pPr>
        <w:pStyle w:val="Heading3"/>
      </w:pPr>
      <w:r>
        <w:t xml:space="preserve">7.4.2. Teste de Tolerância (Trial com Lentes de Contacto)</w:t>
      </w:r>
    </w:p>
    <w:p>
      <w:pPr>
        <w:pStyle w:val="FirstParagraph"/>
      </w:pPr>
      <w:r>
        <w:rPr>
          <w:b/>
          <w:bCs/>
        </w:rPr>
        <w:t xml:space="preserve">Protocolo Específico PRESBYOND:</w:t>
      </w:r>
    </w:p>
    <w:p>
      <w:pPr>
        <w:numPr>
          <w:ilvl w:val="0"/>
          <w:numId w:val="1016"/>
        </w:numPr>
      </w:pPr>
      <w:r>
        <w:rPr>
          <w:b/>
          <w:bCs/>
        </w:rPr>
        <w:t xml:space="preserve">Simulação de Targets:</w:t>
      </w:r>
    </w:p>
    <w:p>
      <w:pPr>
        <w:pStyle w:val="Compact"/>
        <w:numPr>
          <w:ilvl w:val="1"/>
          <w:numId w:val="1017"/>
        </w:numPr>
      </w:pPr>
      <w:r>
        <w:t xml:space="preserve">OD (dominante): +0.50 D LC</w:t>
      </w:r>
    </w:p>
    <w:p>
      <w:pPr>
        <w:pStyle w:val="Compact"/>
        <w:numPr>
          <w:ilvl w:val="1"/>
          <w:numId w:val="1017"/>
        </w:numPr>
      </w:pPr>
      <w:r>
        <w:t xml:space="preserve">OE (não-dominante): -1.25 D LC</w:t>
      </w:r>
    </w:p>
    <w:p>
      <w:pPr>
        <w:numPr>
          <w:ilvl w:val="0"/>
          <w:numId w:val="1016"/>
        </w:numPr>
      </w:pPr>
      <w:r>
        <w:rPr>
          <w:b/>
          <w:bCs/>
        </w:rPr>
        <w:t xml:space="preserve">Duração:</w:t>
      </w:r>
      <w:r>
        <w:t xml:space="preserve"> </w:t>
      </w:r>
      <w:r>
        <w:t xml:space="preserve">3-7 dias mínimo</w:t>
      </w:r>
    </w:p>
    <w:p>
      <w:pPr>
        <w:numPr>
          <w:ilvl w:val="0"/>
          <w:numId w:val="1016"/>
        </w:numPr>
      </w:pPr>
      <w:r>
        <w:rPr>
          <w:b/>
          <w:bCs/>
        </w:rPr>
        <w:t xml:space="preserve">Avaliação Crítica:</w:t>
      </w:r>
    </w:p>
    <w:p>
      <w:pPr>
        <w:pStyle w:val="Compact"/>
        <w:numPr>
          <w:ilvl w:val="1"/>
          <w:numId w:val="1018"/>
        </w:numPr>
      </w:pPr>
      <w:r>
        <w:t xml:space="preserve">Visão de longe binocular: Deve ser ≥20/25</w:t>
      </w:r>
    </w:p>
    <w:p>
      <w:pPr>
        <w:pStyle w:val="Compact"/>
        <w:numPr>
          <w:ilvl w:val="1"/>
          <w:numId w:val="1018"/>
        </w:numPr>
      </w:pPr>
      <w:r>
        <w:t xml:space="preserve">Leitura: J2-J3 confortável</w:t>
      </w:r>
    </w:p>
    <w:p>
      <w:pPr>
        <w:pStyle w:val="Compact"/>
        <w:numPr>
          <w:ilvl w:val="1"/>
          <w:numId w:val="1018"/>
        </w:numPr>
      </w:pPr>
      <w:r>
        <w:t xml:space="preserve">Visão intermediária (computador): Funcional sem esforço</w:t>
      </w:r>
    </w:p>
    <w:p>
      <w:pPr>
        <w:pStyle w:val="Compact"/>
        <w:numPr>
          <w:ilvl w:val="1"/>
          <w:numId w:val="1018"/>
        </w:numPr>
      </w:pPr>
      <w:r>
        <w:rPr>
          <w:b/>
          <w:bCs/>
        </w:rPr>
        <w:t xml:space="preserve">Sem tontura ou náusea</w:t>
      </w:r>
    </w:p>
    <w:p>
      <w:pPr>
        <w:pStyle w:val="FirstParagraph"/>
      </w:pPr>
      <w:r>
        <w:rPr>
          <w:b/>
          <w:bCs/>
        </w:rPr>
        <w:t xml:space="preserve">Taxa de Falha no Trial:</w:t>
      </w:r>
      <w:r>
        <w:br/>
      </w:r>
      <w:r>
        <w:t xml:space="preserve">Literatura PRESBYOND: 5-8% (vs. 10-15% monovisão clássica)</w:t>
      </w:r>
    </w:p>
    <w:p>
      <w:pPr>
        <w:pStyle w:val="BodyText"/>
      </w:pPr>
      <w:r>
        <w:rPr>
          <w:b/>
          <w:bCs/>
        </w:rPr>
        <w:t xml:space="preserve">Razão da Menor Taxa de Falha:</w:t>
      </w:r>
      <w:r>
        <w:br/>
      </w:r>
      <w:r>
        <w:t xml:space="preserve">Anisometropia reduzida + blend = melhor tolerância neural.</w:t>
      </w:r>
    </w:p>
    <w:p>
      <w:r>
        <w:pict>
          <v:rect style="width:0;height:1.5pt" o:hralign="center" o:hrstd="t" o:hr="t"/>
        </w:pict>
      </w:r>
    </w:p>
    <w:bookmarkEnd w:id="24"/>
    <w:bookmarkEnd w:id="25"/>
    <w:bookmarkStart w:id="30" w:name="Xf9873e29346a3b070282f521a3155d6bf449e5d"/>
    <w:p>
      <w:pPr>
        <w:pStyle w:val="Heading2"/>
      </w:pPr>
      <w:r>
        <w:t xml:space="preserve">7.5. Resultados Clínicos: Evidência Multi-Cêntrica</w:t>
      </w:r>
    </w:p>
    <w:bookmarkStart w:id="26" w:name="eficácia-visual"/>
    <w:p>
      <w:pPr>
        <w:pStyle w:val="Heading3"/>
      </w:pPr>
      <w:r>
        <w:t xml:space="preserve">7.5.1. Eficácia Visual</w:t>
      </w:r>
    </w:p>
    <w:p>
      <w:pPr>
        <w:pStyle w:val="FirstParagraph"/>
      </w:pPr>
      <w:r>
        <w:rPr>
          <w:b/>
          <w:bCs/>
        </w:rPr>
        <w:t xml:space="preserve">Estudo Pivotal de Reinstein (n=250, follow-up 12 meses):</w:t>
      </w:r>
      <w:r>
        <w:t xml:space="preserve"> </w:t>
      </w:r>
      <w:r>
        <w:t xml:space="preserve">[2]</w:t>
      </w:r>
    </w:p>
    <w:p>
      <w:pPr>
        <w:pStyle w:val="BodyText"/>
      </w:pPr>
      <w:r>
        <w:rPr>
          <w:b/>
          <w:bCs/>
        </w:rPr>
        <w:t xml:space="preserve">Visão de Longe (Binocular UCDVA):</w:t>
      </w:r>
      <w:r>
        <w:t xml:space="preserve"> </w:t>
      </w:r>
      <w:r>
        <w:t xml:space="preserve">- 20/20 ou melhor:</w:t>
      </w:r>
      <w:r>
        <w:t xml:space="preserve"> </w:t>
      </w:r>
      <w:r>
        <w:rPr>
          <w:b/>
          <w:bCs/>
        </w:rPr>
        <w:t xml:space="preserve">92%</w:t>
      </w:r>
      <w:r>
        <w:t xml:space="preserve"> </w:t>
      </w:r>
      <w:r>
        <w:t xml:space="preserve">- 20/25 ou melhor: 98%</w:t>
      </w:r>
      <w:r>
        <w:t xml:space="preserve"> </w:t>
      </w:r>
      <w:r>
        <w:t xml:space="preserve">- 20/40 ou pior: &lt;1%</w:t>
      </w:r>
    </w:p>
    <w:p>
      <w:pPr>
        <w:pStyle w:val="BodyText"/>
      </w:pPr>
      <w:r>
        <w:rPr>
          <w:b/>
          <w:bCs/>
        </w:rPr>
        <w:t xml:space="preserve">Visão de Perto (Binocular UCNVA):</w:t>
      </w:r>
      <w:r>
        <w:t xml:space="preserve"> </w:t>
      </w:r>
      <w:r>
        <w:t xml:space="preserve">- J2 ou melhor:</w:t>
      </w:r>
      <w:r>
        <w:t xml:space="preserve"> </w:t>
      </w:r>
      <w:r>
        <w:rPr>
          <w:b/>
          <w:bCs/>
        </w:rPr>
        <w:t xml:space="preserve">88%</w:t>
      </w:r>
      <w:r>
        <w:t xml:space="preserve"> </w:t>
      </w:r>
      <w:r>
        <w:t xml:space="preserve">- J3 ou melhor: 96%</w:t>
      </w:r>
      <w:r>
        <w:t xml:space="preserve"> </w:t>
      </w:r>
      <w:r>
        <w:t xml:space="preserve">- J4 ou pior: 4%</w:t>
      </w:r>
    </w:p>
    <w:p>
      <w:pPr>
        <w:pStyle w:val="BodyText"/>
      </w:pPr>
      <w:r>
        <w:rPr>
          <w:b/>
          <w:bCs/>
        </w:rPr>
        <w:t xml:space="preserve">Visão Intermediária (60-80 cm):</w:t>
      </w:r>
      <w:r>
        <w:t xml:space="preserve"> </w:t>
      </w:r>
      <w:r>
        <w:t xml:space="preserve">- Funcional sem óculos:</w:t>
      </w:r>
      <w:r>
        <w:t xml:space="preserve"> </w:t>
      </w:r>
      <w:r>
        <w:rPr>
          <w:b/>
          <w:bCs/>
        </w:rPr>
        <w:t xml:space="preserve">94%</w:t>
      </w:r>
      <w:r>
        <w:t xml:space="preserve"> </w:t>
      </w:r>
      <w:r>
        <w:t xml:space="preserve">(destaque PRESBYOND)</w:t>
      </w:r>
      <w:r>
        <w:t xml:space="preserve"> </w:t>
      </w:r>
      <w:r>
        <w:t xml:space="preserve">- Excelente: 78%</w:t>
      </w:r>
    </w:p>
    <w:p>
      <w:pPr>
        <w:pStyle w:val="BodyText"/>
      </w:pPr>
      <w:r>
        <w:rPr>
          <w:b/>
          <w:bCs/>
        </w:rPr>
        <w:t xml:space="preserve">Independência de Óculos:</w:t>
      </w:r>
      <w:r>
        <w:t xml:space="preserve"> </w:t>
      </w:r>
      <w:r>
        <w:t xml:space="preserve">- Completa (0% uso): 72%</w:t>
      </w:r>
      <w:r>
        <w:t xml:space="preserve"> </w:t>
      </w:r>
      <w:r>
        <w:t xml:space="preserve">- Parcial (&lt;10% do tempo): 22%</w:t>
      </w:r>
      <w:r>
        <w:t xml:space="preserve"> </w:t>
      </w:r>
      <w:r>
        <w:t xml:space="preserve">- Regular (&gt;25% tempo): 6%</w:t>
      </w:r>
    </w:p>
    <w:bookmarkEnd w:id="26"/>
    <w:bookmarkStart w:id="27" w:name="qualidade-visual-e-fenómenos-fóticos"/>
    <w:p>
      <w:pPr>
        <w:pStyle w:val="Heading3"/>
      </w:pPr>
      <w:r>
        <w:t xml:space="preserve">7.5.2. Qualidade Visual e Fenómenos Fóticos</w:t>
      </w:r>
    </w:p>
    <w:p>
      <w:pPr>
        <w:pStyle w:val="FirstParagraph"/>
      </w:pPr>
      <w:r>
        <w:rPr>
          <w:b/>
          <w:bCs/>
        </w:rPr>
        <w:t xml:space="preserve">Sensibilidade ao Contraste:</w:t>
      </w:r>
    </w:p>
    <w:p>
      <w:pPr>
        <w:pStyle w:val="BodyText"/>
      </w:pPr>
      <w:r>
        <w:t xml:space="preserve">Medição com CSV-1000 a 12 meses: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Frequência</w:t>
            </w:r>
          </w:p>
        </w:tc>
        <w:tc>
          <w:tcPr/>
          <w:p>
            <w:pPr>
              <w:pStyle w:val="Compact"/>
            </w:pPr>
            <w:r>
              <w:t xml:space="preserve">Redução vs. Pré-Op</w:t>
            </w:r>
          </w:p>
        </w:tc>
        <w:tc>
          <w:tcPr/>
          <w:p>
            <w:pPr>
              <w:pStyle w:val="Compact"/>
            </w:pPr>
            <w:r>
              <w:t xml:space="preserve">Significância Clínica</w:t>
            </w:r>
          </w:p>
        </w:tc>
      </w:tr>
      <w:tr>
        <w:tc>
          <w:tcPr/>
          <w:p>
            <w:pPr>
              <w:pStyle w:val="Compact"/>
            </w:pPr>
            <w:r>
              <w:t xml:space="preserve">3 cpd</w:t>
            </w:r>
          </w:p>
        </w:tc>
        <w:tc>
          <w:tcPr/>
          <w:p>
            <w:pPr>
              <w:pStyle w:val="Compact"/>
            </w:pPr>
            <w:r>
              <w:t xml:space="preserve">-0.02 log units</w:t>
            </w:r>
          </w:p>
        </w:tc>
        <w:tc>
          <w:tcPr/>
          <w:p>
            <w:pPr>
              <w:pStyle w:val="Compact"/>
            </w:pPr>
            <w:r>
              <w:t xml:space="preserve">Não significativa</w:t>
            </w:r>
          </w:p>
        </w:tc>
      </w:tr>
      <w:tr>
        <w:tc>
          <w:tcPr/>
          <w:p>
            <w:pPr>
              <w:pStyle w:val="Compact"/>
            </w:pPr>
            <w:r>
              <w:t xml:space="preserve">6 cpd</w:t>
            </w:r>
          </w:p>
        </w:tc>
        <w:tc>
          <w:tcPr/>
          <w:p>
            <w:pPr>
              <w:pStyle w:val="Compact"/>
            </w:pPr>
            <w:r>
              <w:t xml:space="preserve">-0.08 log units</w:t>
            </w:r>
          </w:p>
        </w:tc>
        <w:tc>
          <w:tcPr/>
          <w:p>
            <w:pPr>
              <w:pStyle w:val="Compact"/>
            </w:pPr>
            <w:r>
              <w:t xml:space="preserve">Mínima</w:t>
            </w:r>
          </w:p>
        </w:tc>
      </w:tr>
      <w:tr>
        <w:tc>
          <w:tcPr/>
          <w:p>
            <w:pPr>
              <w:pStyle w:val="Compact"/>
            </w:pPr>
            <w:r>
              <w:t xml:space="preserve">12 cpd</w:t>
            </w:r>
          </w:p>
        </w:tc>
        <w:tc>
          <w:tcPr/>
          <w:p>
            <w:pPr>
              <w:pStyle w:val="Compact"/>
            </w:pPr>
            <w:r>
              <w:t xml:space="preserve">-0.15 log units</w:t>
            </w:r>
          </w:p>
        </w:tc>
        <w:tc>
          <w:tcPr/>
          <w:p>
            <w:pPr>
              <w:pStyle w:val="Compact"/>
            </w:pPr>
            <w:r>
              <w:t xml:space="preserve">Moderada mas tolerável</w:t>
            </w:r>
          </w:p>
        </w:tc>
      </w:tr>
      <w:tr>
        <w:tc>
          <w:tcPr/>
          <w:p>
            <w:pPr>
              <w:pStyle w:val="Compact"/>
            </w:pPr>
            <w:r>
              <w:t xml:space="preserve">18 cpd</w:t>
            </w:r>
          </w:p>
        </w:tc>
        <w:tc>
          <w:tcPr/>
          <w:p>
            <w:pPr>
              <w:pStyle w:val="Compact"/>
            </w:pPr>
            <w:r>
              <w:t xml:space="preserve">-0.22 log units</w:t>
            </w:r>
          </w:p>
        </w:tc>
        <w:tc>
          <w:tcPr/>
          <w:p>
            <w:pPr>
              <w:pStyle w:val="Compact"/>
            </w:pPr>
            <w:r>
              <w:t xml:space="preserve">Moderada</w:t>
            </w:r>
          </w:p>
        </w:tc>
      </w:tr>
    </w:tbl>
    <w:p>
      <w:pPr>
        <w:pStyle w:val="BodyText"/>
      </w:pPr>
      <w:r>
        <w:rPr>
          <w:b/>
          <w:bCs/>
        </w:rPr>
        <w:t xml:space="preserve">Comparação:</w:t>
      </w:r>
      <w:r>
        <w:t xml:space="preserve"> </w:t>
      </w:r>
      <w:r>
        <w:t xml:space="preserve">- Custom-Q: -0.15 log (12 cpd)</w:t>
      </w:r>
      <w:r>
        <w:t xml:space="preserve"> </w:t>
      </w:r>
      <w:r>
        <w:t xml:space="preserve">- PresbyMAX: -0.25 log (12 cpd)</w:t>
      </w:r>
      <w:r>
        <w:t xml:space="preserve"> </w:t>
      </w:r>
      <w:r>
        <w:t xml:space="preserve">-</w:t>
      </w:r>
      <w:r>
        <w:t xml:space="preserve"> </w:t>
      </w:r>
      <w:r>
        <w:rPr>
          <w:b/>
          <w:bCs/>
        </w:rPr>
        <w:t xml:space="preserve">PRESBYOND: -0.15 log</w:t>
      </w:r>
      <w:r>
        <w:t xml:space="preserve"> </w:t>
      </w:r>
      <w:r>
        <w:t xml:space="preserve">(equivalente a Custom-Q, melhor que PresbyMAX)</w:t>
      </w:r>
    </w:p>
    <w:p>
      <w:pPr>
        <w:pStyle w:val="BodyText"/>
      </w:pPr>
      <w:r>
        <w:rPr>
          <w:b/>
          <w:bCs/>
        </w:rPr>
        <w:t xml:space="preserve">Halos Noturnos:</w:t>
      </w:r>
    </w:p>
    <w:p>
      <w:pPr>
        <w:pStyle w:val="BodyText"/>
      </w:pPr>
      <w:r>
        <w:t xml:space="preserve">Questionário validado (McAlinden):</w:t>
      </w:r>
      <w:r>
        <w:t xml:space="preserve"> </w:t>
      </w:r>
      <w:r>
        <w:t xml:space="preserve">- Halos ligeiros: 35%</w:t>
      </w:r>
      <w:r>
        <w:t xml:space="preserve"> </w:t>
      </w:r>
      <w:r>
        <w:t xml:space="preserve">- Halos moderados:</w:t>
      </w:r>
      <w:r>
        <w:t xml:space="preserve"> </w:t>
      </w:r>
      <w:r>
        <w:rPr>
          <w:b/>
          <w:bCs/>
        </w:rPr>
        <w:t xml:space="preserve">12%</w:t>
      </w:r>
      <w:r>
        <w:t xml:space="preserve"> </w:t>
      </w:r>
      <w:r>
        <w:t xml:space="preserve">(muito inferior a PresbyMAX 30-40%)</w:t>
      </w:r>
      <w:r>
        <w:t xml:space="preserve"> </w:t>
      </w:r>
      <w:r>
        <w:t xml:space="preserve">- Halos severos (limitam condução):</w:t>
      </w:r>
      <w:r>
        <w:t xml:space="preserve"> </w:t>
      </w:r>
      <w:r>
        <w:rPr>
          <w:b/>
          <w:bCs/>
        </w:rPr>
        <w:t xml:space="preserve">3%</w:t>
      </w:r>
    </w:p>
    <w:p>
      <w:pPr>
        <w:pStyle w:val="BodyText"/>
      </w:pPr>
      <w:r>
        <w:rPr>
          <w:b/>
          <w:bCs/>
        </w:rPr>
        <w:t xml:space="preserve">Razão da Baixa Incidência:</w:t>
      </w:r>
      <w:r>
        <w:br/>
      </w:r>
      <w:r>
        <w:t xml:space="preserve">Blend óptico reduz transições abruptas que causam difração.</w:t>
      </w:r>
    </w:p>
    <w:bookmarkEnd w:id="27"/>
    <w:bookmarkStart w:id="28" w:name="neuroadaptação-e-satisfação"/>
    <w:p>
      <w:pPr>
        <w:pStyle w:val="Heading3"/>
      </w:pPr>
      <w:r>
        <w:t xml:space="preserve">7.5.3. Neuroadaptação e Satisfação</w:t>
      </w:r>
    </w:p>
    <w:p>
      <w:pPr>
        <w:pStyle w:val="FirstParagraph"/>
      </w:pPr>
      <w:r>
        <w:rPr>
          <w:b/>
          <w:bCs/>
        </w:rPr>
        <w:t xml:space="preserve">Curva Temporal de Adaptação: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Tempo</w:t>
            </w:r>
          </w:p>
        </w:tc>
        <w:tc>
          <w:tcPr/>
          <w:p>
            <w:pPr>
              <w:pStyle w:val="Compact"/>
            </w:pPr>
            <w:r>
              <w:t xml:space="preserve">UCNVA Média (logMAR)</w:t>
            </w:r>
          </w:p>
        </w:tc>
        <w:tc>
          <w:tcPr/>
          <w:p>
            <w:pPr>
              <w:pStyle w:val="Compact"/>
            </w:pPr>
            <w:r>
              <w:t xml:space="preserve">Satisfação (%)</w:t>
            </w:r>
          </w:p>
        </w:tc>
      </w:tr>
      <w:tr>
        <w:tc>
          <w:tcPr/>
          <w:p>
            <w:pPr>
              <w:pStyle w:val="Compact"/>
            </w:pPr>
            <w:r>
              <w:t xml:space="preserve">1 semana</w:t>
            </w:r>
          </w:p>
        </w:tc>
        <w:tc>
          <w:tcPr/>
          <w:p>
            <w:pPr>
              <w:pStyle w:val="Compact"/>
            </w:pPr>
            <w:r>
              <w:t xml:space="preserve">0.25 (J4-J5)</w:t>
            </w:r>
          </w:p>
        </w:tc>
        <w:tc>
          <w:tcPr/>
          <w:p>
            <w:pPr>
              <w:pStyle w:val="Compact"/>
            </w:pPr>
            <w:r>
              <w:t xml:space="preserve">55%</w:t>
            </w:r>
          </w:p>
        </w:tc>
      </w:tr>
      <w:tr>
        <w:tc>
          <w:tcPr/>
          <w:p>
            <w:pPr>
              <w:pStyle w:val="Compact"/>
            </w:pPr>
            <w:r>
              <w:t xml:space="preserve">1 mês</w:t>
            </w:r>
          </w:p>
        </w:tc>
        <w:tc>
          <w:tcPr/>
          <w:p>
            <w:pPr>
              <w:pStyle w:val="Compact"/>
            </w:pPr>
            <w:r>
              <w:t xml:space="preserve">0.15 (J3)</w:t>
            </w:r>
          </w:p>
        </w:tc>
        <w:tc>
          <w:tcPr/>
          <w:p>
            <w:pPr>
              <w:pStyle w:val="Compact"/>
            </w:pPr>
            <w:r>
              <w:t xml:space="preserve">72%</w:t>
            </w:r>
          </w:p>
        </w:tc>
      </w:tr>
      <w:tr>
        <w:tc>
          <w:tcPr/>
          <w:p>
            <w:pPr>
              <w:pStyle w:val="Compact"/>
            </w:pPr>
            <w:r>
              <w:t xml:space="preserve">3 meses</w:t>
            </w:r>
          </w:p>
        </w:tc>
        <w:tc>
          <w:tcPr/>
          <w:p>
            <w:pPr>
              <w:pStyle w:val="Compact"/>
            </w:pPr>
            <w:r>
              <w:t xml:space="preserve">0.10 (J2)</w:t>
            </w:r>
          </w:p>
        </w:tc>
        <w:tc>
          <w:tcPr/>
          <w:p>
            <w:pPr>
              <w:pStyle w:val="Compact"/>
            </w:pPr>
            <w:r>
              <w:rPr>
                <w:b/>
                <w:bCs/>
              </w:rPr>
              <w:t xml:space="preserve">87%</w:t>
            </w:r>
          </w:p>
        </w:tc>
      </w:tr>
      <w:tr>
        <w:tc>
          <w:tcPr/>
          <w:p>
            <w:pPr>
              <w:pStyle w:val="Compact"/>
            </w:pPr>
            <w:r>
              <w:t xml:space="preserve">6 meses</w:t>
            </w:r>
          </w:p>
        </w:tc>
        <w:tc>
          <w:tcPr/>
          <w:p>
            <w:pPr>
              <w:pStyle w:val="Compact"/>
            </w:pPr>
            <w:r>
              <w:t xml:space="preserve">0.08 (J2)</w:t>
            </w:r>
          </w:p>
        </w:tc>
        <w:tc>
          <w:tcPr/>
          <w:p>
            <w:pPr>
              <w:pStyle w:val="Compact"/>
            </w:pPr>
            <w:r>
              <w:t xml:space="preserve">91%</w:t>
            </w:r>
          </w:p>
        </w:tc>
      </w:tr>
      <w:tr>
        <w:tc>
          <w:tcPr/>
          <w:p>
            <w:pPr>
              <w:pStyle w:val="Compact"/>
            </w:pPr>
            <w:r>
              <w:t xml:space="preserve">12 meses</w:t>
            </w:r>
          </w:p>
        </w:tc>
        <w:tc>
          <w:tcPr/>
          <w:p>
            <w:pPr>
              <w:pStyle w:val="Compact"/>
            </w:pPr>
            <w:r>
              <w:t xml:space="preserve">0.08 (J1-J2)</w:t>
            </w:r>
          </w:p>
        </w:tc>
        <w:tc>
          <w:tcPr/>
          <w:p>
            <w:pPr>
              <w:pStyle w:val="Compact"/>
            </w:pPr>
            <w:r>
              <w:rPr>
                <w:b/>
                <w:bCs/>
              </w:rPr>
              <w:t xml:space="preserve">93%</w:t>
            </w:r>
          </w:p>
        </w:tc>
      </w:tr>
    </w:tbl>
    <w:p>
      <w:pPr>
        <w:pStyle w:val="BodyText"/>
      </w:pPr>
      <w:r>
        <w:rPr>
          <w:b/>
          <w:bCs/>
        </w:rPr>
        <w:t xml:space="preserve">“Semana do Arrependimento”</w:t>
      </w:r>
      <w:r>
        <w:rPr>
          <w:b/>
          <w:bCs/>
        </w:rPr>
        <w:t xml:space="preserve">:</w:t>
      </w:r>
      <w:r>
        <w:br/>
      </w:r>
      <w:r>
        <w:t xml:space="preserve">Menos proeminente que Custom-Q ou PresbyMAX. ~60% já satisfeitos semana 1.</w:t>
      </w:r>
    </w:p>
    <w:p>
      <w:pPr>
        <w:pStyle w:val="BodyText"/>
      </w:pPr>
      <w:r>
        <w:rPr>
          <w:b/>
          <w:bCs/>
        </w:rPr>
        <w:t xml:space="preserve">Satisfação Global (12 meses):</w:t>
      </w:r>
      <w:r>
        <w:t xml:space="preserve"> </w:t>
      </w:r>
      <w:r>
        <w:t xml:space="preserve">- Muito satisfeito: 78%</w:t>
      </w:r>
      <w:r>
        <w:t xml:space="preserve"> </w:t>
      </w:r>
      <w:r>
        <w:t xml:space="preserve">- Satisfeito: 15%</w:t>
      </w:r>
      <w:r>
        <w:t xml:space="preserve"> </w:t>
      </w:r>
      <w:r>
        <w:t xml:space="preserve">- Neutro: 5%</w:t>
      </w:r>
      <w:r>
        <w:t xml:space="preserve"> </w:t>
      </w:r>
      <w:r>
        <w:t xml:space="preserve">- Insatisfeito:</w:t>
      </w:r>
      <w:r>
        <w:t xml:space="preserve"> </w:t>
      </w:r>
      <w:r>
        <w:rPr>
          <w:b/>
          <w:bCs/>
        </w:rPr>
        <w:t xml:space="preserve">2%</w:t>
      </w:r>
      <w:r>
        <w:t xml:space="preserve"> </w:t>
      </w:r>
      <w:r>
        <w:t xml:space="preserve">(taxa muito baixa)</w:t>
      </w:r>
    </w:p>
    <w:bookmarkEnd w:id="28"/>
    <w:bookmarkStart w:id="29" w:name="estabilidade-e-taxa-de-retoque-cirúrgico"/>
    <w:p>
      <w:pPr>
        <w:pStyle w:val="Heading3"/>
      </w:pPr>
      <w:r>
        <w:t xml:space="preserve">7.5.4. Estabilidade e Taxa de Retoque Cirúrgico</w:t>
      </w:r>
    </w:p>
    <w:p>
      <w:pPr>
        <w:pStyle w:val="FirstParagraph"/>
      </w:pPr>
      <w:r>
        <w:rPr>
          <w:b/>
          <w:bCs/>
        </w:rPr>
        <w:t xml:space="preserve">Regressão Refrativa:</w:t>
      </w:r>
    </w:p>
    <w:p>
      <w:pPr>
        <w:pStyle w:val="BodyText"/>
      </w:pPr>
      <w:r>
        <w:t xml:space="preserve">Mediana de shift aos 12 meses:</w:t>
      </w:r>
      <w:r>
        <w:t xml:space="preserve"> </w:t>
      </w:r>
      <w:r>
        <w:t xml:space="preserve">- Esfera: +0.12 D (hipermetrópico ligeiro, esperado)</w:t>
      </w:r>
      <w:r>
        <w:t xml:space="preserve"> </w:t>
      </w:r>
      <w:r>
        <w:t xml:space="preserve">- Add efetiva: Perda de ~0.15 D (mínima)</w:t>
      </w:r>
    </w:p>
    <w:p>
      <w:pPr>
        <w:pStyle w:val="BodyText"/>
      </w:pPr>
      <w:r>
        <w:rPr>
          <w:b/>
          <w:bCs/>
        </w:rPr>
        <w:t xml:space="preserve">Taxa de retratamento:</w:t>
      </w:r>
      <w:r>
        <w:t xml:space="preserve"> </w:t>
      </w:r>
      <w:r>
        <w:t xml:space="preserve">8-10% [4]</w:t>
      </w:r>
    </w:p>
    <w:p>
      <w:pPr>
        <w:pStyle w:val="BodyText"/>
      </w:pPr>
      <w:r>
        <w:rPr>
          <w:b/>
          <w:bCs/>
        </w:rPr>
        <w:t xml:space="preserve">Indicações Principais:</w:t>
      </w:r>
      <w:r>
        <w:t xml:space="preserve"> </w:t>
      </w:r>
      <w:r>
        <w:t xml:space="preserve">- Hipocorreção (visão perto insuficiente): 5%</w:t>
      </w:r>
      <w:r>
        <w:t xml:space="preserve"> </w:t>
      </w:r>
      <w:r>
        <w:t xml:space="preserve">- Anisometropia excessiva (paciente não adaptou): 2%</w:t>
      </w:r>
      <w:r>
        <w:t xml:space="preserve"> </w:t>
      </w:r>
      <w:r>
        <w:t xml:space="preserve">- Regressão hipermetrópica: 3%</w:t>
      </w:r>
    </w:p>
    <w:p>
      <w:r>
        <w:pict>
          <v:rect style="width:0;height:1.5pt" o:hralign="center" o:hrstd="t" o:hr="t"/>
        </w:pict>
      </w:r>
    </w:p>
    <w:bookmarkEnd w:id="29"/>
    <w:bookmarkEnd w:id="30"/>
    <w:bookmarkStart w:id="33" w:name="X3b7a98830a3521d27773f890fbb0d9ad1f04a62"/>
    <w:p>
      <w:pPr>
        <w:pStyle w:val="Heading2"/>
      </w:pPr>
      <w:r>
        <w:t xml:space="preserve">7.6. Limitações e Contraindicações Específicas</w:t>
      </w:r>
    </w:p>
    <w:bookmarkStart w:id="31" w:name="limitações-técnicas"/>
    <w:p>
      <w:pPr>
        <w:pStyle w:val="Heading3"/>
      </w:pPr>
      <w:r>
        <w:t xml:space="preserve">7.6.1. Limitações Técnicas</w:t>
      </w:r>
    </w:p>
    <w:p>
      <w:pPr>
        <w:pStyle w:val="FirstParagraph"/>
      </w:pPr>
      <w:r>
        <w:rPr>
          <w:b/>
          <w:bCs/>
        </w:rPr>
        <w:t xml:space="preserve">Dependência de Plataforma:</w:t>
      </w:r>
      <w:r>
        <w:t xml:space="preserve"> </w:t>
      </w:r>
      <w:r>
        <w:t xml:space="preserve">- PRESBYOND é</w:t>
      </w:r>
      <w:r>
        <w:t xml:space="preserve"> </w:t>
      </w:r>
      <w:r>
        <w:rPr>
          <w:b/>
          <w:bCs/>
        </w:rPr>
        <w:t xml:space="preserve">exclusivo Zeiss MEL 90</w:t>
      </w:r>
      <w:r>
        <w:t xml:space="preserve"> </w:t>
      </w:r>
      <w:r>
        <w:t xml:space="preserve">(não transferível para outras plataformas)</w:t>
      </w:r>
      <w:r>
        <w:t xml:space="preserve"> </w:t>
      </w:r>
      <w:r>
        <w:t xml:space="preserve">- Algoritmo é proprietário</w:t>
      </w:r>
      <w:r>
        <w:t xml:space="preserve"> </w:t>
      </w:r>
      <w:r>
        <w:t xml:space="preserve">“black box”</w:t>
      </w:r>
      <w:r>
        <w:t xml:space="preserve"> </w:t>
      </w:r>
      <w:r>
        <w:t xml:space="preserve">(sem transparência matemática)</w:t>
      </w:r>
      <w:r>
        <w:t xml:space="preserve"> </w:t>
      </w:r>
      <w:r>
        <w:t xml:space="preserve">- Cirurgião não pode ajustar targets (limitação criativa)</w:t>
      </w:r>
    </w:p>
    <w:p>
      <w:pPr>
        <w:pStyle w:val="BodyText"/>
      </w:pPr>
      <w:r>
        <w:rPr>
          <w:b/>
          <w:bCs/>
        </w:rPr>
        <w:t xml:space="preserve">Limitação de Add:</w:t>
      </w:r>
      <w:r>
        <w:t xml:space="preserve"> </w:t>
      </w:r>
      <w:r>
        <w:t xml:space="preserve">- Máximo +2.00 D efetivo (menos que PresbyMAX +2.50 D)</w:t>
      </w:r>
      <w:r>
        <w:t xml:space="preserve"> </w:t>
      </w:r>
      <w:r>
        <w:t xml:space="preserve">- Pacientes &gt;+2.25 D add necessária podem ficar subótimos</w:t>
      </w:r>
    </w:p>
    <w:bookmarkEnd w:id="31"/>
    <w:bookmarkStart w:id="32" w:name="contraindicações-específicas"/>
    <w:p>
      <w:pPr>
        <w:pStyle w:val="Heading3"/>
      </w:pPr>
      <w:r>
        <w:t xml:space="preserve">7.6.2. Contraindicações Específicas</w:t>
      </w:r>
    </w:p>
    <w:p>
      <w:pPr>
        <w:pStyle w:val="FirstParagraph"/>
      </w:pPr>
      <w:r>
        <w:rPr>
          <w:b/>
          <w:bCs/>
        </w:rPr>
        <w:t xml:space="preserve">Absolutas:</w:t>
      </w:r>
    </w:p>
    <w:p>
      <w:pPr>
        <w:pStyle w:val="Compact"/>
        <w:numPr>
          <w:ilvl w:val="0"/>
          <w:numId w:val="1019"/>
        </w:numPr>
      </w:pPr>
      <w:r>
        <w:rPr>
          <w:b/>
          <w:bCs/>
        </w:rPr>
        <w:t xml:space="preserve">Dominância Ocular Indefinida:</w:t>
      </w:r>
    </w:p>
    <w:p>
      <w:pPr>
        <w:pStyle w:val="Compact"/>
        <w:numPr>
          <w:ilvl w:val="1"/>
          <w:numId w:val="1020"/>
        </w:numPr>
      </w:pPr>
      <w:r>
        <w:t xml:space="preserve">PRESBYOND depende criticamente de dominância clara</w:t>
      </w:r>
    </w:p>
    <w:p>
      <w:pPr>
        <w:pStyle w:val="Compact"/>
        <w:numPr>
          <w:ilvl w:val="1"/>
          <w:numId w:val="1020"/>
        </w:numPr>
      </w:pPr>
      <w:r>
        <w:t xml:space="preserve">Pacientes sem dominância definida: Resultados imprevisíveis</w:t>
      </w:r>
    </w:p>
    <w:p>
      <w:pPr>
        <w:pStyle w:val="Compact"/>
        <w:numPr>
          <w:ilvl w:val="1"/>
          <w:numId w:val="1020"/>
        </w:numPr>
      </w:pPr>
      <w:r>
        <w:t xml:space="preserve">Teste: Se hole-in-card e convergence tests discordam → Contraindicar</w:t>
      </w:r>
    </w:p>
    <w:p>
      <w:pPr>
        <w:pStyle w:val="Compact"/>
        <w:numPr>
          <w:ilvl w:val="0"/>
          <w:numId w:val="1019"/>
        </w:numPr>
      </w:pPr>
      <w:r>
        <w:rPr>
          <w:b/>
          <w:bCs/>
        </w:rPr>
        <w:t xml:space="preserve">Intolerância Prévia à Monovisão:</w:t>
      </w:r>
    </w:p>
    <w:p>
      <w:pPr>
        <w:pStyle w:val="Compact"/>
        <w:numPr>
          <w:ilvl w:val="1"/>
          <w:numId w:val="1021"/>
        </w:numPr>
      </w:pPr>
      <w:r>
        <w:t xml:space="preserve">Paciente que tentou LC monovisão e falhou</w:t>
      </w:r>
    </w:p>
    <w:p>
      <w:pPr>
        <w:pStyle w:val="Compact"/>
        <w:numPr>
          <w:ilvl w:val="1"/>
          <w:numId w:val="1021"/>
        </w:numPr>
      </w:pPr>
      <w:r>
        <w:t xml:space="preserve">História de tontura com anisometropia</w:t>
      </w:r>
    </w:p>
    <w:p>
      <w:pPr>
        <w:pStyle w:val="Compact"/>
        <w:numPr>
          <w:ilvl w:val="0"/>
          <w:numId w:val="1019"/>
        </w:numPr>
      </w:pPr>
      <w:r>
        <w:rPr>
          <w:b/>
          <w:bCs/>
        </w:rPr>
        <w:t xml:space="preserve">Estrabismo ou Ambliopia:</w:t>
      </w:r>
    </w:p>
    <w:p>
      <w:pPr>
        <w:pStyle w:val="Compact"/>
        <w:numPr>
          <w:ilvl w:val="1"/>
          <w:numId w:val="1022"/>
        </w:numPr>
      </w:pPr>
      <w:r>
        <w:t xml:space="preserve">Fusão binocular comprometida invalida conceito blend</w:t>
      </w:r>
    </w:p>
    <w:p>
      <w:pPr>
        <w:pStyle w:val="Compact"/>
        <w:numPr>
          <w:ilvl w:val="1"/>
          <w:numId w:val="1022"/>
        </w:numPr>
      </w:pPr>
      <w:r>
        <w:t xml:space="preserve">Blend requer fusão cortical ativa</w:t>
      </w:r>
    </w:p>
    <w:p>
      <w:pPr>
        <w:pStyle w:val="FirstParagraph"/>
      </w:pPr>
      <w:r>
        <w:rPr>
          <w:b/>
          <w:bCs/>
        </w:rPr>
        <w:t xml:space="preserve">Relativas:</w:t>
      </w:r>
    </w:p>
    <w:p>
      <w:pPr>
        <w:pStyle w:val="Compact"/>
        <w:numPr>
          <w:ilvl w:val="0"/>
          <w:numId w:val="1023"/>
        </w:numPr>
      </w:pPr>
      <w:r>
        <w:rPr>
          <w:b/>
          <w:bCs/>
        </w:rPr>
        <w:t xml:space="preserve">Profissões de Precisão Visual Extrema:</w:t>
      </w:r>
    </w:p>
    <w:p>
      <w:pPr>
        <w:pStyle w:val="Compact"/>
        <w:numPr>
          <w:ilvl w:val="1"/>
          <w:numId w:val="1024"/>
        </w:numPr>
      </w:pPr>
      <w:r>
        <w:t xml:space="preserve">Cirurgiões (especialmente microcirurgia)</w:t>
      </w:r>
    </w:p>
    <w:p>
      <w:pPr>
        <w:pStyle w:val="Compact"/>
        <w:numPr>
          <w:ilvl w:val="1"/>
          <w:numId w:val="1024"/>
        </w:numPr>
      </w:pPr>
      <w:r>
        <w:t xml:space="preserve">Pilotos de aviação comercial</w:t>
      </w:r>
    </w:p>
    <w:p>
      <w:pPr>
        <w:pStyle w:val="Compact"/>
        <w:numPr>
          <w:ilvl w:val="1"/>
          <w:numId w:val="1024"/>
        </w:numPr>
      </w:pPr>
      <w:r>
        <w:t xml:space="preserve">Tiradores de elite, atletas de precisão</w:t>
      </w:r>
    </w:p>
    <w:p>
      <w:pPr>
        <w:pStyle w:val="Compact"/>
        <w:numPr>
          <w:ilvl w:val="0"/>
          <w:numId w:val="1023"/>
        </w:numPr>
      </w:pPr>
      <w:r>
        <w:rPr>
          <w:b/>
          <w:bCs/>
        </w:rPr>
        <w:t xml:space="preserve">Atividades Noturnas Críticas:</w:t>
      </w:r>
    </w:p>
    <w:p>
      <w:pPr>
        <w:pStyle w:val="Compact"/>
        <w:numPr>
          <w:ilvl w:val="1"/>
          <w:numId w:val="1025"/>
        </w:numPr>
      </w:pPr>
      <w:r>
        <w:t xml:space="preserve">Condutores profissionais noturnos</w:t>
      </w:r>
    </w:p>
    <w:p>
      <w:pPr>
        <w:pStyle w:val="Compact"/>
        <w:numPr>
          <w:ilvl w:val="1"/>
          <w:numId w:val="1025"/>
        </w:numPr>
      </w:pPr>
      <w:r>
        <w:t xml:space="preserve">Segurança/polícia com trabalho noturno primário</w:t>
      </w:r>
    </w:p>
    <w:p>
      <w:r>
        <w:pict>
          <v:rect style="width:0;height:1.5pt" o:hralign="center" o:hrstd="t" o:hr="t"/>
        </w:pict>
      </w:r>
    </w:p>
    <w:bookmarkEnd w:id="32"/>
    <w:bookmarkEnd w:id="33"/>
    <w:bookmarkStart w:id="35" w:name="X65d10ddc32bfb3067e3097bc26d39548ad05a14"/>
    <w:p>
      <w:pPr>
        <w:pStyle w:val="Heading2"/>
      </w:pPr>
      <w:r>
        <w:t xml:space="preserve">7.7. PRESBYOND vs. Outras Técnicas: Tabela Comparativa Completa</w:t>
      </w:r>
    </w:p>
    <w:tbl>
      <w:tblPr>
        <w:tblStyle w:val="Table"/>
        <w:tblW w:type="pct" w:w="5000"/>
        <w:tblLayout w:type="fixed"/>
        <w:tblLook w:firstRow="1" w:lastRow="0" w:firstColumn="0" w:lastColumn="0" w:noHBand="0" w:noVBand="0" w:val="0020"/>
      </w:tblPr>
      <w:tblGrid>
        <w:gridCol w:w="1494"/>
        <w:gridCol w:w="2241"/>
        <w:gridCol w:w="1494"/>
        <w:gridCol w:w="2689"/>
      </w:tblGrid>
      <w:tr>
        <w:trPr>
          <w:tblHeader w:val="on"/>
        </w:trPr>
        <w:tc>
          <w:tcPr/>
          <w:p>
            <w:pPr>
              <w:pStyle w:val="Compact"/>
            </w:pPr>
            <w:r>
              <w:t xml:space="preserve">Critério</w:t>
            </w:r>
          </w:p>
        </w:tc>
        <w:tc>
          <w:tcPr/>
          <w:p>
            <w:pPr>
              <w:pStyle w:val="Compact"/>
            </w:pPr>
            <w:r>
              <w:t xml:space="preserve">PRESBYOND LBV</w:t>
            </w:r>
          </w:p>
        </w:tc>
        <w:tc>
          <w:tcPr/>
          <w:p>
            <w:pPr>
              <w:pStyle w:val="Compact"/>
            </w:pPr>
            <w:r>
              <w:t xml:space="preserve">Custom-Q</w:t>
            </w:r>
          </w:p>
        </w:tc>
        <w:tc>
          <w:tcPr/>
          <w:p>
            <w:pPr>
              <w:pStyle w:val="Compact"/>
            </w:pPr>
            <w:r>
              <w:t xml:space="preserve">PresbyMAX Hybrid</w:t>
            </w:r>
          </w:p>
        </w:tc>
      </w:tr>
      <w:tr>
        <w:tc>
          <w:tcPr/>
          <w:p>
            <w:pPr>
              <w:pStyle w:val="Compact"/>
            </w:pPr>
            <w:r>
              <w:rPr>
                <w:b/>
                <w:bCs/>
              </w:rPr>
              <w:t xml:space="preserve">Filosofia</w:t>
            </w:r>
          </w:p>
        </w:tc>
        <w:tc>
          <w:tcPr/>
          <w:p>
            <w:pPr>
              <w:pStyle w:val="Compact"/>
            </w:pPr>
            <w:r>
              <w:t xml:space="preserve">Micro-monovisão + Blend</w:t>
            </w:r>
          </w:p>
        </w:tc>
        <w:tc>
          <w:tcPr/>
          <w:p>
            <w:pPr>
              <w:pStyle w:val="Compact"/>
            </w:pPr>
            <w:r>
              <w:t xml:space="preserve">Q-factor personalizado</w:t>
            </w:r>
          </w:p>
        </w:tc>
        <w:tc>
          <w:tcPr/>
          <w:p>
            <w:pPr>
              <w:pStyle w:val="Compact"/>
            </w:pPr>
            <w:r>
              <w:t xml:space="preserve">Multifocal zonal + monovisão</w:t>
            </w:r>
          </w:p>
        </w:tc>
      </w:tr>
      <w:tr>
        <w:tc>
          <w:tcPr/>
          <w:p>
            <w:pPr>
              <w:pStyle w:val="Compact"/>
            </w:pPr>
            <w:r>
              <w:rPr>
                <w:b/>
                <w:bCs/>
              </w:rPr>
              <w:t xml:space="preserve">Anisometropia Induzida</w:t>
            </w:r>
          </w:p>
        </w:tc>
        <w:tc>
          <w:tcPr/>
          <w:p>
            <w:pPr>
              <w:pStyle w:val="Compact"/>
            </w:pPr>
            <w:r>
              <w:rPr>
                <w:b/>
                <w:bCs/>
              </w:rPr>
              <w:t xml:space="preserve">1.50-1.75 D</w:t>
            </w:r>
            <w:r>
              <w:t xml:space="preserve"> </w:t>
            </w:r>
            <w:r>
              <w:t xml:space="preserve">(moderada)</w:t>
            </w:r>
          </w:p>
        </w:tc>
        <w:tc>
          <w:tcPr/>
          <w:p>
            <w:pPr>
              <w:pStyle w:val="Compact"/>
            </w:pPr>
            <w:r>
              <w:t xml:space="preserve">0.50-1.00 D (ligeira)</w:t>
            </w:r>
          </w:p>
        </w:tc>
        <w:tc>
          <w:tcPr/>
          <w:p>
            <w:pPr>
              <w:pStyle w:val="Compact"/>
            </w:pPr>
            <w:r>
              <w:t xml:space="preserve">0.50-0.75 D (mínima)</w:t>
            </w:r>
          </w:p>
        </w:tc>
      </w:tr>
      <w:tr>
        <w:tc>
          <w:tcPr/>
          <w:p>
            <w:pPr>
              <w:pStyle w:val="Compact"/>
            </w:pPr>
            <w:r>
              <w:rPr>
                <w:b/>
                <w:bCs/>
              </w:rPr>
              <w:t xml:space="preserve">Add Máxima</w:t>
            </w:r>
          </w:p>
        </w:tc>
        <w:tc>
          <w:tcPr/>
          <w:p>
            <w:pPr>
              <w:pStyle w:val="Compact"/>
            </w:pPr>
            <w:r>
              <w:t xml:space="preserve">+2.00 D</w:t>
            </w:r>
          </w:p>
        </w:tc>
        <w:tc>
          <w:tcPr/>
          <w:p>
            <w:pPr>
              <w:pStyle w:val="Compact"/>
            </w:pPr>
            <w:r>
              <w:t xml:space="preserve">+1.75 D</w:t>
            </w:r>
          </w:p>
        </w:tc>
        <w:tc>
          <w:tcPr/>
          <w:p>
            <w:pPr>
              <w:pStyle w:val="Compact"/>
            </w:pPr>
            <w:r>
              <w:rPr>
                <w:b/>
                <w:bCs/>
              </w:rPr>
              <w:t xml:space="preserve">+2.50 D</w:t>
            </w:r>
          </w:p>
        </w:tc>
      </w:tr>
      <w:tr>
        <w:tc>
          <w:tcPr/>
          <w:p>
            <w:pPr>
              <w:pStyle w:val="Compact"/>
            </w:pPr>
            <w:r>
              <w:rPr>
                <w:b/>
                <w:bCs/>
              </w:rPr>
              <w:t xml:space="preserve">Fusão Binocular Intermédio</w:t>
            </w:r>
          </w:p>
        </w:tc>
        <w:tc>
          <w:tcPr/>
          <w:p>
            <w:pPr>
              <w:pStyle w:val="Compact"/>
            </w:pPr>
            <w:r>
              <w:rPr>
                <w:b/>
                <w:bCs/>
              </w:rPr>
              <w:t xml:space="preserve">Excelente (blend ativo)</w:t>
            </w:r>
          </w:p>
        </w:tc>
        <w:tc>
          <w:tcPr/>
          <w:p>
            <w:pPr>
              <w:pStyle w:val="Compact"/>
            </w:pPr>
            <w:r>
              <w:t xml:space="preserve">Boa</w:t>
            </w:r>
          </w:p>
        </w:tc>
        <w:tc>
          <w:tcPr/>
          <w:p>
            <w:pPr>
              <w:pStyle w:val="Compact"/>
            </w:pPr>
            <w:r>
              <w:t xml:space="preserve">Moderada</w:t>
            </w:r>
          </w:p>
        </w:tc>
      </w:tr>
      <w:tr>
        <w:tc>
          <w:tcPr/>
          <w:p>
            <w:pPr>
              <w:pStyle w:val="Compact"/>
            </w:pPr>
            <w:r>
              <w:rPr>
                <w:b/>
                <w:bCs/>
              </w:rPr>
              <w:t xml:space="preserve">Preservação CDVA</w:t>
            </w:r>
          </w:p>
        </w:tc>
        <w:tc>
          <w:tcPr/>
          <w:p>
            <w:pPr>
              <w:pStyle w:val="Compact"/>
            </w:pPr>
            <w:r>
              <w:t xml:space="preserve">Muito boa (92% ≥20/20)</w:t>
            </w:r>
          </w:p>
        </w:tc>
        <w:tc>
          <w:tcPr/>
          <w:p>
            <w:pPr>
              <w:pStyle w:val="Compact"/>
            </w:pPr>
            <w:r>
              <w:t xml:space="preserve">Muito boa (85% ≥20/20)</w:t>
            </w:r>
          </w:p>
        </w:tc>
        <w:tc>
          <w:tcPr/>
          <w:p>
            <w:pPr>
              <w:pStyle w:val="Compact"/>
            </w:pPr>
            <w:r>
              <w:rPr>
                <w:b/>
                <w:bCs/>
              </w:rPr>
              <w:t xml:space="preserve">Excelente (90% ≥20/20)</w:t>
            </w:r>
          </w:p>
        </w:tc>
      </w:tr>
      <w:tr>
        <w:tc>
          <w:tcPr/>
          <w:p>
            <w:pPr>
              <w:pStyle w:val="Compact"/>
            </w:pPr>
            <w:r>
              <w:rPr>
                <w:b/>
                <w:bCs/>
              </w:rPr>
              <w:t xml:space="preserve">Halos Noturnos</w:t>
            </w:r>
          </w:p>
        </w:tc>
        <w:tc>
          <w:tcPr/>
          <w:p>
            <w:pPr>
              <w:pStyle w:val="Compact"/>
            </w:pPr>
            <w:r>
              <w:rPr>
                <w:b/>
                <w:bCs/>
              </w:rPr>
              <w:t xml:space="preserve">Baixos (12% mod)</w:t>
            </w:r>
          </w:p>
        </w:tc>
        <w:tc>
          <w:tcPr/>
          <w:p>
            <w:pPr>
              <w:pStyle w:val="Compact"/>
            </w:pPr>
            <w:r>
              <w:t xml:space="preserve">Moderados (20-25%)</w:t>
            </w:r>
          </w:p>
        </w:tc>
        <w:tc>
          <w:tcPr/>
          <w:p>
            <w:pPr>
              <w:pStyle w:val="Compact"/>
            </w:pPr>
            <w:r>
              <w:t xml:space="preserve">Moderados-Altos (25-35%)</w:t>
            </w:r>
          </w:p>
        </w:tc>
      </w:tr>
      <w:tr>
        <w:tc>
          <w:tcPr/>
          <w:p>
            <w:pPr>
              <w:pStyle w:val="Compact"/>
            </w:pPr>
            <w:r>
              <w:rPr>
                <w:b/>
                <w:bCs/>
              </w:rPr>
              <w:t xml:space="preserve">Dependência Pupilar</w:t>
            </w:r>
          </w:p>
        </w:tc>
        <w:tc>
          <w:tcPr/>
          <w:p>
            <w:pPr>
              <w:pStyle w:val="Compact"/>
            </w:pPr>
            <w:r>
              <w:t xml:space="preserve">Baixa</w:t>
            </w:r>
          </w:p>
        </w:tc>
        <w:tc>
          <w:tcPr/>
          <w:p>
            <w:pPr>
              <w:pStyle w:val="Compact"/>
            </w:pPr>
            <w:r>
              <w:t xml:space="preserve">Moderada</w:t>
            </w:r>
          </w:p>
        </w:tc>
        <w:tc>
          <w:tcPr/>
          <w:p>
            <w:pPr>
              <w:pStyle w:val="Compact"/>
            </w:pPr>
            <w:r>
              <w:rPr>
                <w:b/>
                <w:bCs/>
              </w:rPr>
              <w:t xml:space="preserve">Muito Alta</w:t>
            </w:r>
          </w:p>
        </w:tc>
      </w:tr>
      <w:tr>
        <w:tc>
          <w:tcPr/>
          <w:p>
            <w:pPr>
              <w:pStyle w:val="Compact"/>
            </w:pPr>
            <w:r>
              <w:rPr>
                <w:b/>
                <w:bCs/>
              </w:rPr>
              <w:t xml:space="preserve">Neuroadaptação</w:t>
            </w:r>
          </w:p>
        </w:tc>
        <w:tc>
          <w:tcPr/>
          <w:p>
            <w:pPr>
              <w:pStyle w:val="Compact"/>
            </w:pPr>
            <w:r>
              <w:t xml:space="preserve">Rápida (60% sat. sem 1)</w:t>
            </w:r>
          </w:p>
        </w:tc>
        <w:tc>
          <w:tcPr/>
          <w:p>
            <w:pPr>
              <w:pStyle w:val="Compact"/>
            </w:pPr>
            <w:r>
              <w:t xml:space="preserve">Moderada (3-6 meses)</w:t>
            </w:r>
          </w:p>
        </w:tc>
        <w:tc>
          <w:tcPr/>
          <w:p>
            <w:pPr>
              <w:pStyle w:val="Compact"/>
            </w:pPr>
            <w:r>
              <w:t xml:space="preserve">Moderada-Lenta</w:t>
            </w:r>
          </w:p>
        </w:tc>
      </w:tr>
      <w:tr>
        <w:tc>
          <w:tcPr/>
          <w:p>
            <w:pPr>
              <w:pStyle w:val="Compact"/>
            </w:pPr>
            <w:r>
              <w:rPr>
                <w:b/>
                <w:bCs/>
              </w:rPr>
              <w:t xml:space="preserve">Satisfação 12m</w:t>
            </w:r>
          </w:p>
        </w:tc>
        <w:tc>
          <w:tcPr/>
          <w:p>
            <w:pPr>
              <w:pStyle w:val="Compact"/>
            </w:pPr>
            <w:r>
              <w:rPr>
                <w:b/>
                <w:bCs/>
              </w:rPr>
              <w:t xml:space="preserve">93%</w:t>
            </w:r>
          </w:p>
        </w:tc>
        <w:tc>
          <w:tcPr/>
          <w:p>
            <w:pPr>
              <w:pStyle w:val="Compact"/>
            </w:pPr>
            <w:r>
              <w:t xml:space="preserve">85-89%</w:t>
            </w:r>
          </w:p>
        </w:tc>
        <w:tc>
          <w:tcPr/>
          <w:p>
            <w:pPr>
              <w:pStyle w:val="Compact"/>
            </w:pPr>
            <w:r>
              <w:t xml:space="preserve">89%</w:t>
            </w:r>
          </w:p>
        </w:tc>
      </w:tr>
      <w:tr>
        <w:tc>
          <w:tcPr/>
          <w:p>
            <w:pPr>
              <w:pStyle w:val="Compact"/>
            </w:pPr>
            <w:r>
              <w:rPr>
                <w:b/>
                <w:bCs/>
              </w:rPr>
              <w:t xml:space="preserve">taxa de retratamento</w:t>
            </w:r>
          </w:p>
        </w:tc>
        <w:tc>
          <w:tcPr/>
          <w:p>
            <w:pPr>
              <w:pStyle w:val="Compact"/>
            </w:pPr>
            <w:r>
              <w:t xml:space="preserve">8-10%</w:t>
            </w:r>
          </w:p>
        </w:tc>
        <w:tc>
          <w:tcPr/>
          <w:p>
            <w:pPr>
              <w:pStyle w:val="Compact"/>
            </w:pPr>
            <w:r>
              <w:t xml:space="preserve">12-18%</w:t>
            </w:r>
          </w:p>
        </w:tc>
        <w:tc>
          <w:tcPr/>
          <w:p>
            <w:pPr>
              <w:pStyle w:val="Compact"/>
            </w:pPr>
            <w:r>
              <w:rPr>
                <w:b/>
                <w:bCs/>
              </w:rPr>
              <w:t xml:space="preserve">10-15%</w:t>
            </w:r>
          </w:p>
        </w:tc>
      </w:tr>
      <w:tr>
        <w:tc>
          <w:tcPr/>
          <w:p>
            <w:pPr>
              <w:pStyle w:val="Compact"/>
            </w:pPr>
            <w:r>
              <w:rPr>
                <w:b/>
                <w:bCs/>
              </w:rPr>
              <w:t xml:space="preserve">Plataforma</w:t>
            </w:r>
          </w:p>
        </w:tc>
        <w:tc>
          <w:tcPr/>
          <w:p>
            <w:pPr>
              <w:pStyle w:val="Compact"/>
            </w:pPr>
            <w:r>
              <w:rPr>
                <w:b/>
                <w:bCs/>
              </w:rPr>
              <w:t xml:space="preserve">Exclusivo Zeiss MEL 90</w:t>
            </w:r>
          </w:p>
        </w:tc>
        <w:tc>
          <w:tcPr/>
          <w:p>
            <w:pPr>
              <w:pStyle w:val="Compact"/>
            </w:pPr>
            <w:r>
              <w:t xml:space="preserve">Qualquer com Custom-Q</w:t>
            </w:r>
          </w:p>
        </w:tc>
        <w:tc>
          <w:tcPr/>
          <w:p>
            <w:pPr>
              <w:pStyle w:val="Compact"/>
            </w:pPr>
            <w:r>
              <w:t xml:space="preserve">Exclusivo Schwind Amaris</w:t>
            </w:r>
          </w:p>
        </w:tc>
      </w:tr>
      <w:tr>
        <w:tc>
          <w:tcPr/>
          <w:p>
            <w:pPr>
              <w:pStyle w:val="Compact"/>
            </w:pPr>
            <w:r>
              <w:rPr>
                <w:b/>
                <w:bCs/>
              </w:rPr>
              <w:t xml:space="preserve">Curva Aprendizagem</w:t>
            </w:r>
          </w:p>
        </w:tc>
        <w:tc>
          <w:tcPr/>
          <w:p>
            <w:pPr>
              <w:pStyle w:val="Compact"/>
            </w:pPr>
            <w:r>
              <w:t xml:space="preserve">Baixa (automático)</w:t>
            </w:r>
          </w:p>
        </w:tc>
        <w:tc>
          <w:tcPr/>
          <w:p>
            <w:pPr>
              <w:pStyle w:val="Compact"/>
            </w:pPr>
            <w:r>
              <w:rPr>
                <w:b/>
                <w:bCs/>
              </w:rPr>
              <w:t xml:space="preserve">Alta (cálculos)</w:t>
            </w:r>
          </w:p>
        </w:tc>
        <w:tc>
          <w:tcPr/>
          <w:p>
            <w:pPr>
              <w:pStyle w:val="Compact"/>
            </w:pPr>
            <w:r>
              <w:t xml:space="preserve">Baixa-Moderada</w:t>
            </w:r>
          </w:p>
        </w:tc>
      </w:tr>
      <w:tr>
        <w:tc>
          <w:tcPr/>
          <w:p>
            <w:pPr>
              <w:pStyle w:val="Compact"/>
            </w:pPr>
            <w:r>
              <w:rPr>
                <w:b/>
                <w:bCs/>
              </w:rPr>
              <w:t xml:space="preserve">Flexibilidade Cirurgião</w:t>
            </w:r>
          </w:p>
        </w:tc>
        <w:tc>
          <w:tcPr/>
          <w:p>
            <w:pPr>
              <w:pStyle w:val="Compact"/>
            </w:pPr>
            <w:r>
              <w:t xml:space="preserve">Nula (black box)</w:t>
            </w:r>
          </w:p>
        </w:tc>
        <w:tc>
          <w:tcPr/>
          <w:p>
            <w:pPr>
              <w:pStyle w:val="Compact"/>
            </w:pPr>
            <w:r>
              <w:rPr>
                <w:b/>
                <w:bCs/>
              </w:rPr>
              <w:t xml:space="preserve">Total (manual)</w:t>
            </w:r>
          </w:p>
        </w:tc>
        <w:tc>
          <w:tcPr/>
          <w:p>
            <w:pPr>
              <w:pStyle w:val="Compact"/>
            </w:pPr>
            <w:r>
              <w:t xml:space="preserve">Moderada</w:t>
            </w:r>
          </w:p>
        </w:tc>
      </w:tr>
    </w:tbl>
    <w:bookmarkStart w:id="34" w:name="interpretação-estratégica"/>
    <w:p>
      <w:pPr>
        <w:pStyle w:val="Heading3"/>
      </w:pPr>
      <w:r>
        <w:t xml:space="preserve">Interpretação Estratégica:</w:t>
      </w:r>
    </w:p>
    <w:p>
      <w:pPr>
        <w:pStyle w:val="FirstParagraph"/>
      </w:pPr>
      <w:r>
        <w:rPr>
          <w:b/>
          <w:bCs/>
        </w:rPr>
        <w:t xml:space="preserve">PRESBYOND é ideal quando:</w:t>
      </w:r>
      <w:r>
        <w:t xml:space="preserve"> </w:t>
      </w:r>
      <w:r>
        <w:t xml:space="preserve">- Plataforma Zeiss MEL 90 disponível</w:t>
      </w:r>
      <w:r>
        <w:t xml:space="preserve"> </w:t>
      </w:r>
      <w:r>
        <w:t xml:space="preserve">- Prioridade: Visão intermediária excelente (profissionais de computador, arquitetos)</w:t>
      </w:r>
      <w:r>
        <w:t xml:space="preserve"> </w:t>
      </w:r>
      <w:r>
        <w:t xml:space="preserve">- Perfil de paciente: Hipermétrope ou emétrope, expectativas realistas</w:t>
      </w:r>
      <w:r>
        <w:t xml:space="preserve"> </w:t>
      </w:r>
      <w:r>
        <w:t xml:space="preserve">- Cirurgião prefere simplicidade (algoritmo automático) com resultados consistentes</w:t>
      </w:r>
    </w:p>
    <w:p>
      <w:pPr>
        <w:pStyle w:val="BodyText"/>
      </w:pPr>
      <w:r>
        <w:rPr>
          <w:b/>
          <w:bCs/>
        </w:rPr>
        <w:t xml:space="preserve">Custom-Q é preferível quando:</w:t>
      </w:r>
      <w:r>
        <w:t xml:space="preserve"> </w:t>
      </w:r>
      <w:r>
        <w:t xml:space="preserve">- Necessidade de personalização extrema (córneas atípicas)</w:t>
      </w:r>
      <w:r>
        <w:t xml:space="preserve"> </w:t>
      </w:r>
      <w:r>
        <w:t xml:space="preserve">- Cirurgião quer controlo total sobre targets</w:t>
      </w:r>
      <w:r>
        <w:t xml:space="preserve"> </w:t>
      </w:r>
      <w:r>
        <w:t xml:space="preserve">- Pupila muito grande (&gt;6.5 mm) exige cautela com multifocais</w:t>
      </w:r>
    </w:p>
    <w:p>
      <w:pPr>
        <w:pStyle w:val="BodyText"/>
      </w:pPr>
      <w:r>
        <w:rPr>
          <w:b/>
          <w:bCs/>
        </w:rPr>
        <w:t xml:space="preserve">PresbyMAX favorecido quando:</w:t>
      </w:r>
      <w:r>
        <w:t xml:space="preserve"> </w:t>
      </w:r>
      <w:r>
        <w:t xml:space="preserve">- Add elevada necessária (+2.00-2.50 D)</w:t>
      </w:r>
      <w:r>
        <w:t xml:space="preserve"> </w:t>
      </w:r>
      <w:r>
        <w:t xml:space="preserve">- Pupila ideal (fotópica pequena, mesópica moderada)</w:t>
      </w:r>
      <w:r>
        <w:t xml:space="preserve"> </w:t>
      </w:r>
      <w:r>
        <w:t xml:space="preserve">- Plataforma Schwind disponível</w:t>
      </w:r>
    </w:p>
    <w:p>
      <w:r>
        <w:pict>
          <v:rect style="width:0;height:1.5pt" o:hralign="center" o:hrstd="t" o:hr="t"/>
        </w:pict>
      </w:r>
    </w:p>
    <w:bookmarkEnd w:id="34"/>
    <w:bookmarkEnd w:id="35"/>
    <w:bookmarkStart w:id="38" w:name="casos-clínicos-ilustrativos"/>
    <w:p>
      <w:pPr>
        <w:pStyle w:val="Heading2"/>
      </w:pPr>
      <w:r>
        <w:t xml:space="preserve">7.8. Casos Clínicos Ilustrativos</w:t>
      </w:r>
    </w:p>
    <w:bookmarkStart w:id="36" w:name="caso-1-sucesso-presbyond-em-emétrope"/>
    <w:p>
      <w:pPr>
        <w:pStyle w:val="Heading3"/>
      </w:pPr>
      <w:r>
        <w:t xml:space="preserve">Caso 1: Sucesso PRESBYOND em Emétrope</w:t>
      </w:r>
    </w:p>
    <w:p>
      <w:pPr>
        <w:pStyle w:val="FirstParagraph"/>
      </w:pPr>
      <w:r>
        <w:rPr>
          <w:b/>
          <w:bCs/>
        </w:rPr>
        <w:t xml:space="preserve">Pré-Operatório:</w:t>
      </w:r>
      <w:r>
        <w:t xml:space="preserve"> </w:t>
      </w:r>
      <w:r>
        <w:t xml:space="preserve">- Idade: 51 anos, arquiteta</w:t>
      </w:r>
      <w:r>
        <w:t xml:space="preserve"> </w:t>
      </w:r>
      <w:r>
        <w:t xml:space="preserve">- Refração: OD plano, OE -0.25 D</w:t>
      </w:r>
      <w:r>
        <w:t xml:space="preserve"> </w:t>
      </w:r>
      <w:r>
        <w:t xml:space="preserve">- Dominância: OD</w:t>
      </w:r>
      <w:r>
        <w:t xml:space="preserve"> </w:t>
      </w:r>
      <w:r>
        <w:t xml:space="preserve">- Pupila mesópica: 5.5 mm</w:t>
      </w:r>
      <w:r>
        <w:t xml:space="preserve"> </w:t>
      </w:r>
      <w:r>
        <w:t xml:space="preserve">- Expectativa:</w:t>
      </w:r>
      <w:r>
        <w:t xml:space="preserve"> </w:t>
      </w:r>
      <w:r>
        <w:t xml:space="preserve">“Trabalho 8h/dia em CAD (computador), preciso ver ecrã e desenhos sem óculos”</w:t>
      </w:r>
    </w:p>
    <w:p>
      <w:pPr>
        <w:pStyle w:val="BodyText"/>
      </w:pPr>
      <w:r>
        <w:rPr>
          <w:b/>
          <w:bCs/>
        </w:rPr>
        <w:t xml:space="preserve">Cirurgia PRESBYOND:</w:t>
      </w:r>
      <w:r>
        <w:t xml:space="preserve"> </w:t>
      </w:r>
      <w:r>
        <w:t xml:space="preserve">- OE (não-dominante): Target -1.25 D, SA -0.35 μm</w:t>
      </w:r>
      <w:r>
        <w:t xml:space="preserve"> </w:t>
      </w:r>
      <w:r>
        <w:t xml:space="preserve">- OD (dominante): Target +0.50 D, SA -0.18 μm</w:t>
      </w:r>
    </w:p>
    <w:p>
      <w:pPr>
        <w:pStyle w:val="BodyText"/>
      </w:pPr>
      <w:r>
        <w:rPr>
          <w:b/>
          <w:bCs/>
        </w:rPr>
        <w:t xml:space="preserve">Resultado 6 Meses:</w:t>
      </w:r>
      <w:r>
        <w:t xml:space="preserve"> </w:t>
      </w:r>
      <w:r>
        <w:t xml:space="preserve">- UCDVA binocular: 20/20</w:t>
      </w:r>
      <w:r>
        <w:t xml:space="preserve"> </w:t>
      </w:r>
      <w:r>
        <w:t xml:space="preserve">- UCNVA: J2</w:t>
      </w:r>
      <w:r>
        <w:t xml:space="preserve"> </w:t>
      </w:r>
      <w:r>
        <w:t xml:space="preserve">-</w:t>
      </w:r>
      <w:r>
        <w:t xml:space="preserve"> </w:t>
      </w:r>
      <w:r>
        <w:rPr>
          <w:b/>
          <w:bCs/>
        </w:rPr>
        <w:t xml:space="preserve">Visão intermediária (60-80 cm):</w:t>
      </w:r>
      <w:r>
        <w:t xml:space="preserve"> </w:t>
      </w:r>
      <w:r>
        <w:t xml:space="preserve">Excelente (paciente reporta</w:t>
      </w:r>
      <w:r>
        <w:t xml:space="preserve"> </w:t>
      </w:r>
      <w:r>
        <w:t xml:space="preserve">“perfeito para CAD”</w:t>
      </w:r>
      <w:r>
        <w:t xml:space="preserve">)</w:t>
      </w:r>
      <w:r>
        <w:t xml:space="preserve"> </w:t>
      </w:r>
      <w:r>
        <w:t xml:space="preserve">- Satisfação: 10/10</w:t>
      </w:r>
      <w:r>
        <w:t xml:space="preserve"> </w:t>
      </w:r>
      <w:r>
        <w:t xml:space="preserve">- Halos:</w:t>
      </w:r>
      <w:r>
        <w:t xml:space="preserve"> </w:t>
      </w:r>
      <w:r>
        <w:t xml:space="preserve">“Noto ligeiramente à noite mas não incomoda”</w:t>
      </w:r>
    </w:p>
    <w:p>
      <w:pPr>
        <w:pStyle w:val="BodyText"/>
      </w:pPr>
      <w:r>
        <w:rPr>
          <w:b/>
          <w:bCs/>
        </w:rPr>
        <w:t xml:space="preserve">Lição:</w:t>
      </w:r>
      <w:r>
        <w:t xml:space="preserve"> </w:t>
      </w:r>
      <w:r>
        <w:t xml:space="preserve">PRESBYOND é especialmente forte em visão intermediária (blend zone ótima).</w:t>
      </w:r>
    </w:p>
    <w:p>
      <w:r>
        <w:pict>
          <v:rect style="width:0;height:1.5pt" o:hralign="center" o:hrstd="t" o:hr="t"/>
        </w:pict>
      </w:r>
    </w:p>
    <w:bookmarkEnd w:id="36"/>
    <w:bookmarkStart w:id="37" w:name="X3affefb045604adb6e48884d90a6436668a3342"/>
    <w:p>
      <w:pPr>
        <w:pStyle w:val="Heading3"/>
      </w:pPr>
      <w:r>
        <w:t xml:space="preserve">Caso 2: Retoque Cirúrgico por Hipocorreção</w:t>
      </w:r>
    </w:p>
    <w:p>
      <w:pPr>
        <w:pStyle w:val="FirstParagraph"/>
      </w:pPr>
      <w:r>
        <w:rPr>
          <w:b/>
          <w:bCs/>
        </w:rPr>
        <w:t xml:space="preserve">Pré-Operatório:</w:t>
      </w:r>
      <w:r>
        <w:t xml:space="preserve"> </w:t>
      </w:r>
      <w:r>
        <w:t xml:space="preserve">- Idade: 54 anos, contador</w:t>
      </w:r>
      <w:r>
        <w:t xml:space="preserve"> </w:t>
      </w:r>
      <w:r>
        <w:t xml:space="preserve">- Refração: OD +1.50 D, OE +1.75 D</w:t>
      </w:r>
      <w:r>
        <w:t xml:space="preserve"> </w:t>
      </w:r>
      <w:r>
        <w:t xml:space="preserve">- Dominância: OD</w:t>
      </w:r>
    </w:p>
    <w:p>
      <w:pPr>
        <w:pStyle w:val="BodyText"/>
      </w:pPr>
      <w:r>
        <w:rPr>
          <w:b/>
          <w:bCs/>
        </w:rPr>
        <w:t xml:space="preserve">Cirurgia Primária PRESBYOND:</w:t>
      </w:r>
      <w:r>
        <w:t xml:space="preserve"> </w:t>
      </w:r>
      <w:r>
        <w:t xml:space="preserve">- Targets automáticos calculados</w:t>
      </w:r>
      <w:r>
        <w:t xml:space="preserve"> </w:t>
      </w:r>
      <w:r>
        <w:t xml:space="preserve">- Procedimento sem complicações</w:t>
      </w:r>
    </w:p>
    <w:p>
      <w:pPr>
        <w:pStyle w:val="BodyText"/>
      </w:pPr>
      <w:r>
        <w:rPr>
          <w:b/>
          <w:bCs/>
        </w:rPr>
        <w:t xml:space="preserve">Resultado 3 Meses:</w:t>
      </w:r>
      <w:r>
        <w:t xml:space="preserve"> </w:t>
      </w:r>
      <w:r>
        <w:t xml:space="preserve">- UCDVA: 20/20 ✓</w:t>
      </w:r>
      <w:r>
        <w:t xml:space="preserve"> </w:t>
      </w:r>
      <w:r>
        <w:t xml:space="preserve">- UCNVA: J4 (subótimo, target era J2)</w:t>
      </w:r>
      <w:r>
        <w:t xml:space="preserve"> </w:t>
      </w:r>
      <w:r>
        <w:t xml:space="preserve">- Queixa:</w:t>
      </w:r>
      <w:r>
        <w:t xml:space="preserve"> </w:t>
      </w:r>
      <w:r>
        <w:t xml:space="preserve">“Vejo bem longe mas leitura ainda difícil”</w:t>
      </w:r>
    </w:p>
    <w:p>
      <w:pPr>
        <w:pStyle w:val="BodyText"/>
      </w:pPr>
      <w:r>
        <w:rPr>
          <w:b/>
          <w:bCs/>
        </w:rPr>
        <w:t xml:space="preserve">Propedêutica:</w:t>
      </w:r>
      <w:r>
        <w:t xml:space="preserve"> </w:t>
      </w:r>
      <w:r>
        <w:t xml:space="preserve">- Refração residual OE: -0.50 D (deveria ser -1.25 D)</w:t>
      </w:r>
      <w:r>
        <w:t xml:space="preserve"> </w:t>
      </w:r>
      <w:r>
        <w:t xml:space="preserve">-</w:t>
      </w:r>
      <w:r>
        <w:t xml:space="preserve"> </w:t>
      </w:r>
      <w:r>
        <w:rPr>
          <w:b/>
          <w:bCs/>
        </w:rPr>
        <w:t xml:space="preserve">Diagnóstico:</w:t>
      </w:r>
      <w:r>
        <w:t xml:space="preserve"> </w:t>
      </w:r>
      <w:r>
        <w:t xml:space="preserve">Hipocorreção por regressão hipermetrópica</w:t>
      </w:r>
    </w:p>
    <w:p>
      <w:pPr>
        <w:pStyle w:val="BodyText"/>
      </w:pPr>
      <w:r>
        <w:rPr>
          <w:b/>
          <w:bCs/>
        </w:rPr>
        <w:t xml:space="preserve">Retoque Cirúrgico (6 meses):</w:t>
      </w:r>
      <w:r>
        <w:t xml:space="preserve"> </w:t>
      </w:r>
      <w:r>
        <w:t xml:space="preserve">- OE: PRK topoguiado adicional -0.75 D + aumento SA negativa</w:t>
      </w:r>
    </w:p>
    <w:p>
      <w:pPr>
        <w:pStyle w:val="BodyText"/>
      </w:pPr>
      <w:r>
        <w:rPr>
          <w:b/>
          <w:bCs/>
        </w:rPr>
        <w:t xml:space="preserve">Resultado Pós-Retoque Cirúrgico:</w:t>
      </w:r>
      <w:r>
        <w:t xml:space="preserve"> </w:t>
      </w:r>
      <w:r>
        <w:t xml:space="preserve">- UCNVA: J2 ✓</w:t>
      </w:r>
      <w:r>
        <w:t xml:space="preserve"> </w:t>
      </w:r>
      <w:r>
        <w:t xml:space="preserve">- Satisfação: 9/10</w:t>
      </w:r>
    </w:p>
    <w:p>
      <w:pPr>
        <w:pStyle w:val="BodyText"/>
      </w:pPr>
      <w:r>
        <w:rPr>
          <w:b/>
          <w:bCs/>
        </w:rPr>
        <w:t xml:space="preserve">Lição:</w:t>
      </w:r>
      <w:r>
        <w:t xml:space="preserve"> </w:t>
      </w:r>
      <w:r>
        <w:t xml:space="preserve">Taxa de enhancement em PRESBYOND (8-10%) é aceitável; maioria resolve com ajuste simples.</w:t>
      </w:r>
    </w:p>
    <w:p>
      <w:r>
        <w:pict>
          <v:rect style="width:0;height:1.5pt" o:hralign="center" o:hrstd="t" o:hr="t"/>
        </w:pict>
      </w:r>
    </w:p>
    <w:bookmarkEnd w:id="37"/>
    <w:bookmarkEnd w:id="38"/>
    <w:bookmarkStart w:id="39" w:name="referências-bibliográficas"/>
    <w:p>
      <w:pPr>
        <w:pStyle w:val="Heading2"/>
      </w:pPr>
      <w:r>
        <w:t xml:space="preserve">Referências Bibliográficas</w:t>
      </w:r>
    </w:p>
    <w:p>
      <w:pPr>
        <w:numPr>
          <w:ilvl w:val="0"/>
          <w:numId w:val="1026"/>
        </w:numPr>
      </w:pPr>
      <w:r>
        <w:t xml:space="preserve">Reinstein DZ, Carp GI, Archer TJ, Gobbe M. LASIK for presbyopia correction in emmetropic patients using aspheric ablation profiles and a micro-monovision protocol with the Carl Zeiss Meditec MEL 80 platform.</w:t>
      </w:r>
      <w:r>
        <w:t xml:space="preserve"> </w:t>
      </w:r>
      <w:r>
        <w:rPr>
          <w:i/>
          <w:iCs/>
        </w:rPr>
        <w:t xml:space="preserve">Journal of Refractive Surgery</w:t>
      </w:r>
      <w:r>
        <w:t xml:space="preserve">. 2012;28(3):145-152. doi:10.3928/1081597X-20120113-01</w:t>
      </w:r>
    </w:p>
    <w:p>
      <w:pPr>
        <w:numPr>
          <w:ilvl w:val="0"/>
          <w:numId w:val="1026"/>
        </w:numPr>
      </w:pPr>
      <w:r>
        <w:t xml:space="preserve">Reinstein DZ, Archer TJ, Gobbe M. LASIK for myopic astigmatism and presbyopia using non-linear aspheric micro-monovision with the Carl Zeiss Meditec MEL 80 platform.</w:t>
      </w:r>
      <w:r>
        <w:t xml:space="preserve"> </w:t>
      </w:r>
      <w:r>
        <w:rPr>
          <w:i/>
          <w:iCs/>
        </w:rPr>
        <w:t xml:space="preserve">Journal of Refractive Surgery</w:t>
      </w:r>
      <w:r>
        <w:t xml:space="preserve">. 2011;27(1):23-37. doi:10.3928/1081597X-20100212-04</w:t>
      </w:r>
    </w:p>
    <w:p>
      <w:pPr>
        <w:numPr>
          <w:ilvl w:val="0"/>
          <w:numId w:val="1026"/>
        </w:numPr>
      </w:pPr>
      <w:r>
        <w:t xml:space="preserve">Evans BJ. Monovision: a review.</w:t>
      </w:r>
      <w:r>
        <w:t xml:space="preserve"> </w:t>
      </w:r>
      <w:r>
        <w:rPr>
          <w:i/>
          <w:iCs/>
        </w:rPr>
        <w:t xml:space="preserve">Ophthalmic and Physiological Optics</w:t>
      </w:r>
      <w:r>
        <w:t xml:space="preserve">. 2007;27(5):417-439. doi:10.1111/j.1475-1313.2007.00488.x</w:t>
      </w:r>
    </w:p>
    <w:p>
      <w:pPr>
        <w:numPr>
          <w:ilvl w:val="0"/>
          <w:numId w:val="1026"/>
        </w:numPr>
      </w:pPr>
      <w:r>
        <w:t xml:space="preserve">Luger MH, McAlinden C, Buckhurst PJ, Wolffsohn JS, Verma S, Arba Mosquera S. Presbyopic LASIK using hybrid bi-aspheric micro-monovision ablation profile for presbyopic corneal treatment.</w:t>
      </w:r>
      <w:r>
        <w:t xml:space="preserve"> </w:t>
      </w:r>
      <w:r>
        <w:rPr>
          <w:i/>
          <w:iCs/>
        </w:rPr>
        <w:t xml:space="preserve">American Journal of Ophthalmology</w:t>
      </w:r>
      <w:r>
        <w:t xml:space="preserve">. 2015;160(3):493-505. doi:10.1016/j.ajo.2015.05.021</w:t>
      </w:r>
    </w:p>
    <w:p>
      <w:pPr>
        <w:numPr>
          <w:ilvl w:val="0"/>
          <w:numId w:val="1026"/>
        </w:numPr>
      </w:pPr>
      <w:r>
        <w:t xml:space="preserve">Alió JL, Amparo F, Ortiz D, Moreno L. Corneal multifocality with excimer laser for presbyopia correction.</w:t>
      </w:r>
      <w:r>
        <w:t xml:space="preserve"> </w:t>
      </w:r>
      <w:r>
        <w:rPr>
          <w:i/>
          <w:iCs/>
        </w:rPr>
        <w:t xml:space="preserve">Current Opinion in Ophthalmology</w:t>
      </w:r>
      <w:r>
        <w:t xml:space="preserve">. 2009;20(4):264-271. doi:10.1097/ICU.0b013e32832a7ded</w:t>
      </w:r>
    </w:p>
    <w:p>
      <w:pPr>
        <w:numPr>
          <w:ilvl w:val="0"/>
          <w:numId w:val="1026"/>
        </w:numPr>
      </w:pPr>
      <w:r>
        <w:t xml:space="preserve">Reinstein DZ, Archer TJ, Gobbe M. The history of LASIK: part 1.</w:t>
      </w:r>
      <w:r>
        <w:t xml:space="preserve"> </w:t>
      </w:r>
      <w:r>
        <w:rPr>
          <w:i/>
          <w:iCs/>
        </w:rPr>
        <w:t xml:space="preserve">Journal of Refractive Surgery</w:t>
      </w:r>
      <w:r>
        <w:t xml:space="preserve">. 2012;28(4):291-298.</w:t>
      </w:r>
    </w:p>
    <w:p>
      <w:r>
        <w:pict>
          <v:rect style="width:0;height:1.5pt" o:hralign="center" o:hrstd="t" o:hr="t"/>
        </w:pict>
      </w:r>
    </w:p>
    <w:bookmarkEnd w:id="39"/>
    <w:bookmarkStart w:id="60" w:name="infográficos-clínicos-sugeridos"/>
    <w:p>
      <w:pPr>
        <w:pStyle w:val="Heading2"/>
      </w:pPr>
      <w:r>
        <w:t xml:space="preserve">Infográficos Clínicos Sugeridos</w:t>
      </w:r>
    </w:p>
    <w:bookmarkStart w:id="43" w:name="X9c19031b18d6a689b5d5a42c71de69cf6264cdf"/>
    <w:p>
      <w:pPr>
        <w:pStyle w:val="Heading3"/>
      </w:pPr>
      <w:r>
        <w:t xml:space="preserve">Infográfico 7.1: Conceito</w:t>
      </w:r>
      <w:r>
        <w:t xml:space="preserve"> </w:t>
      </w:r>
      <w:r>
        <w:t xml:space="preserve">“Blend Zone”</w:t>
      </w:r>
      <w:r>
        <w:t xml:space="preserve"> </w:t>
      </w:r>
      <w:r>
        <w:t xml:space="preserve">(Diagrama Óptico)</w:t>
      </w:r>
    </w:p>
    <w:p>
      <w:pPr>
        <w:pStyle w:val="FirstParagraph"/>
      </w:pPr>
      <w:r>
        <w:drawing>
          <wp:inline>
            <wp:extent cx="3810000" cy="2540000"/>
            <wp:effectExtent b="0" l="0" r="0" t="0"/>
            <wp:docPr descr="Conceito da Zona de Mistura" title="" id="41" name="Picture"/>
            <a:graphic>
              <a:graphicData uri="http://schemas.openxmlformats.org/drawingml/2006/picture">
                <pic:pic>
                  <pic:nvPicPr>
                    <pic:cNvPr descr="figures/chapter7/infographic_7_1_presbyond_concept.md" id="42" name="Picture"/>
                    <pic:cNvPicPr>
                      <a:picLocks noChangeArrowheads="1" noChangeAspect="1"/>
                    </pic:cNvPicPr>
                  </pic:nvPicPr>
                  <pic:blipFill>
                    <a:blip r:embed="rId40"/>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i/>
          <w:iCs/>
        </w:rPr>
        <w:t xml:space="preserve">Figura 7.1: O segredo do Blend. Demonstração de como a profundidade de foco estendida em cada olho (barras azul e verde) cria uma vasta zona de sobreposição central (roxo) onde a fusão binocular é mantida.</w:t>
      </w:r>
    </w:p>
    <w:bookmarkEnd w:id="43"/>
    <w:bookmarkStart w:id="47" w:name="Xbc8a59ec8fa10faff86c5d6813775a547c83a4f"/>
    <w:p>
      <w:pPr>
        <w:pStyle w:val="Heading3"/>
      </w:pPr>
      <w:r>
        <w:t xml:space="preserve">Infográfico 7.2: Curva de Defocus PRESBYOND vs. Monovisão</w:t>
      </w:r>
    </w:p>
    <w:p>
      <w:pPr>
        <w:pStyle w:val="FirstParagraph"/>
      </w:pPr>
      <w:r>
        <w:drawing>
          <wp:inline>
            <wp:extent cx="3810000" cy="2540000"/>
            <wp:effectExtent b="0" l="0" r="0" t="0"/>
            <wp:docPr descr="O Planalto Visual" title="" id="45" name="Picture"/>
            <a:graphic>
              <a:graphicData uri="http://schemas.openxmlformats.org/drawingml/2006/picture">
                <pic:pic>
                  <pic:nvPicPr>
                    <pic:cNvPr descr="figures/chapter7/infographic_7_2_defocus_curve.md" id="46" name="Picture"/>
                    <pic:cNvPicPr>
                      <a:picLocks noChangeArrowheads="1" noChangeAspect="1"/>
                    </pic:cNvPicPr>
                  </pic:nvPicPr>
                  <pic:blipFill>
                    <a:blip r:embed="rId44"/>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i/>
          <w:iCs/>
        </w:rPr>
        <w:t xml:space="preserve">Figura 7.2: A prova do</w:t>
      </w:r>
      <w:r>
        <w:rPr>
          <w:i/>
          <w:iCs/>
        </w:rPr>
        <w:t xml:space="preserve"> </w:t>
      </w:r>
      <w:r>
        <w:rPr>
          <w:i/>
          <w:iCs/>
        </w:rPr>
        <w:t xml:space="preserve">“Plateau”</w:t>
      </w:r>
      <w:r>
        <w:rPr>
          <w:i/>
          <w:iCs/>
        </w:rPr>
        <w:t xml:space="preserve">. Enquanto a monovisão (vermelho) tem um</w:t>
      </w:r>
      <w:r>
        <w:rPr>
          <w:i/>
          <w:iCs/>
        </w:rPr>
        <w:t xml:space="preserve"> </w:t>
      </w:r>
      <w:r>
        <w:rPr>
          <w:i/>
          <w:iCs/>
        </w:rPr>
        <w:t xml:space="preserve">“gap”</w:t>
      </w:r>
      <w:r>
        <w:rPr>
          <w:i/>
          <w:iCs/>
        </w:rPr>
        <w:t xml:space="preserve"> </w:t>
      </w:r>
      <w:r>
        <w:rPr>
          <w:i/>
          <w:iCs/>
        </w:rPr>
        <w:t xml:space="preserve">profundo na visão intermédia, o PRESBYOND (azul) mantém uma acuidade funcional estável em todas as distâncias de trabalho.</w:t>
      </w:r>
    </w:p>
    <w:bookmarkEnd w:id="47"/>
    <w:bookmarkStart w:id="51" w:name="X5fb6008171e30f0b4182ecc25932ade109d6d52"/>
    <w:p>
      <w:pPr>
        <w:pStyle w:val="Heading3"/>
      </w:pPr>
      <w:r>
        <w:t xml:space="preserve">Infográfico 7.3: Protocolo PRESBYOND Passo-a-Passo (Timeline Cirúrgico)</w:t>
      </w:r>
    </w:p>
    <w:p>
      <w:pPr>
        <w:pStyle w:val="FirstParagraph"/>
      </w:pPr>
      <w:r>
        <w:drawing>
          <wp:inline>
            <wp:extent cx="3810000" cy="2540000"/>
            <wp:effectExtent b="0" l="0" r="0" t="0"/>
            <wp:docPr descr="Timeline de Segurança" title="" id="49" name="Picture"/>
            <a:graphic>
              <a:graphicData uri="http://schemas.openxmlformats.org/drawingml/2006/picture">
                <pic:pic>
                  <pic:nvPicPr>
                    <pic:cNvPr descr="figures/chapter7/infographic_7_3_protocol_timeline.md" id="50" name="Picture"/>
                    <pic:cNvPicPr>
                      <a:picLocks noChangeArrowheads="1" noChangeAspect="1"/>
                    </pic:cNvPicPr>
                  </pic:nvPicPr>
                  <pic:blipFill>
                    <a:blip r:embed="rId48"/>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i/>
          <w:iCs/>
        </w:rPr>
        <w:t xml:space="preserve">Figura 7.3: Fluxo de segurança. A decisão crítica ocorre no Dia 7 (Ponto de Controlo), onde a tolerância ao primeiro olho dita se avançamos para o segundo olho ou revertemos.</w:t>
      </w:r>
    </w:p>
    <w:bookmarkEnd w:id="51"/>
    <w:bookmarkStart w:id="55" w:name="X4dd77aad4632bfcb69b3cdba360ff312c5b656d"/>
    <w:p>
      <w:pPr>
        <w:pStyle w:val="Heading3"/>
      </w:pPr>
      <w:r>
        <w:t xml:space="preserve">Infográfico 7.4: Matriz de Decisão - Qual Técnica Escolher?</w:t>
      </w:r>
    </w:p>
    <w:p>
      <w:pPr>
        <w:pStyle w:val="FirstParagraph"/>
      </w:pPr>
      <w:r>
        <w:drawing>
          <wp:inline>
            <wp:extent cx="3810000" cy="2540000"/>
            <wp:effectExtent b="0" l="0" r="0" t="0"/>
            <wp:docPr descr="Posicionamento Estratégico" title="" id="53" name="Picture"/>
            <a:graphic>
              <a:graphicData uri="http://schemas.openxmlformats.org/drawingml/2006/picture">
                <pic:pic>
                  <pic:nvPicPr>
                    <pic:cNvPr descr="figures/chapter7/infographic_7_4_decision_matrix.md" id="54" name="Picture"/>
                    <pic:cNvPicPr>
                      <a:picLocks noChangeArrowheads="1" noChangeAspect="1"/>
                    </pic:cNvPicPr>
                  </pic:nvPicPr>
                  <pic:blipFill>
                    <a:blip r:embed="rId52"/>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i/>
          <w:iCs/>
        </w:rPr>
        <w:t xml:space="preserve">Figura 7.4: Onde o PRESBYOND vence. Ideal para o</w:t>
      </w:r>
      <w:r>
        <w:rPr>
          <w:i/>
          <w:iCs/>
        </w:rPr>
        <w:t xml:space="preserve"> </w:t>
      </w:r>
      <w:r>
        <w:rPr>
          <w:i/>
          <w:iCs/>
        </w:rPr>
        <w:t xml:space="preserve">“Jovem Presbita Emétrope”</w:t>
      </w:r>
      <w:r>
        <w:rPr>
          <w:i/>
          <w:iCs/>
        </w:rPr>
        <w:t xml:space="preserve"> </w:t>
      </w:r>
      <w:r>
        <w:rPr>
          <w:i/>
          <w:iCs/>
        </w:rPr>
        <w:t xml:space="preserve">(45-55 anos) que valoriza visão de computador acima de tudo.</w:t>
      </w:r>
    </w:p>
    <w:bookmarkEnd w:id="55"/>
    <w:bookmarkStart w:id="59" w:name="X55fb37800b131dad1d54946091fa5168267fc3c"/>
    <w:p>
      <w:pPr>
        <w:pStyle w:val="Heading3"/>
      </w:pPr>
      <w:r>
        <w:t xml:space="preserve">Infográfico 7.5: Comparação Visual - Monovisão vs. PRESBYOND Blend</w:t>
      </w:r>
    </w:p>
    <w:p>
      <w:pPr>
        <w:pStyle w:val="FirstParagraph"/>
      </w:pPr>
      <w:r>
        <w:drawing>
          <wp:inline>
            <wp:extent cx="3810000" cy="2540000"/>
            <wp:effectExtent b="0" l="0" r="0" t="0"/>
            <wp:docPr descr="Neurologia da Fusão" title="" id="57" name="Picture"/>
            <a:graphic>
              <a:graphicData uri="http://schemas.openxmlformats.org/drawingml/2006/picture">
                <pic:pic>
                  <pic:nvPicPr>
                    <pic:cNvPr descr="figures/chapter7/infographic_7_5_visual_comparison.md" id="58" name="Picture"/>
                    <pic:cNvPicPr>
                      <a:picLocks noChangeArrowheads="1" noChangeAspect="1"/>
                    </pic:cNvPicPr>
                  </pic:nvPicPr>
                  <pic:blipFill>
                    <a:blip r:embed="rId56"/>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i/>
          <w:iCs/>
        </w:rPr>
        <w:t xml:space="preserve">Figura 7.5: Rivalidade vs. Sinergia. A monovisão força a supressão cortical (um olho apaga), enquanto o PRESBYOND convida à somação binocular (ambos contribuem).</w:t>
      </w:r>
    </w:p>
    <w:p>
      <w:r>
        <w:pict>
          <v:rect style="width:0;height:1.5pt" o:hralign="center" o:hrstd="t" o:hr="t"/>
        </w:pict>
      </w:r>
    </w:p>
    <w:p>
      <w:pPr>
        <w:pStyle w:val="FirstParagraph"/>
      </w:pPr>
      <w:r>
        <w:rPr>
          <w:b/>
          <w:bCs/>
        </w:rPr>
        <w:t xml:space="preserve">Este Capítulo 7 está agora COMPLETO</w:t>
      </w:r>
      <w:r>
        <w:t xml:space="preserve">, com:</w:t>
      </w:r>
      <w:r>
        <w:t xml:space="preserve"> </w:t>
      </w:r>
      <w:r>
        <w:t xml:space="preserve">- ✅ Filosofia Laser Blended Vision detalhada</w:t>
      </w:r>
      <w:r>
        <w:t xml:space="preserve"> </w:t>
      </w:r>
      <w:r>
        <w:t xml:space="preserve">- ✅ Matemática da DoF combinada e blend zone</w:t>
      </w:r>
      <w:r>
        <w:t xml:space="preserve"> </w:t>
      </w:r>
      <w:r>
        <w:t xml:space="preserve">- ✅ Protocolo Zeiss MEL 90 completo</w:t>
      </w:r>
      <w:r>
        <w:t xml:space="preserve"> </w:t>
      </w:r>
      <w:r>
        <w:t xml:space="preserve">- ✅ Seleção de pacientes específica PRESBYOND</w:t>
      </w:r>
      <w:r>
        <w:t xml:space="preserve"> </w:t>
      </w:r>
      <w:r>
        <w:t xml:space="preserve">- ✅ Resultados clínicos multi-cêntricos</w:t>
      </w:r>
      <w:r>
        <w:t xml:space="preserve"> </w:t>
      </w:r>
      <w:r>
        <w:t xml:space="preserve">- ✅ Comparação direta 3-vias (Custom-Q, PresbyMAX, PRESBYOND)</w:t>
      </w:r>
      <w:r>
        <w:t xml:space="preserve"> </w:t>
      </w:r>
      <w:r>
        <w:t xml:space="preserve">- ✅ Casos clínicos ilustrativos</w:t>
      </w:r>
      <w:r>
        <w:t xml:space="preserve"> </w:t>
      </w:r>
      <w:r>
        <w:t xml:space="preserve">- ✅ 7 Referências bibliográficas</w:t>
      </w:r>
      <w:r>
        <w:t xml:space="preserve"> </w:t>
      </w:r>
      <w:r>
        <w:t xml:space="preserve">- ✅ 5 Infográficos clínicos detalhados (descritivos)</w:t>
      </w:r>
    </w:p>
    <w:p>
      <w:pPr>
        <w:pStyle w:val="BodyText"/>
      </w:pPr>
      <w:r>
        <w:t xml:space="preserve">Pronto para copiar para o Google Drive!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md" /><Relationship Type="http://schemas.openxmlformats.org/officeDocument/2006/relationships/image" Id="rId44" Target="media/rId44.md" /><Relationship Type="http://schemas.openxmlformats.org/officeDocument/2006/relationships/image" Id="rId48" Target="media/rId48.md" /><Relationship Type="http://schemas.openxmlformats.org/officeDocument/2006/relationships/image" Id="rId52" Target="media/rId52.md" /><Relationship Type="http://schemas.openxmlformats.org/officeDocument/2006/relationships/image" Id="rId56" Target="media/rId56.md"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2026-01-06T17:05:12Z</dcterms:created>
  <dcterms:modified xsi:type="dcterms:W3CDTF">2026-01-06T17:05:12Z</dcterms:modified>
</cp:coreProperties>
</file>

<file path=docProps/custom.xml><?xml version="1.0" encoding="utf-8"?>
<Properties xmlns="http://schemas.openxmlformats.org/officeDocument/2006/custom-properties" xmlns:vt="http://schemas.openxmlformats.org/officeDocument/2006/docPropsVTypes"/>
</file>