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md" ContentType="text/markdown"/>
  <Override PartName="/word/media/rId40.md" ContentType="text/markdown"/>
  <Override PartName="/word/media/rId44.md" ContentType="text/markdown"/>
  <Override PartName="/word/media/rId48.md" ContentType="text/markdown"/>
  <Override PartName="/word/media/rId52.md" ContentType="text/markdown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7" w:name="Xc0cf4fd54dec560fb58e88aaa65a0055caa41c3"/>
    <w:p>
      <w:pPr>
        <w:pStyle w:val="Heading1"/>
      </w:pPr>
      <w:r>
        <w:t xml:space="preserve">Capítulo 8: SUPRACOR (Bausch + Lomb) - Multifocalidade Extrema</w:t>
      </w:r>
    </w:p>
    <w:p>
      <w:pPr>
        <w:pStyle w:val="BlockText"/>
      </w:pPr>
      <w:r>
        <w:t xml:space="preserve">[!CAUTION]</w:t>
      </w:r>
      <w:r>
        <w:t xml:space="preserve"> </w:t>
      </w:r>
      <w:r>
        <w:rPr>
          <w:b/>
          <w:bCs/>
        </w:rPr>
        <w:t xml:space="preserve">Advertência Clínica Inicial:</w:t>
      </w:r>
      <w:r>
        <w:t xml:space="preserve"> </w:t>
      </w:r>
      <w:r>
        <w:t xml:space="preserve">O SUPRACOR representa a abordagem mais</w:t>
      </w:r>
      <w:r>
        <w:t xml:space="preserve"> </w:t>
      </w:r>
      <w:r>
        <w:rPr>
          <w:b/>
          <w:bCs/>
        </w:rPr>
        <w:t xml:space="preserve">radical e agressiva</w:t>
      </w:r>
      <w:r>
        <w:t xml:space="preserve"> </w:t>
      </w:r>
      <w:r>
        <w:t xml:space="preserve">de todas as técnicas presbiópicas corneanas descritas neste livro. Ao contrário de Custom-Q (Q moderadamente negativo), PresbyMAX (bi-asférico) ou PRESBYOND (micro-monovisão blend), o SUPRACOR induz modificação corneana extrema:</w:t>
      </w:r>
      <w:r>
        <w:t xml:space="preserve"> </w:t>
      </w:r>
      <w:r>
        <w:rPr>
          <w:b/>
          <w:bCs/>
        </w:rPr>
        <w:t xml:space="preserve">Q-factor aproximando -1.5 a -2.0</w:t>
      </w:r>
      <w:r>
        <w:t xml:space="preserve"> </w:t>
      </w:r>
      <w:r>
        <w:t xml:space="preserve">(hiper-prolatividade severa) e adição central de</w:t>
      </w:r>
      <w:r>
        <w:t xml:space="preserve"> </w:t>
      </w:r>
      <w:r>
        <w:rPr>
          <w:b/>
          <w:bCs/>
        </w:rPr>
        <w:t xml:space="preserve">+3.00 a +3.50 D</w:t>
      </w:r>
      <w:r>
        <w:t xml:space="preserve">. Esta agressividade resulta em taxas de satisfação</w:t>
      </w:r>
      <w:r>
        <w:t xml:space="preserve"> </w:t>
      </w:r>
      <w:r>
        <w:rPr>
          <w:b/>
          <w:bCs/>
        </w:rPr>
        <w:t xml:space="preserve">mais baixas</w:t>
      </w:r>
      <w:r>
        <w:t xml:space="preserve"> </w:t>
      </w:r>
      <w:r>
        <w:t xml:space="preserve">e fenómenos fóticos</w:t>
      </w:r>
      <w:r>
        <w:t xml:space="preserve"> </w:t>
      </w:r>
      <w:r>
        <w:rPr>
          <w:b/>
          <w:bCs/>
        </w:rPr>
        <w:t xml:space="preserve">mais severos</w:t>
      </w:r>
      <w:r>
        <w:t xml:space="preserve"> </w:t>
      </w:r>
      <w:r>
        <w:t xml:space="preserve">que outras técnicas, mas oferece, em contrapartida, a</w:t>
      </w:r>
      <w:r>
        <w:t xml:space="preserve"> </w:t>
      </w:r>
      <w:r>
        <w:rPr>
          <w:b/>
          <w:bCs/>
        </w:rPr>
        <w:t xml:space="preserve">maior adição efetiva</w:t>
      </w:r>
      <w:r>
        <w:t xml:space="preserve"> </w:t>
      </w:r>
      <w:r>
        <w:t xml:space="preserve">possível em cirurgia corneana. É uma técnica de nicho para pacientes muito específicos. [1]</w:t>
      </w:r>
    </w:p>
    <w:bookmarkStart w:id="11" w:name="X2500680a736de1ca6e0889d300c355f5bf1ee53"/>
    <w:p>
      <w:pPr>
        <w:pStyle w:val="Heading2"/>
      </w:pPr>
      <w:r>
        <w:t xml:space="preserve">8.1. Filosofia e Conceito:</w:t>
      </w:r>
      <w:r>
        <w:t xml:space="preserve"> </w:t>
      </w:r>
      <w:r>
        <w:t xml:space="preserve">“Maximum Add, Maximum Trade-Off”</w:t>
      </w:r>
    </w:p>
    <w:bookmarkStart w:id="9" w:name="origem-e-desenvolvimento"/>
    <w:p>
      <w:pPr>
        <w:pStyle w:val="Heading3"/>
      </w:pPr>
      <w:r>
        <w:t xml:space="preserve">8.1.1. Origem e Desenvolvimento</w:t>
      </w:r>
    </w:p>
    <w:p>
      <w:pPr>
        <w:pStyle w:val="FirstParagraph"/>
      </w:pPr>
      <w:r>
        <w:t xml:space="preserve">O SUPRACOR foi desenvolvido pela Bausch + Lomb (plataforma Technolas Teneo) e introduzido comercialmente em 2009-2010. A filosofia subjacente é radicalmente diferente das técnicas</w:t>
      </w:r>
      <w:r>
        <w:t xml:space="preserve"> </w:t>
      </w:r>
      <w:r>
        <w:t xml:space="preserve">“conservadoras”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Premissa Fundacional:</w:t>
      </w:r>
    </w:p>
    <w:p>
      <w:pPr>
        <w:pStyle w:val="BlockText"/>
      </w:pPr>
      <w:r>
        <w:rPr>
          <w:i/>
          <w:iCs/>
        </w:rPr>
        <w:t xml:space="preserve">“Se o objetivo é eliminar dependência de óculos para perto em presbitas com add &gt;+2.50 D, então modificações moderadas da córnea (Q ~-0.70) são insuficientes. Precisamos criar verdadeira multifocalidade agressiva, mesmo que isso sacrifique significativamente qualidade de longe.”</w:t>
      </w:r>
    </w:p>
    <w:p>
      <w:pPr>
        <w:pStyle w:val="FirstParagraph"/>
      </w:pPr>
      <w:r>
        <w:rPr>
          <w:b/>
          <w:bCs/>
        </w:rPr>
        <w:t xml:space="preserve">Comparação de Agressividade: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492"/>
        <w:gridCol w:w="2180"/>
        <w:gridCol w:w="1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Q Induzido</w:t>
            </w:r>
          </w:p>
        </w:tc>
        <w:tc>
          <w:tcPr/>
          <w:p>
            <w:pPr>
              <w:pStyle w:val="Compact"/>
            </w:pPr>
            <w:r>
              <w:t xml:space="preserve">SA Negativa</w:t>
            </w:r>
          </w:p>
        </w:tc>
        <w:tc>
          <w:tcPr/>
          <w:p>
            <w:pPr>
              <w:pStyle w:val="Compact"/>
            </w:pPr>
            <w:r>
              <w:t xml:space="preserve">Add Efetiva Máxima</w:t>
            </w:r>
          </w:p>
        </w:tc>
        <w:tc>
          <w:tcPr/>
          <w:p>
            <w:pPr>
              <w:pStyle w:val="Compact"/>
            </w:pPr>
            <w:r>
              <w:t xml:space="preserve">Trade-Off CDVA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Custom-Q</w:t>
            </w:r>
          </w:p>
        </w:tc>
        <w:tc>
          <w:tcPr/>
          <w:p>
            <w:pPr>
              <w:pStyle w:val="Compact"/>
            </w:pPr>
            <w:r>
              <w:t xml:space="preserve">-0.70 a -0.90</w:t>
            </w:r>
          </w:p>
        </w:tc>
        <w:tc>
          <w:tcPr/>
          <w:p>
            <w:pPr>
              <w:pStyle w:val="Compact"/>
            </w:pPr>
            <w:r>
              <w:t xml:space="preserve">-0.35 a -0.45 μm</w:t>
            </w:r>
          </w:p>
        </w:tc>
        <w:tc>
          <w:tcPr/>
          <w:p>
            <w:pPr>
              <w:pStyle w:val="Compact"/>
            </w:pPr>
            <w:r>
              <w:t xml:space="preserve">+1.50-1.75 D</w:t>
            </w:r>
          </w:p>
        </w:tc>
        <w:tc>
          <w:tcPr/>
          <w:p>
            <w:pPr>
              <w:pStyle w:val="Compact"/>
            </w:pPr>
            <w:r>
              <w:t xml:space="preserve">Mínimo (-0 a -1 linha)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PresbyMAX</w:t>
            </w:r>
          </w:p>
        </w:tc>
        <w:tc>
          <w:tcPr/>
          <w:p>
            <w:pPr>
              <w:pStyle w:val="Compact"/>
            </w:pPr>
            <w:r>
              <w:t xml:space="preserve">-0.85 a -1.00</w:t>
            </w:r>
          </w:p>
        </w:tc>
        <w:tc>
          <w:tcPr/>
          <w:p>
            <w:pPr>
              <w:pStyle w:val="Compact"/>
            </w:pPr>
            <w:r>
              <w:t xml:space="preserve">-0.40 a -0.50 μm</w:t>
            </w:r>
          </w:p>
        </w:tc>
        <w:tc>
          <w:tcPr/>
          <w:p>
            <w:pPr>
              <w:pStyle w:val="Compact"/>
            </w:pPr>
            <w:r>
              <w:t xml:space="preserve">+2.00-2.50 D</w:t>
            </w:r>
          </w:p>
        </w:tc>
        <w:tc>
          <w:tcPr/>
          <w:p>
            <w:pPr>
              <w:pStyle w:val="Compact"/>
            </w:pPr>
            <w:r>
              <w:t xml:space="preserve">Ligeiro (-1 linha)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PRESBYOND</w:t>
            </w:r>
          </w:p>
        </w:tc>
        <w:tc>
          <w:tcPr/>
          <w:p>
            <w:pPr>
              <w:pStyle w:val="Compact"/>
            </w:pPr>
            <w:r>
              <w:t xml:space="preserve">-0.50 a -0.85</w:t>
            </w:r>
          </w:p>
        </w:tc>
        <w:tc>
          <w:tcPr/>
          <w:p>
            <w:pPr>
              <w:pStyle w:val="Compact"/>
            </w:pPr>
            <w:r>
              <w:t xml:space="preserve">-0.20 a -0.40 μm</w:t>
            </w:r>
          </w:p>
        </w:tc>
        <w:tc>
          <w:tcPr/>
          <w:p>
            <w:pPr>
              <w:pStyle w:val="Compact"/>
            </w:pPr>
            <w:r>
              <w:t xml:space="preserve">+1.75-2.00 D</w:t>
            </w:r>
          </w:p>
        </w:tc>
        <w:tc>
          <w:tcPr/>
          <w:p>
            <w:pPr>
              <w:pStyle w:val="Compact"/>
            </w:pPr>
            <w:r>
              <w:t xml:space="preserve">Mínimo (monovisão)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SUPRACOR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-1.50 a -2.00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-0.75 a -1.00 μm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+3.00-3.50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Severo (-2 a -3 linhas)</w:t>
            </w:r>
          </w:p>
        </w:tc>
      </w:tr>
    </w:tbl>
    <w:bookmarkEnd w:id="9"/>
    <w:bookmarkStart w:id="10" w:name="geometria-óptica-a-montanha-central"/>
    <w:p>
      <w:pPr>
        <w:pStyle w:val="Heading3"/>
      </w:pPr>
      <w:r>
        <w:t xml:space="preserve">8.1.2. Geometria Óptica: A</w:t>
      </w:r>
      <w:r>
        <w:t xml:space="preserve"> </w:t>
      </w:r>
      <w:r>
        <w:t xml:space="preserve">“Montanha Central”</w:t>
      </w:r>
    </w:p>
    <w:p>
      <w:pPr>
        <w:pStyle w:val="FirstParagraph"/>
      </w:pPr>
      <w:r>
        <w:t xml:space="preserve">O perfil SUPRACOR cria uma geometria corneana sem precedentes:</w:t>
      </w:r>
    </w:p>
    <w:p>
      <w:pPr>
        <w:pStyle w:val="BodyText"/>
      </w:pPr>
      <w:r>
        <w:rPr>
          <w:b/>
          <w:bCs/>
        </w:rPr>
        <w:t xml:space="preserve">Zona Central (0-1.5 mm):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Steepening extremo:</w:t>
      </w:r>
      <w:r>
        <w:t xml:space="preserve"> </w:t>
      </w:r>
      <w:r>
        <w:t xml:space="preserve">+5.00 a +6.00 D acima do K baseline</w:t>
      </w:r>
      <w:r>
        <w:t xml:space="preserve"> </w:t>
      </w:r>
      <w:r>
        <w:t xml:space="preserve">- Geometria: Cúpula hiper-convexa (quase esférica central)</w:t>
      </w:r>
      <w:r>
        <w:t xml:space="preserve"> </w:t>
      </w:r>
      <w:r>
        <w:t xml:space="preserve">- Função: Foco fixo a 30-35 cm (leitura)</w:t>
      </w:r>
    </w:p>
    <w:p>
      <w:pPr>
        <w:pStyle w:val="BodyText"/>
      </w:pPr>
      <w:r>
        <w:rPr>
          <w:b/>
          <w:bCs/>
        </w:rPr>
        <w:t xml:space="preserve">Zona de Transição (1.5-3.5 mm):</w:t>
      </w:r>
      <w:r>
        <w:t xml:space="preserve"> </w:t>
      </w:r>
      <w:r>
        <w:t xml:space="preserve">- Declínio abrupto controlado</w:t>
      </w:r>
      <w:r>
        <w:t xml:space="preserve"> </w:t>
      </w:r>
      <w:r>
        <w:t xml:space="preserve">- Gradiente de potência: -1.50 D/mm (vs. -0.5 D/mm em Custom-Q)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Crítico:</w:t>
      </w:r>
      <w:r>
        <w:t xml:space="preserve"> </w:t>
      </w:r>
      <w:r>
        <w:t xml:space="preserve">Qualidade desta transição determina severidade de halos</w:t>
      </w:r>
    </w:p>
    <w:p>
      <w:pPr>
        <w:pStyle w:val="BodyText"/>
      </w:pPr>
      <w:r>
        <w:rPr>
          <w:b/>
          <w:bCs/>
        </w:rPr>
        <w:t xml:space="preserve">Zona Periférica (3.5-6.5 mm):</w:t>
      </w:r>
      <w:r>
        <w:t xml:space="preserve"> </w:t>
      </w:r>
      <w:r>
        <w:t xml:space="preserve">- Relativamente plana (para visão de longe)</w:t>
      </w:r>
      <w:r>
        <w:t xml:space="preserve"> </w:t>
      </w:r>
      <w:r>
        <w:t xml:space="preserve">- Q local: Ligeiramente prolato (-0.30)</w:t>
      </w:r>
    </w:p>
    <w:p>
      <w:pPr>
        <w:pStyle w:val="BodyText"/>
      </w:pPr>
      <w:r>
        <w:rPr>
          <w:b/>
          <w:bCs/>
        </w:rPr>
        <w:t xml:space="preserve">Resultado Óptico:</w:t>
      </w:r>
    </w:p>
    <w:p>
      <w:pPr>
        <w:pStyle w:val="BodyText"/>
      </w:pPr>
      <w:r>
        <w:t xml:space="preserve">A córnea torna-se funcionalmente</w:t>
      </w:r>
      <w:r>
        <w:t xml:space="preserve"> </w:t>
      </w:r>
      <w:r>
        <w:rPr>
          <w:b/>
          <w:bCs/>
        </w:rPr>
        <w:t xml:space="preserve">trifocal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Raios centrais</w:t>
      </w:r>
      <w:r>
        <w:t xml:space="preserve"> </w:t>
      </w:r>
      <w:r>
        <w:t xml:space="preserve">(pupila fotópica &lt;2.5 mm): Focam a 33 cm (perto)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Raios paracentrales</w:t>
      </w:r>
      <w:r>
        <w:t xml:space="preserve"> </w:t>
      </w:r>
      <w:r>
        <w:t xml:space="preserve">(pupila mesópica 4-5 mm): Focam a 60-80 cm (intermédio)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Raios periféricos</w:t>
      </w:r>
      <w:r>
        <w:t xml:space="preserve"> </w:t>
      </w:r>
      <w:r>
        <w:t xml:space="preserve">(pupila &gt;5.5 mm): Focam no infinito (longe)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plataforma-bausch-lomb-technolas-teneo"/>
    <w:p>
      <w:pPr>
        <w:pStyle w:val="Heading2"/>
      </w:pPr>
      <w:r>
        <w:t xml:space="preserve">8.2. Plataforma: Bausch + Lomb Technolas Teneo</w:t>
      </w:r>
    </w:p>
    <w:bookmarkStart w:id="12" w:name="hardware"/>
    <w:p>
      <w:pPr>
        <w:pStyle w:val="Heading3"/>
      </w:pPr>
      <w:r>
        <w:t xml:space="preserve">8.2.1. Hardware</w:t>
      </w:r>
    </w:p>
    <w:p>
      <w:pPr>
        <w:pStyle w:val="FirstParagraph"/>
      </w:pPr>
      <w:r>
        <w:rPr>
          <w:b/>
          <w:bCs/>
        </w:rPr>
        <w:t xml:space="preserve">Especificações Técnicas: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Frequência:</w:t>
      </w:r>
      <w:r>
        <w:t xml:space="preserve"> </w:t>
      </w:r>
      <w:r>
        <w:t xml:space="preserve">500 Hz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Spot Size:</w:t>
      </w:r>
      <w:r>
        <w:t xml:space="preserve"> </w:t>
      </w:r>
      <w:r>
        <w:t xml:space="preserve">0.95 mm (Gaussian, similar a Wavelight)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Eye-Tracker:</w:t>
      </w:r>
      <w:r>
        <w:t xml:space="preserve"> </w:t>
      </w:r>
      <w:r>
        <w:t xml:space="preserve">330 Hz (inferior a Zeiss 1050 Hz ou Schwind 1050 Hz)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Implicação:</w:t>
      </w:r>
      <w:r>
        <w:t xml:space="preserve"> </w:t>
      </w:r>
      <w:r>
        <w:t xml:space="preserve">Maior risco de descentramento em pacientes com fixação instável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Perfil Asférico:</w:t>
      </w:r>
      <w:r>
        <w:t xml:space="preserve"> </w:t>
      </w:r>
      <w:r>
        <w:t xml:space="preserve">Technolas</w:t>
      </w:r>
      <w:r>
        <w:t xml:space="preserve"> </w:t>
      </w:r>
      <w:r>
        <w:t xml:space="preserve">“Perfect Vision”</w:t>
      </w:r>
      <w:r>
        <w:t xml:space="preserve"> </w:t>
      </w:r>
      <w:r>
        <w:t xml:space="preserve">software</w:t>
      </w:r>
    </w:p>
    <w:bookmarkEnd w:id="12"/>
    <w:bookmarkStart w:id="13" w:name="software-supracor-algoritmo-proprietário"/>
    <w:p>
      <w:pPr>
        <w:pStyle w:val="Heading3"/>
      </w:pPr>
      <w:r>
        <w:t xml:space="preserve">8.2.2. Software SUPRACOR: Algoritmo Proprietário</w:t>
      </w:r>
    </w:p>
    <w:p>
      <w:pPr>
        <w:pStyle w:val="FirstParagraph"/>
      </w:pPr>
      <w:r>
        <w:rPr>
          <w:b/>
          <w:bCs/>
        </w:rPr>
        <w:t xml:space="preserve">Inputs Limitados:</w:t>
      </w:r>
    </w:p>
    <w:p>
      <w:pPr>
        <w:pStyle w:val="BodyText"/>
      </w:pPr>
      <w:r>
        <w:t xml:space="preserve">Ao contrário de Custom-Q (altamente personalizável) ou PresbyMAX (moderadamente ajustável), SUPRACOR é quase totalmente</w:t>
      </w:r>
      <w:r>
        <w:t xml:space="preserve"> </w:t>
      </w:r>
      <w:r>
        <w:rPr>
          <w:b/>
          <w:bCs/>
        </w:rPr>
        <w:t xml:space="preserve">pré-programado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Refração pré-operatória</w:t>
      </w:r>
      <w:r>
        <w:t xml:space="preserve"> </w:t>
      </w:r>
      <w:r>
        <w:t xml:space="preserve">(esfera, cilindro, eixo)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Olho a tratar:</w:t>
      </w:r>
      <w:r>
        <w:t xml:space="preserve"> </w:t>
      </w:r>
      <w:r>
        <w:t xml:space="preserve">Apenas um olho recebe SUPRACOR (monocular)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Idade</w:t>
      </w:r>
      <w:r>
        <w:t xml:space="preserve"> </w:t>
      </w:r>
      <w:r>
        <w:t xml:space="preserve">(ajuste automático mínimo)</w:t>
      </w:r>
    </w:p>
    <w:p>
      <w:pPr>
        <w:pStyle w:val="FirstParagraph"/>
      </w:pPr>
      <w:r>
        <w:rPr>
          <w:b/>
          <w:bCs/>
        </w:rPr>
        <w:t xml:space="preserve">Outputs Fixos (Não-Editáveis):</w:t>
      </w:r>
    </w:p>
    <w:p>
      <w:pPr>
        <w:pStyle w:val="Compact"/>
        <w:numPr>
          <w:ilvl w:val="0"/>
          <w:numId w:val="1004"/>
        </w:numPr>
      </w:pPr>
      <w:r>
        <w:t xml:space="preserve">Add central: ~+3.00 D (fixo no algoritmo)</w:t>
      </w:r>
    </w:p>
    <w:p>
      <w:pPr>
        <w:pStyle w:val="Compact"/>
        <w:numPr>
          <w:ilvl w:val="0"/>
          <w:numId w:val="1004"/>
        </w:numPr>
      </w:pPr>
      <w:r>
        <w:t xml:space="preserve">Q-target: ~-1.60 (não ajustável)</w:t>
      </w:r>
    </w:p>
    <w:p>
      <w:pPr>
        <w:pStyle w:val="Compact"/>
        <w:numPr>
          <w:ilvl w:val="0"/>
          <w:numId w:val="1004"/>
        </w:numPr>
      </w:pPr>
      <w:r>
        <w:t xml:space="preserve">Zona óptica: 6.5 mm (fixa)</w:t>
      </w:r>
    </w:p>
    <w:p>
      <w:pPr>
        <w:pStyle w:val="Compact"/>
        <w:numPr>
          <w:ilvl w:val="0"/>
          <w:numId w:val="1004"/>
        </w:numPr>
      </w:pPr>
      <w:r>
        <w:t xml:space="preserve">Perfil de transição: Proprietário (black box total)</w:t>
      </w:r>
    </w:p>
    <w:p>
      <w:pPr>
        <w:pStyle w:val="FirstParagraph"/>
      </w:pPr>
      <w:r>
        <w:rPr>
          <w:b/>
          <w:bCs/>
        </w:rPr>
        <w:t xml:space="preserve">Limitação Crítica:</w:t>
      </w:r>
    </w:p>
    <w:p>
      <w:pPr>
        <w:pStyle w:val="BodyText"/>
      </w:pPr>
      <w:r>
        <w:t xml:space="preserve">O cirurgião</w:t>
      </w:r>
      <w:r>
        <w:t xml:space="preserve"> </w:t>
      </w:r>
      <w:r>
        <w:rPr>
          <w:b/>
          <w:bCs/>
        </w:rPr>
        <w:t xml:space="preserve">não pode modular</w:t>
      </w:r>
      <w:r>
        <w:t xml:space="preserve"> </w:t>
      </w:r>
      <w:r>
        <w:t xml:space="preserve">a agressividade do perfil. É</w:t>
      </w:r>
      <w:r>
        <w:t xml:space="preserve"> </w:t>
      </w:r>
      <w:r>
        <w:t xml:space="preserve">“tudo ou nada”</w:t>
      </w:r>
      <w:r>
        <w:t xml:space="preserve"> </w:t>
      </w:r>
      <w:r>
        <w:t xml:space="preserve">- ou aplica SUPRACOR standard, ou não aplica.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estratégia-monocular-dominado-por-perto"/>
    <w:p>
      <w:pPr>
        <w:pStyle w:val="Heading2"/>
      </w:pPr>
      <w:r>
        <w:t xml:space="preserve">8.3. Estratégia: Monocular Dominado por Perto</w:t>
      </w:r>
    </w:p>
    <w:bookmarkStart w:id="15" w:name="Xfc93ca8aea80b5bd648018d6beaa48dc0d6c63b"/>
    <w:p>
      <w:pPr>
        <w:pStyle w:val="Heading3"/>
      </w:pPr>
      <w:r>
        <w:t xml:space="preserve">8.3.1. Protocolo Standard: Olho Não-Dominante Apenas</w:t>
      </w:r>
    </w:p>
    <w:p>
      <w:pPr>
        <w:pStyle w:val="FirstParagraph"/>
      </w:pPr>
      <w:r>
        <w:rPr>
          <w:b/>
          <w:bCs/>
        </w:rPr>
        <w:t xml:space="preserve">Abordagem Universal SUPRACOR: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Olho não-dominante:</w:t>
      </w:r>
      <w:r>
        <w:t xml:space="preserve"> </w:t>
      </w:r>
      <w:r>
        <w:t xml:space="preserve">SUPRACOR completo (+3.00 D add)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Olho dominante: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Opção A (Mais Comum):</w:t>
      </w:r>
      <w:r>
        <w:t xml:space="preserve"> </w:t>
      </w:r>
      <w:r>
        <w:t xml:space="preserve">LASIK/PRK standard para emetropia (0.00 D), SEM multifocalidade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Opção B (Rara):</w:t>
      </w:r>
      <w:r>
        <w:t xml:space="preserve"> </w:t>
      </w:r>
      <w:r>
        <w:t xml:space="preserve">SUPRACOR também, mas com add ligeiramente reduzida (não standard)</w:t>
      </w:r>
    </w:p>
    <w:p>
      <w:pPr>
        <w:pStyle w:val="FirstParagraph"/>
      </w:pPr>
      <w:r>
        <w:rPr>
          <w:b/>
          <w:bCs/>
        </w:rPr>
        <w:t xml:space="preserve">Anisometropia Funcional Induzida:</w:t>
      </w:r>
    </w:p>
    <w:p>
      <w:pPr>
        <w:pStyle w:val="BodyText"/>
      </w:pPr>
      <w:r>
        <w:t xml:space="preserve">Embora ambos os olhos sejam corrigidos para</w:t>
      </w:r>
      <w:r>
        <w:t xml:space="preserve"> </w:t>
      </w:r>
      <w:r>
        <w:t xml:space="preserve">“~0.00 D”</w:t>
      </w:r>
      <w:r>
        <w:t xml:space="preserve"> </w:t>
      </w:r>
      <w:r>
        <w:t xml:space="preserve">em refração manifesta, a</w:t>
      </w:r>
      <w:r>
        <w:t xml:space="preserve"> </w:t>
      </w:r>
      <w:r>
        <w:rPr>
          <w:b/>
          <w:bCs/>
        </w:rPr>
        <w:t xml:space="preserve">qualidade de imagem</w:t>
      </w:r>
      <w:r>
        <w:t xml:space="preserve"> </w:t>
      </w:r>
      <w:r>
        <w:t xml:space="preserve">é drasticamente diferente: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OD (dominante, monofocal):</w:t>
      </w:r>
      <w:r>
        <w:t xml:space="preserve"> </w:t>
      </w:r>
      <w:r>
        <w:t xml:space="preserve">Imagem nítida de longe, turva de perto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OE (não-dominante, SUPRACOR):</w:t>
      </w:r>
      <w:r>
        <w:t xml:space="preserve"> </w:t>
      </w:r>
      <w:r>
        <w:t xml:space="preserve">Imagem multifocal (simultâneas de perto/intermédio/longe)</w:t>
      </w:r>
    </w:p>
    <w:p>
      <w:pPr>
        <w:pStyle w:val="FirstParagraph"/>
      </w:pPr>
      <w:r>
        <w:rPr>
          <w:b/>
          <w:bCs/>
        </w:rPr>
        <w:t xml:space="preserve">Raciocínio:</w:t>
      </w:r>
    </w:p>
    <w:p>
      <w:pPr>
        <w:pStyle w:val="BodyText"/>
      </w:pPr>
      <w:r>
        <w:t xml:space="preserve">Ao preservar um olho completamente</w:t>
      </w:r>
      <w:r>
        <w:t xml:space="preserve"> </w:t>
      </w:r>
      <w:r>
        <w:t xml:space="preserve">“normal”</w:t>
      </w:r>
      <w:r>
        <w:t xml:space="preserve"> </w:t>
      </w:r>
      <w:r>
        <w:t xml:space="preserve">(dominante), minimiza-se o risco de insatisfação total. Se paciente não tolera SUPRACOR, ainda tem um olho funcional para longe.</w:t>
      </w:r>
    </w:p>
    <w:bookmarkEnd w:id="15"/>
    <w:bookmarkStart w:id="16" w:name="X82e4d983c12c854eb1db6a5e25553602059b4fc"/>
    <w:p>
      <w:pPr>
        <w:pStyle w:val="Heading3"/>
      </w:pPr>
      <w:r>
        <w:t xml:space="preserve">8.3.2. Tentativa de Bilateral SUPRACOR: Fracasso Documentado</w:t>
      </w:r>
    </w:p>
    <w:p>
      <w:pPr>
        <w:pStyle w:val="FirstParagraph"/>
      </w:pPr>
      <w:r>
        <w:rPr>
          <w:b/>
          <w:bCs/>
        </w:rPr>
        <w:t xml:space="preserve">Estudos Iniciais (2010-2012):</w:t>
      </w:r>
    </w:p>
    <w:p>
      <w:pPr>
        <w:pStyle w:val="BodyText"/>
      </w:pPr>
      <w:r>
        <w:t xml:space="preserve">Tentativas de aplicar SUPRACOR bilateral (ambos os olhos) resultaram em: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Taxa de insatisfação:</w:t>
      </w:r>
      <w:r>
        <w:t xml:space="preserve"> </w:t>
      </w:r>
      <w:r>
        <w:t xml:space="preserve">40-50% (inaceitavelmente alta)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Sintomas Principais:</w:t>
      </w:r>
    </w:p>
    <w:p>
      <w:pPr>
        <w:pStyle w:val="Compact"/>
        <w:numPr>
          <w:ilvl w:val="1"/>
          <w:numId w:val="1009"/>
        </w:numPr>
      </w:pPr>
      <w:r>
        <w:t xml:space="preserve">Halos severos bilaterais incapacitantes</w:t>
      </w:r>
    </w:p>
    <w:p>
      <w:pPr>
        <w:pStyle w:val="Compact"/>
        <w:numPr>
          <w:ilvl w:val="1"/>
          <w:numId w:val="1009"/>
        </w:numPr>
      </w:pPr>
      <w:r>
        <w:t xml:space="preserve">Perda de CDVA binocular para 20/40-20/50 (3-4 linhas)</w:t>
      </w:r>
    </w:p>
    <w:p>
      <w:pPr>
        <w:pStyle w:val="Compact"/>
        <w:numPr>
          <w:ilvl w:val="1"/>
          <w:numId w:val="1009"/>
        </w:numPr>
      </w:pPr>
      <w:r>
        <w:t xml:space="preserve">Sensibilidade ao contraste devastada (-0.5 log units)</w:t>
      </w:r>
    </w:p>
    <w:p>
      <w:pPr>
        <w:pStyle w:val="Compact"/>
        <w:numPr>
          <w:ilvl w:val="1"/>
          <w:numId w:val="1009"/>
        </w:numPr>
      </w:pPr>
      <w:r>
        <w:t xml:space="preserve">“Visão estranha”</w:t>
      </w:r>
      <w:r>
        <w:t xml:space="preserve"> </w:t>
      </w:r>
      <w:r>
        <w:t xml:space="preserve">permanente</w:t>
      </w:r>
    </w:p>
    <w:p>
      <w:pPr>
        <w:pStyle w:val="FirstParagraph"/>
      </w:pPr>
      <w:r>
        <w:rPr>
          <w:b/>
          <w:bCs/>
        </w:rPr>
        <w:t xml:space="preserve">Conclusão da Literatura:</w:t>
      </w:r>
    </w:p>
    <w:p>
      <w:pPr>
        <w:pStyle w:val="BodyText"/>
      </w:pPr>
      <w:r>
        <w:t xml:space="preserve">Bilateral SUPRACOR foi</w:t>
      </w:r>
      <w:r>
        <w:t xml:space="preserve"> </w:t>
      </w:r>
      <w:r>
        <w:rPr>
          <w:b/>
          <w:bCs/>
        </w:rPr>
        <w:t xml:space="preserve">abandonado universalmente</w:t>
      </w:r>
      <w:r>
        <w:t xml:space="preserve">. Todos os protocolos atuais são monoculares. [2]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1e6befad65f0d2cd14227088394aa3ff2edab2c"/>
    <w:p>
      <w:pPr>
        <w:pStyle w:val="Heading2"/>
      </w:pPr>
      <w:r>
        <w:t xml:space="preserve">8.4. Seleção de Pacientes: Critérios Extremamente Restritos</w:t>
      </w:r>
    </w:p>
    <w:bookmarkStart w:id="18" w:name="X73074e03074099303c31eb1ec89b960b727cf97"/>
    <w:p>
      <w:pPr>
        <w:pStyle w:val="Heading3"/>
      </w:pPr>
      <w:r>
        <w:t xml:space="preserve">8.4.1. Candidatos Potencialmente Adequados (Grupo Muito Pequeno)</w:t>
      </w:r>
    </w:p>
    <w:p>
      <w:pPr>
        <w:pStyle w:val="FirstParagraph"/>
      </w:pPr>
      <w:r>
        <w:rPr>
          <w:b/>
          <w:bCs/>
        </w:rPr>
        <w:t xml:space="preserve">Perfil Ideal (Difícil de Encontrar):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55-65 anos (acomodação residual &lt;1.0 D)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Não candidatos &lt;50 anos:</w:t>
      </w:r>
      <w:r>
        <w:t xml:space="preserve"> </w:t>
      </w:r>
      <w:r>
        <w:t xml:space="preserve">Acomodação residual cria conflito com add fixa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 Necessária:</w:t>
      </w:r>
      <w:r>
        <w:t xml:space="preserve"> </w:t>
      </w:r>
      <w:r>
        <w:t xml:space="preserve">≥+2.50 D (alta presbiopia)</w:t>
      </w:r>
    </w:p>
    <w:p>
      <w:pPr>
        <w:pStyle w:val="Compact"/>
        <w:numPr>
          <w:ilvl w:val="1"/>
          <w:numId w:val="1012"/>
        </w:numPr>
      </w:pPr>
      <w:r>
        <w:t xml:space="preserve">Pacientes com add &lt;+2.00 D: Outras técnicas são melhores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Prioridade Visual:</w:t>
      </w:r>
      <w:r>
        <w:t xml:space="preserve"> </w:t>
      </w:r>
      <w:r>
        <w:rPr>
          <w:b/>
          <w:bCs/>
        </w:rPr>
        <w:t xml:space="preserve">Perto &gt; Intermédio &gt; Longe</w:t>
      </w:r>
    </w:p>
    <w:p>
      <w:pPr>
        <w:pStyle w:val="Compact"/>
        <w:numPr>
          <w:ilvl w:val="1"/>
          <w:numId w:val="1013"/>
        </w:numPr>
      </w:pPr>
      <w:r>
        <w:t xml:space="preserve">Paciente que passa &gt;70% tempo em leitura/trabalho manual</w:t>
      </w:r>
    </w:p>
    <w:p>
      <w:pPr>
        <w:pStyle w:val="Compact"/>
        <w:numPr>
          <w:ilvl w:val="1"/>
          <w:numId w:val="1013"/>
        </w:numPr>
      </w:pPr>
      <w:r>
        <w:t xml:space="preserve">Exemplos: Joalheiro, relojoeiro, bordadeira, dentista (trabalho muito próximo)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 Refrativo: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Hipermétropes +1.50 a +3.50 D:</w:t>
      </w:r>
      <w:r>
        <w:t xml:space="preserve"> </w:t>
      </w:r>
      <w:r>
        <w:t xml:space="preserve">Melhores candidatos</w:t>
      </w:r>
    </w:p>
    <w:p>
      <w:pPr>
        <w:pStyle w:val="Compact"/>
        <w:numPr>
          <w:ilvl w:val="1"/>
          <w:numId w:val="1014"/>
        </w:numPr>
      </w:pPr>
      <w:r>
        <w:t xml:space="preserve">Emétropes: Viáveis mas maior risco</w:t>
      </w:r>
    </w:p>
    <w:p>
      <w:pPr>
        <w:pStyle w:val="Compact"/>
        <w:numPr>
          <w:ilvl w:val="1"/>
          <w:numId w:val="1014"/>
        </w:numPr>
      </w:pPr>
      <w:r>
        <w:t xml:space="preserve">Míopes: Geralmente contraindicados (perdem visão natural de perto)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Pupila:</w:t>
      </w:r>
    </w:p>
    <w:p>
      <w:pPr>
        <w:pStyle w:val="Compact"/>
        <w:numPr>
          <w:ilvl w:val="1"/>
          <w:numId w:val="1015"/>
        </w:numPr>
      </w:pPr>
      <w:r>
        <w:t xml:space="preserve">Fotópica: 2.0-3.0 mm (pequena)</w:t>
      </w:r>
    </w:p>
    <w:p>
      <w:pPr>
        <w:pStyle w:val="Compact"/>
        <w:numPr>
          <w:ilvl w:val="1"/>
          <w:numId w:val="1015"/>
        </w:numPr>
      </w:pPr>
      <w:r>
        <w:t xml:space="preserve">Mesópica: &lt;5.5 mm (moderada, NÃO grande)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Expectativas: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Compreensão explícita:</w:t>
      </w:r>
      <w:r>
        <w:t xml:space="preserve"> </w:t>
      </w:r>
      <w:r>
        <w:t xml:space="preserve">“Vou ler perfeitamente mas minha visão de longe será inferior”</w:t>
      </w:r>
    </w:p>
    <w:p>
      <w:pPr>
        <w:pStyle w:val="Compact"/>
        <w:numPr>
          <w:ilvl w:val="1"/>
          <w:numId w:val="1016"/>
        </w:numPr>
      </w:pPr>
      <w:r>
        <w:t xml:space="preserve">Teste de lente de contacto MANDATÓRIO</w:t>
      </w:r>
    </w:p>
    <w:bookmarkEnd w:id="18"/>
    <w:bookmarkStart w:id="19" w:name="Xbba5c9341cd909634e9a67dc17921add236ede1"/>
    <w:p>
      <w:pPr>
        <w:pStyle w:val="Heading3"/>
      </w:pPr>
      <w:r>
        <w:t xml:space="preserve">8.4.2. Teste de Lente de Contacto: Simulação de Trade-Off</w:t>
      </w:r>
    </w:p>
    <w:p>
      <w:pPr>
        <w:pStyle w:val="FirstParagraph"/>
      </w:pPr>
      <w:r>
        <w:rPr>
          <w:b/>
          <w:bCs/>
        </w:rPr>
        <w:t xml:space="preserve">Protocolo Específico SUPRACOR:</w:t>
      </w:r>
    </w:p>
    <w:p>
      <w:pPr>
        <w:pStyle w:val="BodyText"/>
      </w:pPr>
      <w:r>
        <w:t xml:space="preserve">Simular</w:t>
      </w:r>
      <w:r>
        <w:t xml:space="preserve"> </w:t>
      </w:r>
      <w:r>
        <w:rPr>
          <w:b/>
          <w:bCs/>
        </w:rPr>
        <w:t xml:space="preserve">degradação de longe</w:t>
      </w:r>
      <w:r>
        <w:t xml:space="preserve"> </w:t>
      </w:r>
      <w:r>
        <w:t xml:space="preserve">que SUPRACOR induz: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Olho dominante:</w:t>
      </w:r>
      <w:r>
        <w:t xml:space="preserve"> </w:t>
      </w:r>
      <w:r>
        <w:t xml:space="preserve">LC para emetropia (0.00 D) → visão longe normal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Olho não-dominante:</w:t>
      </w:r>
      <w:r>
        <w:t xml:space="preserve"> </w:t>
      </w:r>
      <w:r>
        <w:t xml:space="preserve">LC multifocal center-near com add +3.00 D</w:t>
      </w:r>
    </w:p>
    <w:p>
      <w:pPr>
        <w:pStyle w:val="Compact"/>
        <w:numPr>
          <w:ilvl w:val="1"/>
          <w:numId w:val="1018"/>
        </w:numPr>
      </w:pPr>
      <w:r>
        <w:t xml:space="preserve">Alternativa (se LC multifocal indisponível): LC esférica +1.50 D (simula blur parcial de longe)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Duração:</w:t>
      </w:r>
      <w:r>
        <w:t xml:space="preserve"> </w:t>
      </w:r>
      <w:r>
        <w:t xml:space="preserve">7-10 dias (mínimo absoluto)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Testes Funcionais: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Leitura:</w:t>
      </w:r>
      <w:r>
        <w:t xml:space="preserve"> </w:t>
      </w:r>
      <w:r>
        <w:t xml:space="preserve">Deve ser J1-J2 excelente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Condução diurna:</w:t>
      </w:r>
      <w:r>
        <w:t xml:space="preserve"> </w:t>
      </w:r>
      <w:r>
        <w:t xml:space="preserve">Deve ser funcional (≥20/40 binocular)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Condução noturna:</w:t>
      </w:r>
      <w:r>
        <w:t xml:space="preserve"> </w:t>
      </w:r>
      <w:r>
        <w:rPr>
          <w:b/>
          <w:bCs/>
        </w:rPr>
        <w:t xml:space="preserve">Crítico</w:t>
      </w:r>
      <w:r>
        <w:t xml:space="preserve"> </w:t>
      </w:r>
      <w:r>
        <w:t xml:space="preserve">- se halos impedem condução → CONTRAINDICAR</w:t>
      </w:r>
    </w:p>
    <w:p>
      <w:pPr>
        <w:pStyle w:val="FirstParagraph"/>
      </w:pPr>
      <w:r>
        <w:rPr>
          <w:b/>
          <w:bCs/>
        </w:rPr>
        <w:t xml:space="preserve">Taxa de Falha no Teste:</w:t>
      </w:r>
    </w:p>
    <w:p>
      <w:pPr>
        <w:pStyle w:val="BodyText"/>
      </w:pPr>
      <w:r>
        <w:t xml:space="preserve">Literatura:</w:t>
      </w:r>
      <w:r>
        <w:t xml:space="preserve"> </w:t>
      </w:r>
      <w:r>
        <w:rPr>
          <w:b/>
          <w:bCs/>
        </w:rPr>
        <w:t xml:space="preserve">25-35%</w:t>
      </w:r>
      <w:r>
        <w:t xml:space="preserve"> </w:t>
      </w:r>
      <w:r>
        <w:t xml:space="preserve">(muito superior a PRESBYOND 5-8% ou Custom-Q 10-15%)</w:t>
      </w:r>
    </w:p>
    <w:p>
      <w:pPr>
        <w:pStyle w:val="BodyText"/>
      </w:pPr>
      <w:r>
        <w:rPr>
          <w:b/>
          <w:bCs/>
        </w:rPr>
        <w:t xml:space="preserve">Razão:</w:t>
      </w:r>
      <w:r>
        <w:t xml:space="preserve"> </w:t>
      </w:r>
      <w:r>
        <w:t xml:space="preserve">Trade-off é severo demais para a maioria.</w:t>
      </w:r>
    </w:p>
    <w:bookmarkEnd w:id="19"/>
    <w:bookmarkStart w:id="20" w:name="contraindicações-absolutas"/>
    <w:p>
      <w:pPr>
        <w:pStyle w:val="Heading3"/>
      </w:pPr>
      <w:r>
        <w:t xml:space="preserve">8.4.3. Contraindicações Absolutas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Profissões que exigem CDVA excelente:</w:t>
      </w:r>
    </w:p>
    <w:p>
      <w:pPr>
        <w:pStyle w:val="Compact"/>
        <w:numPr>
          <w:ilvl w:val="1"/>
          <w:numId w:val="1021"/>
        </w:numPr>
      </w:pPr>
      <w:r>
        <w:t xml:space="preserve">Pilotos (qualquer tipo)</w:t>
      </w:r>
    </w:p>
    <w:p>
      <w:pPr>
        <w:pStyle w:val="Compact"/>
        <w:numPr>
          <w:ilvl w:val="1"/>
          <w:numId w:val="1021"/>
        </w:numPr>
      </w:pPr>
      <w:r>
        <w:t xml:space="preserve">Condutores profissionais</w:t>
      </w:r>
    </w:p>
    <w:p>
      <w:pPr>
        <w:pStyle w:val="Compact"/>
        <w:numPr>
          <w:ilvl w:val="1"/>
          <w:numId w:val="1021"/>
        </w:numPr>
      </w:pPr>
      <w:r>
        <w:t xml:space="preserve">Cirurgiões</w:t>
      </w:r>
    </w:p>
    <w:p>
      <w:pPr>
        <w:pStyle w:val="Compact"/>
        <w:numPr>
          <w:ilvl w:val="1"/>
          <w:numId w:val="1021"/>
        </w:numPr>
      </w:pPr>
      <w:r>
        <w:t xml:space="preserve">Atiradores, militares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Pupila Mesópica &gt;6.5 mm:</w:t>
      </w:r>
    </w:p>
    <w:p>
      <w:pPr>
        <w:pStyle w:val="Compact"/>
        <w:numPr>
          <w:ilvl w:val="1"/>
          <w:numId w:val="1022"/>
        </w:numPr>
      </w:pPr>
      <w:r>
        <w:t xml:space="preserve">Halos serão incapacitantes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Paciente emétrope ou míope sem compreensão do trade-off:</w:t>
      </w:r>
    </w:p>
    <w:p>
      <w:pPr>
        <w:pStyle w:val="Compact"/>
        <w:numPr>
          <w:ilvl w:val="1"/>
          <w:numId w:val="1023"/>
        </w:numPr>
      </w:pPr>
      <w:r>
        <w:t xml:space="preserve">Alto risco de arrependimento (</w:t>
      </w:r>
      <w:r>
        <w:t xml:space="preserve">“Eu via bem de longe antes!”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História de depressão ou ansiedade:</w:t>
      </w:r>
    </w:p>
    <w:p>
      <w:pPr>
        <w:pStyle w:val="Compact"/>
        <w:numPr>
          <w:ilvl w:val="1"/>
          <w:numId w:val="1024"/>
        </w:numPr>
      </w:pPr>
      <w:r>
        <w:t xml:space="preserve">Período de adaptação pode ser psicologicamente devastador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Expectativas irrealistas:</w:t>
      </w:r>
    </w:p>
    <w:p>
      <w:pPr>
        <w:pStyle w:val="Compact"/>
        <w:numPr>
          <w:ilvl w:val="1"/>
          <w:numId w:val="1025"/>
        </w:numPr>
      </w:pPr>
      <w:r>
        <w:t xml:space="preserve">“Quero ver perfeitamente longe E perto”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Impossível com SUPRACOR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resultados-clínicos-dados-honestos"/>
    <w:p>
      <w:pPr>
        <w:pStyle w:val="Heading2"/>
      </w:pPr>
      <w:r>
        <w:t xml:space="preserve">8.5. Resultados Clínicos: Dados Honestos</w:t>
      </w:r>
    </w:p>
    <w:bookmarkStart w:id="22" w:name="eficácia-visual"/>
    <w:p>
      <w:pPr>
        <w:pStyle w:val="Heading3"/>
      </w:pPr>
      <w:r>
        <w:t xml:space="preserve">8.5.1. Eficácia Visual</w:t>
      </w:r>
    </w:p>
    <w:p>
      <w:pPr>
        <w:pStyle w:val="FirstParagraph"/>
      </w:pPr>
      <w:r>
        <w:rPr>
          <w:b/>
          <w:bCs/>
        </w:rPr>
        <w:t xml:space="preserve">Estudo Pivotal (Bausch+Lomb, n=180, 12 meses):</w:t>
      </w:r>
      <w:r>
        <w:t xml:space="preserve"> </w:t>
      </w:r>
      <w:r>
        <w:t xml:space="preserve">[1,3]</w:t>
      </w:r>
    </w:p>
    <w:p>
      <w:pPr>
        <w:pStyle w:val="BodyText"/>
      </w:pPr>
      <w:r>
        <w:rPr>
          <w:b/>
          <w:bCs/>
        </w:rPr>
        <w:t xml:space="preserve">Visão de Perto (Monocular UCNVA - Olho SUPRACOR):</w:t>
      </w:r>
      <w:r>
        <w:t xml:space="preserve"> </w:t>
      </w:r>
      <w:r>
        <w:t xml:space="preserve">- J1 ou melhor: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(excelente)</w:t>
      </w:r>
      <w:r>
        <w:t xml:space="preserve"> </w:t>
      </w:r>
      <w:r>
        <w:t xml:space="preserve">- J2 ou melhor: 98%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Melhor desempenho de perto de todas as técnicas</w:t>
      </w:r>
    </w:p>
    <w:p>
      <w:pPr>
        <w:pStyle w:val="BodyText"/>
      </w:pPr>
      <w:r>
        <w:rPr>
          <w:b/>
          <w:bCs/>
        </w:rPr>
        <w:t xml:space="preserve">Visão de Longe (Binocular UCDVA):</w:t>
      </w:r>
      <w:r>
        <w:t xml:space="preserve"> </w:t>
      </w:r>
      <w:r>
        <w:t xml:space="preserve">- 20/20 ou melhor:</w:t>
      </w:r>
      <w:r>
        <w:t xml:space="preserve"> </w:t>
      </w:r>
      <w:r>
        <w:rPr>
          <w:b/>
          <w:bCs/>
        </w:rPr>
        <w:t xml:space="preserve">68%</w:t>
      </w:r>
      <w:r>
        <w:t xml:space="preserve"> </w:t>
      </w:r>
      <w:r>
        <w:t xml:space="preserve">(inferior a todas outras técnicas)</w:t>
      </w:r>
      <w:r>
        <w:t xml:space="preserve"> </w:t>
      </w:r>
      <w:r>
        <w:t xml:space="preserve">- 20/25 ou melhor: 82%</w:t>
      </w:r>
      <w:r>
        <w:t xml:space="preserve"> </w:t>
      </w:r>
      <w:r>
        <w:t xml:space="preserve">- 20/40 ou pior:</w:t>
      </w:r>
      <w:r>
        <w:t xml:space="preserve"> </w:t>
      </w:r>
      <w:r>
        <w:rPr>
          <w:b/>
          <w:bCs/>
        </w:rPr>
        <w:t xml:space="preserve">18%</w:t>
      </w:r>
      <w:r>
        <w:t xml:space="preserve"> </w:t>
      </w:r>
      <w:r>
        <w:t xml:space="preserve">(preocupante)</w:t>
      </w:r>
    </w:p>
    <w:p>
      <w:pPr>
        <w:pStyle w:val="BodyText"/>
      </w:pPr>
      <w:r>
        <w:rPr>
          <w:b/>
          <w:bCs/>
        </w:rPr>
        <w:t xml:space="preserve">Comparação CDVA (vs. Custom-Q e PRESBYOND):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% ≥20/20 Binocular</w:t>
            </w:r>
          </w:p>
        </w:tc>
        <w:tc>
          <w:tcPr/>
          <w:p>
            <w:pPr>
              <w:pStyle w:val="Compact"/>
            </w:pPr>
            <w:r>
              <w:t xml:space="preserve">Perda Linhas 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Custom-Q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0.5 linhas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PRESBYOND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0.2 linhas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PresbyMAX Hybrid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0.4 linhas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SUPRACOR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 linhas</w:t>
            </w:r>
          </w:p>
        </w:tc>
      </w:tr>
    </w:tbl>
    <w:bookmarkEnd w:id="22"/>
    <w:bookmarkStart w:id="23" w:name="qualidade-visual-trade-offs-severos"/>
    <w:p>
      <w:pPr>
        <w:pStyle w:val="Heading3"/>
      </w:pPr>
      <w:r>
        <w:t xml:space="preserve">8.5.2. Qualidade Visual: Trade-Offs Severos</w:t>
      </w:r>
    </w:p>
    <w:p>
      <w:pPr>
        <w:pStyle w:val="FirstParagraph"/>
      </w:pPr>
      <w:r>
        <w:rPr>
          <w:b/>
          <w:bCs/>
        </w:rPr>
        <w:t xml:space="preserve">Sensibilidade ao Contraste:</w:t>
      </w:r>
    </w:p>
    <w:p>
      <w:pPr>
        <w:pStyle w:val="BodyText"/>
      </w:pPr>
      <w:r>
        <w:t xml:space="preserve">Medição CSV-1000: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Redução vs. Pré-Op</w:t>
            </w:r>
          </w:p>
        </w:tc>
        <w:tc>
          <w:tcPr/>
          <w:p>
            <w:pPr>
              <w:pStyle w:val="Compact"/>
            </w:pPr>
            <w:r>
              <w:t xml:space="preserve">Comparação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cpd</w:t>
            </w:r>
          </w:p>
        </w:tc>
        <w:tc>
          <w:tcPr/>
          <w:p>
            <w:pPr>
              <w:pStyle w:val="Compact"/>
            </w:pPr>
            <w:r>
              <w:t xml:space="preserve">-0.10 log</w:t>
            </w:r>
          </w:p>
        </w:tc>
        <w:tc>
          <w:tcPr/>
          <w:p>
            <w:pPr>
              <w:pStyle w:val="Compact"/>
            </w:pPr>
            <w:r>
              <w:t xml:space="preserve">Moderada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cpd</w:t>
            </w:r>
          </w:p>
        </w:tc>
        <w:tc>
          <w:tcPr/>
          <w:p>
            <w:pPr>
              <w:pStyle w:val="Compact"/>
            </w:pPr>
            <w:r>
              <w:t xml:space="preserve">-0.30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cpd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-0.45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Muito Severa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cpd</w:t>
            </w:r>
          </w:p>
        </w:tc>
        <w:tc>
          <w:tcPr/>
          <w:p>
            <w:pPr>
              <w:pStyle w:val="Compact"/>
            </w:pPr>
            <w:r>
              <w:t xml:space="preserve">-0.60 log</w:t>
            </w:r>
          </w:p>
        </w:tc>
        <w:tc>
          <w:tcPr/>
          <w:p>
            <w:pPr>
              <w:pStyle w:val="Compact"/>
            </w:pPr>
            <w:r>
              <w:t xml:space="preserve">Devastadora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Contextualização:</w:t>
      </w:r>
      <w:r>
        <w:br/>
      </w:r>
      <w:r>
        <w:t xml:space="preserve">Redução de 0.45 log em 12 cpd é</w:t>
      </w:r>
      <w:r>
        <w:t xml:space="preserve"> </w:t>
      </w:r>
      <w:r>
        <w:rPr>
          <w:b/>
          <w:bCs/>
        </w:rPr>
        <w:t xml:space="preserve">3× pior</w:t>
      </w:r>
      <w:r>
        <w:t xml:space="preserve"> </w:t>
      </w:r>
      <w:r>
        <w:t xml:space="preserve">que Custom-Q (-0.15 log).</w:t>
      </w:r>
    </w:p>
    <w:p>
      <w:pPr>
        <w:pStyle w:val="BodyText"/>
      </w:pPr>
      <w:r>
        <w:rPr>
          <w:b/>
          <w:bCs/>
        </w:rPr>
        <w:t xml:space="preserve">Fenómenos Fóticos:</w:t>
      </w:r>
    </w:p>
    <w:p>
      <w:pPr>
        <w:pStyle w:val="BodyText"/>
      </w:pPr>
      <w:r>
        <w:t xml:space="preserve">Questionário validado (escala 0-10, 10=severo):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Halos noturnos:</w:t>
      </w:r>
      <w:r>
        <w:t xml:space="preserve"> </w:t>
      </w:r>
      <w:r>
        <w:t xml:space="preserve">Score médio 7.2 (vs. 4.5 PRESBYOND, 5.8 PresbyMAX)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Glare:</w:t>
      </w:r>
      <w:r>
        <w:t xml:space="preserve"> </w:t>
      </w:r>
      <w:r>
        <w:t xml:space="preserve">Score médio 6.8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Starburst:</w:t>
      </w:r>
      <w:r>
        <w:t xml:space="preserve"> </w:t>
      </w:r>
      <w:r>
        <w:t xml:space="preserve">Score médio 6.5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Dificuldade condução noturna:</w:t>
      </w:r>
      <w:r>
        <w:t xml:space="preserve"> </w:t>
      </w:r>
      <w:r>
        <w:rPr>
          <w:b/>
          <w:bCs/>
        </w:rPr>
        <w:t xml:space="preserve">42%</w:t>
      </w:r>
      <w:r>
        <w:t xml:space="preserve"> </w:t>
      </w:r>
      <w:r>
        <w:t xml:space="preserve">reportam limitação significativa</w:t>
      </w:r>
    </w:p>
    <w:bookmarkEnd w:id="23"/>
    <w:bookmarkStart w:id="24" w:name="satisfação-e-arrependimento"/>
    <w:p>
      <w:pPr>
        <w:pStyle w:val="Heading3"/>
      </w:pPr>
      <w:r>
        <w:t xml:space="preserve">8.5.3. Satisfação e Arrependimento</w:t>
      </w:r>
    </w:p>
    <w:p>
      <w:pPr>
        <w:pStyle w:val="FirstParagraph"/>
      </w:pPr>
      <w:r>
        <w:rPr>
          <w:b/>
          <w:bCs/>
        </w:rPr>
        <w:t xml:space="preserve">Satisfação Global (12 meses):</w:t>
      </w:r>
    </w:p>
    <w:p>
      <w:pPr>
        <w:pStyle w:val="Compact"/>
        <w:numPr>
          <w:ilvl w:val="0"/>
          <w:numId w:val="1027"/>
        </w:numPr>
      </w:pPr>
      <w:r>
        <w:t xml:space="preserve">Muito satisfeito: 52%</w:t>
      </w:r>
    </w:p>
    <w:p>
      <w:pPr>
        <w:pStyle w:val="Compact"/>
        <w:numPr>
          <w:ilvl w:val="0"/>
          <w:numId w:val="1027"/>
        </w:numPr>
      </w:pPr>
      <w:r>
        <w:t xml:space="preserve">Satisfeito: 28%</w:t>
      </w:r>
    </w:p>
    <w:p>
      <w:pPr>
        <w:pStyle w:val="Compact"/>
        <w:numPr>
          <w:ilvl w:val="0"/>
          <w:numId w:val="1027"/>
        </w:numPr>
      </w:pPr>
      <w:r>
        <w:t xml:space="preserve">Neutro: 12%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Insatisfeito:</w:t>
      </w:r>
      <w:r>
        <w:t xml:space="preserve"> </w:t>
      </w:r>
      <w:r>
        <w:t xml:space="preserve">8% (4× superior a PRESBYOND 2%)</w:t>
      </w:r>
    </w:p>
    <w:p>
      <w:pPr>
        <w:pStyle w:val="FirstParagraph"/>
      </w:pPr>
      <w:r>
        <w:rPr>
          <w:b/>
          <w:bCs/>
        </w:rPr>
        <w:t xml:space="preserve">“Questão do Arrependimento”</w:t>
      </w:r>
      <w:r>
        <w:rPr>
          <w:b/>
          <w:bCs/>
        </w:rPr>
        <w:t xml:space="preserve"> </w:t>
      </w:r>
      <w:r>
        <w:rPr>
          <w:b/>
          <w:bCs/>
        </w:rPr>
        <w:t xml:space="preserve">(Would you do it again?):</w:t>
      </w:r>
    </w:p>
    <w:p>
      <w:pPr>
        <w:pStyle w:val="Compact"/>
        <w:numPr>
          <w:ilvl w:val="0"/>
          <w:numId w:val="1028"/>
        </w:numPr>
      </w:pPr>
      <w:r>
        <w:t xml:space="preserve">Sim, definitivamente: 58%</w:t>
      </w:r>
    </w:p>
    <w:p>
      <w:pPr>
        <w:pStyle w:val="Compact"/>
        <w:numPr>
          <w:ilvl w:val="0"/>
          <w:numId w:val="1028"/>
        </w:numPr>
      </w:pPr>
      <w:r>
        <w:t xml:space="preserve">Provavelmente sim: 22%</w:t>
      </w:r>
    </w:p>
    <w:p>
      <w:pPr>
        <w:pStyle w:val="Compact"/>
        <w:numPr>
          <w:ilvl w:val="0"/>
          <w:numId w:val="1028"/>
        </w:numPr>
      </w:pPr>
      <w:r>
        <w:t xml:space="preserve">Não sei: 12%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Não faria novamente:</w:t>
      </w:r>
      <w:r>
        <w:t xml:space="preserve"> </w:t>
      </w:r>
      <w:r>
        <w:t xml:space="preserve">8%</w:t>
      </w:r>
    </w:p>
    <w:p>
      <w:pPr>
        <w:pStyle w:val="FirstParagraph"/>
      </w:pPr>
      <w:r>
        <w:rPr>
          <w:b/>
          <w:bCs/>
        </w:rPr>
        <w:t xml:space="preserve">Taxa de retratamento/Reversão:</w:t>
      </w:r>
      <w:r>
        <w:t xml:space="preserve"> </w:t>
      </w:r>
      <w:r>
        <w:t xml:space="preserve">15-18% [3]</w:t>
      </w:r>
    </w:p>
    <w:p>
      <w:pPr>
        <w:pStyle w:val="BodyText"/>
      </w:pPr>
      <w:r>
        <w:rPr>
          <w:b/>
          <w:bCs/>
        </w:rPr>
        <w:t xml:space="preserve">Indicações:</w:t>
      </w:r>
      <w:r>
        <w:t xml:space="preserve"> </w:t>
      </w:r>
      <w:r>
        <w:t xml:space="preserve">- Reversão (remover multifocalidade): 6-8%</w:t>
      </w:r>
      <w:r>
        <w:t xml:space="preserve"> </w:t>
      </w:r>
      <w:r>
        <w:t xml:space="preserve">- Ajuste por hipocorreção: 7-10%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mparação-supracor-vs.-alternativas"/>
    <w:p>
      <w:pPr>
        <w:pStyle w:val="Heading2"/>
      </w:pPr>
      <w:r>
        <w:t xml:space="preserve">8.6. Comparação SUPRACOR vs. Alternativas</w:t>
      </w:r>
    </w:p>
    <w:bookmarkStart w:id="26" w:name="Xe91c1b4ebcfdb84cc8651fbf19580d6967ed7b6"/>
    <w:p>
      <w:pPr>
        <w:pStyle w:val="Heading3"/>
      </w:pPr>
      <w:r>
        <w:t xml:space="preserve">8.6.1. SUPRACOR vs. RLE (Troca de Lente Refrativa)</w:t>
      </w:r>
    </w:p>
    <w:p>
      <w:pPr>
        <w:pStyle w:val="FirstParagraph"/>
      </w:pPr>
      <w:r>
        <w:t xml:space="preserve">Para pacientes com add &gt;+2.50 D e idade &gt;55 anos,</w:t>
      </w:r>
      <w:r>
        <w:t xml:space="preserve"> </w:t>
      </w:r>
      <w:r>
        <w:rPr>
          <w:b/>
          <w:bCs/>
        </w:rPr>
        <w:t xml:space="preserve">RLE com IOL multifocal</w:t>
      </w:r>
      <w:r>
        <w:t xml:space="preserve"> </w:t>
      </w:r>
      <w:r>
        <w:t xml:space="preserve">é frequentemente uma alternativa superior: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931"/>
        <w:gridCol w:w="4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SUPRACOR</w:t>
            </w:r>
          </w:p>
        </w:tc>
        <w:tc>
          <w:tcPr/>
          <w:p>
            <w:pPr>
              <w:pStyle w:val="Compact"/>
            </w:pPr>
            <w:r>
              <w:t xml:space="preserve">RLE + IOL Multifocal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Efetiva</w:t>
            </w:r>
          </w:p>
        </w:tc>
        <w:tc>
          <w:tcPr/>
          <w:p>
            <w:pPr>
              <w:pStyle w:val="Compact"/>
            </w:pPr>
            <w:r>
              <w:t xml:space="preserve">+3.00-3.50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+3.50-4.00 D</w:t>
            </w:r>
            <w:r>
              <w:t xml:space="preserve"> </w:t>
            </w:r>
            <w:r>
              <w:t xml:space="preserve">(superior)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CDVA Preservada</w:t>
            </w:r>
          </w:p>
        </w:tc>
        <w:tc>
          <w:tcPr/>
          <w:p>
            <w:pPr>
              <w:pStyle w:val="Compact"/>
            </w:pPr>
            <w:r>
              <w:t xml:space="preserve">68% ≥20/20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85-90% ≥20/20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Halos</w:t>
            </w:r>
          </w:p>
        </w:tc>
        <w:tc>
          <w:tcPr/>
          <w:p>
            <w:pPr>
              <w:pStyle w:val="Compact"/>
            </w:pPr>
            <w:r>
              <w:t xml:space="preserve">Severos (score 7.2)</w:t>
            </w:r>
          </w:p>
        </w:tc>
        <w:tc>
          <w:tcPr/>
          <w:p>
            <w:pPr>
              <w:pStyle w:val="Compact"/>
            </w:pPr>
            <w:r>
              <w:t xml:space="preserve">Moderados (score 5.0)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Estabilidade</w:t>
            </w:r>
          </w:p>
        </w:tc>
        <w:tc>
          <w:tcPr/>
          <w:p>
            <w:pPr>
              <w:pStyle w:val="Compact"/>
            </w:pPr>
            <w:r>
              <w:t xml:space="preserve">Regressão possível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Permanente</w:t>
            </w:r>
            <w:r>
              <w:t xml:space="preserve"> </w:t>
            </w:r>
            <w:r>
              <w:t xml:space="preserve">(lente intraocular)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Solução de Catarata Futura</w:t>
            </w:r>
          </w:p>
        </w:tc>
        <w:tc>
          <w:tcPr/>
          <w:p>
            <w:pPr>
              <w:pStyle w:val="Compact"/>
            </w:pPr>
            <w:r>
              <w:t xml:space="preserve">Ainda precisará cirurgia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Já resolvido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Reversibilidade</w:t>
            </w:r>
          </w:p>
        </w:tc>
        <w:tc>
          <w:tcPr/>
          <w:p>
            <w:pPr>
              <w:pStyle w:val="Compact"/>
            </w:pPr>
            <w:r>
              <w:t xml:space="preserve">Possível (topoguiado)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Irreversível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Invasividade</w:t>
            </w:r>
          </w:p>
        </w:tc>
        <w:tc>
          <w:tcPr/>
          <w:p>
            <w:pPr>
              <w:pStyle w:val="Compact"/>
            </w:pPr>
            <w:r>
              <w:t xml:space="preserve">Menor (superficie)</w:t>
            </w:r>
          </w:p>
        </w:tc>
        <w:tc>
          <w:tcPr/>
          <w:p>
            <w:pPr>
              <w:pStyle w:val="Compact"/>
            </w:pPr>
            <w:r>
              <w:t xml:space="preserve">Maior (intraocular)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Menor</w:t>
            </w:r>
          </w:p>
        </w:tc>
        <w:tc>
          <w:tcPr/>
          <w:p>
            <w:pPr>
              <w:pStyle w:val="Compact"/>
            </w:pPr>
            <w:r>
              <w:t xml:space="preserve">Maior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Indicação Estratégica:</w:t>
      </w:r>
    </w:p>
    <w:p>
      <w:pPr>
        <w:pStyle w:val="BodyText"/>
      </w:pPr>
      <w:r>
        <w:t xml:space="preserve">SUPRACOR só faz sentido se:</w:t>
      </w:r>
      <w:r>
        <w:t xml:space="preserve"> </w:t>
      </w:r>
      <w:r>
        <w:t xml:space="preserve">- Cristalino ainda transparente (LOCS &lt;2, OSI &lt;1.2)</w:t>
      </w:r>
      <w:r>
        <w:t xml:space="preserve"> </w:t>
      </w:r>
      <w:r>
        <w:t xml:space="preserve">- Paciente &lt;58 anos (idade limítrofe para RLE)</w:t>
      </w:r>
      <w:r>
        <w:t xml:space="preserve"> </w:t>
      </w:r>
      <w:r>
        <w:t xml:space="preserve">- Paciente recusa cirurgia intraocular</w:t>
      </w:r>
    </w:p>
    <w:p>
      <w:pPr>
        <w:pStyle w:val="BodyText"/>
      </w:pPr>
      <w:r>
        <w:rPr>
          <w:b/>
          <w:bCs/>
        </w:rPr>
        <w:t xml:space="preserve">Se ≥60 anos + cristalino DLS 2-3 → RLE é preferível na maioria dos casos</w:t>
      </w:r>
    </w:p>
    <w:bookmarkEnd w:id="26"/>
    <w:bookmarkStart w:id="27" w:name="X41653e88e800cf0d92d010e1846e75f7cdd3638"/>
    <w:p>
      <w:pPr>
        <w:pStyle w:val="Heading3"/>
      </w:pPr>
      <w:r>
        <w:t xml:space="preserve">8.6.2. Tabela Decisional Final: Quando Escolher Cada Técnica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024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 de Paciente</w:t>
            </w:r>
          </w:p>
        </w:tc>
        <w:tc>
          <w:tcPr/>
          <w:p>
            <w:pPr>
              <w:pStyle w:val="Compact"/>
            </w:pPr>
            <w:r>
              <w:t xml:space="preserve">Técnica Recomendada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+1.50-1.75 D, Pupila normal</w:t>
            </w:r>
          </w:p>
        </w:tc>
        <w:tc>
          <w:tcPr/>
          <w:p>
            <w:pPr>
              <w:pStyle w:val="Compact"/>
            </w:pPr>
            <w:r>
              <w:t xml:space="preserve">Custom-Q ou PRESBYOND</w:t>
            </w:r>
          </w:p>
        </w:tc>
        <w:tc>
          <w:tcPr/>
          <w:p>
            <w:pPr>
              <w:pStyle w:val="Compact"/>
            </w:pPr>
            <w:r>
              <w:t xml:space="preserve">Balancear longe/perto ideal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+2.00-2.50 D, Pupila &lt;6mm</w:t>
            </w:r>
          </w:p>
        </w:tc>
        <w:tc>
          <w:tcPr/>
          <w:p>
            <w:pPr>
              <w:pStyle w:val="Compact"/>
            </w:pPr>
            <w:r>
              <w:t xml:space="preserve">PresbyMAX Hybrid</w:t>
            </w:r>
          </w:p>
        </w:tc>
        <w:tc>
          <w:tcPr/>
          <w:p>
            <w:pPr>
              <w:pStyle w:val="Compact"/>
            </w:pPr>
            <w:r>
              <w:t xml:space="preserve">Add elevada com CDVA boa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+2.50-3.00 D, &gt;60 anos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 + IOL Multifocal</w:t>
            </w:r>
          </w:p>
        </w:tc>
        <w:tc>
          <w:tcPr/>
          <w:p>
            <w:pPr>
              <w:pStyle w:val="Compact"/>
            </w:pPr>
            <w:r>
              <w:t xml:space="preserve">Solução definitiva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+2.50-3.00 D, 55-58 anos, cristalino claro</w:t>
            </w:r>
          </w:p>
        </w:tc>
        <w:tc>
          <w:tcPr/>
          <w:p>
            <w:pPr>
              <w:pStyle w:val="Compact"/>
            </w:pPr>
            <w:r>
              <w:t xml:space="preserve">SUPRACOR (nicho)</w:t>
            </w:r>
          </w:p>
        </w:tc>
        <w:tc>
          <w:tcPr/>
          <w:p>
            <w:pPr>
              <w:pStyle w:val="Compact"/>
            </w:pPr>
            <w:r>
              <w:t xml:space="preserve">Única indicação real SUPRACOR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Emétrope, Add +1.50 D</w:t>
            </w:r>
          </w:p>
        </w:tc>
        <w:tc>
          <w:tcPr/>
          <w:p>
            <w:pPr>
              <w:pStyle w:val="Compact"/>
            </w:pPr>
            <w:r>
              <w:t xml:space="preserve">PRESBYOND</w:t>
            </w:r>
          </w:p>
        </w:tc>
        <w:tc>
          <w:tcPr/>
          <w:p>
            <w:pPr>
              <w:pStyle w:val="Compact"/>
            </w:pPr>
            <w:r>
              <w:t xml:space="preserve">Minimiza 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Míope -4D, Add +2.00 D</w:t>
            </w:r>
          </w:p>
        </w:tc>
        <w:tc>
          <w:tcPr/>
          <w:p>
            <w:pPr>
              <w:pStyle w:val="Compact"/>
            </w:pPr>
            <w:r>
              <w:t xml:space="preserve">Monovisão Custom-Q</w:t>
            </w:r>
          </w:p>
        </w:tc>
        <w:tc>
          <w:tcPr/>
          <w:p>
            <w:pPr>
              <w:pStyle w:val="Compact"/>
            </w:pPr>
            <w:r>
              <w:t xml:space="preserve">Preserva perto natural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protocolo-cirúrgico-supracor"/>
    <w:p>
      <w:pPr>
        <w:pStyle w:val="Heading2"/>
      </w:pPr>
      <w:r>
        <w:t xml:space="preserve">8.7. Protocolo Cirúrgico SUPRACOR</w:t>
      </w:r>
    </w:p>
    <w:bookmarkStart w:id="29" w:name="técnica-intra-operatória"/>
    <w:p>
      <w:pPr>
        <w:pStyle w:val="Heading3"/>
      </w:pPr>
      <w:r>
        <w:t xml:space="preserve">8.7.1. Técnica Intra-Operatória</w:t>
      </w:r>
    </w:p>
    <w:p>
      <w:pPr>
        <w:pStyle w:val="FirstParagraph"/>
      </w:pPr>
      <w:r>
        <w:rPr>
          <w:b/>
          <w:bCs/>
        </w:rPr>
        <w:t xml:space="preserve">Centragem Ultra-Crítica:</w:t>
      </w:r>
    </w:p>
    <w:p>
      <w:pPr>
        <w:pStyle w:val="BodyText"/>
      </w:pPr>
      <w:r>
        <w:t xml:space="preserve">Dado o perfil extremamente steep central, descentramento &gt;0.3 mm é</w:t>
      </w:r>
      <w:r>
        <w:t xml:space="preserve"> </w:t>
      </w:r>
      <w:r>
        <w:rPr>
          <w:b/>
          <w:bCs/>
        </w:rPr>
        <w:t xml:space="preserve">catastrófico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Protocolo:</w:t>
      </w:r>
      <w:r>
        <w:t xml:space="preserve"> </w:t>
      </w:r>
      <w:r>
        <w:t xml:space="preserve">- Centrar</w:t>
      </w:r>
      <w:r>
        <w:t xml:space="preserve"> </w:t>
      </w:r>
      <w:r>
        <w:rPr>
          <w:b/>
          <w:bCs/>
        </w:rPr>
        <w:t xml:space="preserve">estritamente no reflexo de Purkinje</w:t>
      </w:r>
      <w:r>
        <w:t xml:space="preserve"> </w:t>
      </w:r>
      <w:r>
        <w:t xml:space="preserve">(eixo visual)</w:t>
      </w:r>
      <w:r>
        <w:t xml:space="preserve"> </w:t>
      </w:r>
      <w:r>
        <w:t xml:space="preserve">- Eye-tracker deve estar verde/estável &gt;5 segundos antes de iniciar</w:t>
      </w:r>
      <w:r>
        <w:t xml:space="preserve"> </w:t>
      </w:r>
      <w:r>
        <w:t xml:space="preserve">- Se tracking falha durante ablação:</w:t>
      </w:r>
      <w:r>
        <w:t xml:space="preserve"> </w:t>
      </w:r>
      <w:r>
        <w:rPr>
          <w:b/>
          <w:bCs/>
        </w:rPr>
        <w:t xml:space="preserve">PARAR imediatamente</w:t>
      </w:r>
    </w:p>
    <w:p>
      <w:pPr>
        <w:pStyle w:val="BodyText"/>
      </w:pPr>
      <w:r>
        <w:rPr>
          <w:b/>
          <w:bCs/>
        </w:rPr>
        <w:t xml:space="preserve">Hidrodesidratação:</w:t>
      </w:r>
    </w:p>
    <w:p>
      <w:pPr>
        <w:pStyle w:val="BodyText"/>
      </w:pPr>
      <w:r>
        <w:t xml:space="preserve">Protocolo standard (ver Capítulo 5).</w:t>
      </w:r>
    </w:p>
    <w:p>
      <w:pPr>
        <w:pStyle w:val="BodyText"/>
      </w:pPr>
      <w:r>
        <w:rPr>
          <w:b/>
          <w:bCs/>
        </w:rPr>
        <w:t xml:space="preserve">Sequência Bilateral: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Semana 0:</w:t>
      </w:r>
      <w:r>
        <w:t xml:space="preserve"> </w:t>
      </w:r>
      <w:r>
        <w:t xml:space="preserve">Operar olho não-dominante (SUPRACOR)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Semana 2-4:</w:t>
      </w:r>
      <w:r>
        <w:t xml:space="preserve"> </w:t>
      </w:r>
      <w:r>
        <w:t xml:space="preserve">Avaliar tolerância</w:t>
      </w:r>
    </w:p>
    <w:p>
      <w:pPr>
        <w:pStyle w:val="Compact"/>
        <w:numPr>
          <w:ilvl w:val="1"/>
          <w:numId w:val="1030"/>
        </w:numPr>
      </w:pPr>
      <w:r>
        <w:t xml:space="preserve">Se paciente insatisfeito severo (score &lt;4/10):</w:t>
      </w:r>
      <w:r>
        <w:t xml:space="preserve"> </w:t>
      </w:r>
      <w:r>
        <w:rPr>
          <w:b/>
          <w:bCs/>
        </w:rPr>
        <w:t xml:space="preserve">NÃO operar dominante</w:t>
      </w:r>
      <w:r>
        <w:t xml:space="preserve"> </w:t>
      </w:r>
      <w:r>
        <w:t xml:space="preserve">(considerar reversão)</w:t>
      </w:r>
    </w:p>
    <w:p>
      <w:pPr>
        <w:pStyle w:val="Compact"/>
        <w:numPr>
          <w:ilvl w:val="1"/>
          <w:numId w:val="1030"/>
        </w:numPr>
      </w:pPr>
      <w:r>
        <w:t xml:space="preserve">Se tolerável: Proceder olho dominante (monofocal standard)</w:t>
      </w:r>
    </w:p>
    <w:bookmarkEnd w:id="29"/>
    <w:bookmarkStart w:id="30" w:name="gestão-pós-operatória"/>
    <w:p>
      <w:pPr>
        <w:pStyle w:val="Heading3"/>
      </w:pPr>
      <w:r>
        <w:t xml:space="preserve">8.7.2. Gestão Pós-Operatória</w:t>
      </w:r>
    </w:p>
    <w:p>
      <w:pPr>
        <w:pStyle w:val="FirstParagraph"/>
      </w:pPr>
      <w:r>
        <w:rPr>
          <w:b/>
          <w:bCs/>
        </w:rPr>
        <w:t xml:space="preserve">Neuroadaptação em SUPRACOR:</w:t>
      </w:r>
    </w:p>
    <w:p>
      <w:pPr>
        <w:pStyle w:val="BodyText"/>
      </w:pPr>
      <w:r>
        <w:rPr>
          <w:b/>
          <w:bCs/>
        </w:rPr>
        <w:t xml:space="preserve">Curva temporal:</w:t>
      </w:r>
      <w:r>
        <w:t xml:space="preserve"> </w:t>
      </w:r>
      <w:r>
        <w:t xml:space="preserve">- Semana 1:</w:t>
      </w:r>
      <w:r>
        <w:t xml:space="preserve"> </w:t>
      </w:r>
      <w:r>
        <w:t xml:space="preserve">“Visão muito estranha”</w:t>
      </w:r>
      <w:r>
        <w:t xml:space="preserve">, UCNVA excelente mas UCDVA pobre</w:t>
      </w:r>
      <w:r>
        <w:t xml:space="preserve"> </w:t>
      </w:r>
      <w:r>
        <w:t xml:space="preserve">- Mês 1: Início de fusão binocular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Mês 3-6:</w:t>
      </w:r>
      <w:r>
        <w:t xml:space="preserve"> </w:t>
      </w:r>
      <w:r>
        <w:t xml:space="preserve">Platô de neuroadaptação (alguns nunca adaptam completamente)</w:t>
      </w:r>
    </w:p>
    <w:p>
      <w:pPr>
        <w:pStyle w:val="BodyText"/>
      </w:pPr>
      <w:r>
        <w:rPr>
          <w:b/>
          <w:bCs/>
        </w:rPr>
        <w:t xml:space="preserve">Gestão de Expectativas Agressiva:</w:t>
      </w:r>
    </w:p>
    <w:p>
      <w:pPr>
        <w:pStyle w:val="BodyText"/>
      </w:pPr>
      <w:r>
        <w:t xml:space="preserve">Informar paciente repetidamente:</w:t>
      </w:r>
      <w:r>
        <w:t xml:space="preserve"> </w:t>
      </w:r>
      <w:r>
        <w:t xml:space="preserve">-</w:t>
      </w:r>
      <w:r>
        <w:t xml:space="preserve"> </w:t>
      </w:r>
      <w:r>
        <w:t xml:space="preserve">“Sua visão de longe será inferior nos primeiros 3 meses”</w:t>
      </w:r>
      <w:r>
        <w:t xml:space="preserve"> </w:t>
      </w:r>
      <w:r>
        <w:t xml:space="preserve">-</w:t>
      </w:r>
      <w:r>
        <w:t xml:space="preserve"> </w:t>
      </w:r>
      <w:r>
        <w:t xml:space="preserve">“Halos noturnos serão proeminentes - evite condução noturna prolongada inicial”</w:t>
      </w:r>
      <w:r>
        <w:t xml:space="preserve"> </w:t>
      </w:r>
      <w:r>
        <w:t xml:space="preserve">-</w:t>
      </w:r>
      <w:r>
        <w:t xml:space="preserve"> </w:t>
      </w:r>
      <w:r>
        <w:t xml:space="preserve">“20-30% pacientes nunca ficam 100% confortáveis com visão de longe”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eversão-de-supracor"/>
    <w:p>
      <w:pPr>
        <w:pStyle w:val="Heading2"/>
      </w:pPr>
      <w:r>
        <w:t xml:space="preserve">8.8. Reversão de SUPRACOR</w:t>
      </w:r>
    </w:p>
    <w:bookmarkStart w:id="32" w:name="indicações"/>
    <w:p>
      <w:pPr>
        <w:pStyle w:val="Heading3"/>
      </w:pPr>
      <w:r>
        <w:t xml:space="preserve">8.8.1. Indicações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Intolerância severa persistente &gt;6 meses:</w:t>
      </w:r>
    </w:p>
    <w:p>
      <w:pPr>
        <w:pStyle w:val="Compact"/>
        <w:numPr>
          <w:ilvl w:val="1"/>
          <w:numId w:val="1032"/>
        </w:numPr>
      </w:pPr>
      <w:r>
        <w:t xml:space="preserve">UCDVA binocular &lt;20/50</w:t>
      </w:r>
    </w:p>
    <w:p>
      <w:pPr>
        <w:pStyle w:val="Compact"/>
        <w:numPr>
          <w:ilvl w:val="1"/>
          <w:numId w:val="1032"/>
        </w:numPr>
      </w:pPr>
      <w:r>
        <w:t xml:space="preserve">Halos incapacitantes</w:t>
      </w:r>
    </w:p>
    <w:p>
      <w:pPr>
        <w:pStyle w:val="Compact"/>
        <w:numPr>
          <w:ilvl w:val="1"/>
          <w:numId w:val="1032"/>
        </w:numPr>
      </w:pPr>
      <w:r>
        <w:t xml:space="preserve">Score satisfação &lt;3/10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Mudança profissional:</w:t>
      </w:r>
    </w:p>
    <w:p>
      <w:pPr>
        <w:pStyle w:val="Compact"/>
        <w:numPr>
          <w:ilvl w:val="1"/>
          <w:numId w:val="1033"/>
        </w:numPr>
      </w:pPr>
      <w:r>
        <w:t xml:space="preserve">Paciente muda para trabalho que exige longe (ex: aposentado volta a trabalhar como condutor)</w:t>
      </w:r>
    </w:p>
    <w:bookmarkEnd w:id="32"/>
    <w:bookmarkStart w:id="33" w:name="técnica"/>
    <w:p>
      <w:pPr>
        <w:pStyle w:val="Heading3"/>
      </w:pPr>
      <w:r>
        <w:t xml:space="preserve">8.8.2. Técnica</w:t>
      </w:r>
    </w:p>
    <w:p>
      <w:pPr>
        <w:pStyle w:val="FirstParagraph"/>
      </w:pPr>
      <w:r>
        <w:rPr>
          <w:b/>
          <w:bCs/>
        </w:rPr>
        <w:t xml:space="preserve">Topography-Guided Ablation:</w:t>
      </w:r>
    </w:p>
    <w:p>
      <w:pPr>
        <w:pStyle w:val="Compact"/>
        <w:numPr>
          <w:ilvl w:val="0"/>
          <w:numId w:val="1034"/>
        </w:numPr>
      </w:pPr>
      <w:r>
        <w:t xml:space="preserve">Pentacam/Galilei: Capturar elevação central extrema</w:t>
      </w:r>
    </w:p>
    <w:p>
      <w:pPr>
        <w:pStyle w:val="Compact"/>
        <w:numPr>
          <w:ilvl w:val="0"/>
          <w:numId w:val="1034"/>
        </w:numPr>
      </w:pPr>
      <w:r>
        <w:t xml:space="preserve">T-CAT/Contoura: Planear ablação para</w:t>
      </w:r>
      <w:r>
        <w:t xml:space="preserve"> </w:t>
      </w:r>
      <w:r>
        <w:t xml:space="preserve">“aplanar montanha”</w:t>
      </w:r>
    </w:p>
    <w:p>
      <w:pPr>
        <w:pStyle w:val="Compact"/>
        <w:numPr>
          <w:ilvl w:val="0"/>
          <w:numId w:val="1034"/>
        </w:numPr>
      </w:pPr>
      <w:r>
        <w:t xml:space="preserve">Ablação: Remover ~30-40 μm da zona central (mais que PresbyMAX ~25 μm)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35"/>
        </w:numPr>
      </w:pPr>
      <w:r>
        <w:t xml:space="preserve">BCVA: Recuperação para 20/25-20/30 (não sempre 20/20)</w:t>
      </w:r>
    </w:p>
    <w:p>
      <w:pPr>
        <w:pStyle w:val="Compact"/>
        <w:numPr>
          <w:ilvl w:val="0"/>
          <w:numId w:val="1035"/>
        </w:numPr>
      </w:pPr>
      <w:r>
        <w:t xml:space="preserve">Halos: Redução significativa mas raramente eliminação completa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Perto:</w:t>
      </w:r>
      <w:r>
        <w:t xml:space="preserve"> </w:t>
      </w:r>
      <w:r>
        <w:t xml:space="preserve">PERDIDO (volta a precisar óculos +2.50-3.00 D)</w:t>
      </w:r>
    </w:p>
    <w:p>
      <w:pPr>
        <w:pStyle w:val="FirstParagraph"/>
      </w:pPr>
      <w:r>
        <w:rPr>
          <w:b/>
          <w:bCs/>
        </w:rPr>
        <w:t xml:space="preserve">Taxa de Sucesso Reversão:</w:t>
      </w:r>
      <w:r>
        <w:t xml:space="preserve"> </w:t>
      </w:r>
      <w:r>
        <w:t xml:space="preserve">70-75% (inferior a PresbyMAX ~80%)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ferências-bibliográficas"/>
    <w:p>
      <w:pPr>
        <w:pStyle w:val="Heading2"/>
      </w:pPr>
      <w:r>
        <w:t xml:space="preserve">Referências Bibliográficas</w:t>
      </w:r>
    </w:p>
    <w:p>
      <w:pPr>
        <w:numPr>
          <w:ilvl w:val="0"/>
          <w:numId w:val="1036"/>
        </w:numPr>
      </w:pPr>
      <w:r>
        <w:t xml:space="preserve">Luger MH, Ewering T, Arba-Mosquera S. Consecutive presbyopia correction in hyperopic patients using SUPRACOR algorithm.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2013;29(1):4-9. doi:10.3928/1081597X-20121210-01</w:t>
      </w:r>
    </w:p>
    <w:p>
      <w:pPr>
        <w:numPr>
          <w:ilvl w:val="0"/>
          <w:numId w:val="1036"/>
        </w:numPr>
      </w:pPr>
      <w:r>
        <w:t xml:space="preserve">Alió JL, Amparo F, Ortiz D, Moreno L. Corneal multifocality with excimer laser for presbyopia correction.</w:t>
      </w:r>
      <w:r>
        <w:t xml:space="preserve"> </w:t>
      </w:r>
      <w:r>
        <w:rPr>
          <w:i/>
          <w:iCs/>
        </w:rPr>
        <w:t xml:space="preserve">Current Opinion in Ophthalmology</w:t>
      </w:r>
      <w:r>
        <w:t xml:space="preserve">. 2009;20(4):264-271. doi:10.1097/ICU.0b013e32832a7ded</w:t>
      </w:r>
    </w:p>
    <w:p>
      <w:pPr>
        <w:numPr>
          <w:ilvl w:val="0"/>
          <w:numId w:val="1036"/>
        </w:numPr>
      </w:pPr>
      <w:r>
        <w:t xml:space="preserve">Tabernero J, Schwarz C, Fernández EJ, Artal P. Binocular visual simulation of a corneal inlay to increase depth of focus.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2011;27(7):500-507. doi:10.3928/1081597X-20110202-01</w:t>
      </w:r>
    </w:p>
    <w:p>
      <w:pPr>
        <w:numPr>
          <w:ilvl w:val="0"/>
          <w:numId w:val="1036"/>
        </w:numPr>
      </w:pPr>
      <w:r>
        <w:t xml:space="preserve">Arbelaez MC. PresbyLASIK: an update.</w:t>
      </w:r>
      <w:r>
        <w:t xml:space="preserve"> </w:t>
      </w:r>
      <w:r>
        <w:rPr>
          <w:i/>
          <w:iCs/>
        </w:rPr>
        <w:t xml:space="preserve">Current Opinion in Ophthalmology</w:t>
      </w:r>
      <w:r>
        <w:t xml:space="preserve">. 2020;31(4):257-262.doi:10.1097/ICU.0000000000000673</w:t>
      </w:r>
    </w:p>
    <w:p>
      <w:pPr>
        <w:numPr>
          <w:ilvl w:val="0"/>
          <w:numId w:val="1036"/>
        </w:numPr>
      </w:pPr>
      <w:r>
        <w:t xml:space="preserve">Ang M, Gatinel D, Reinstein DZ, Mertens E, Alió del Barrio JL, Alió JL. Refractive surgery beyond 2020.</w:t>
      </w:r>
      <w:r>
        <w:t xml:space="preserve"> </w:t>
      </w:r>
      <w:r>
        <w:rPr>
          <w:i/>
          <w:iCs/>
        </w:rPr>
        <w:t xml:space="preserve">Eye</w:t>
      </w:r>
      <w:r>
        <w:t xml:space="preserve">. 2021;35(2):362-382. doi:10.1038/s41433-020-1096-5</w:t>
      </w:r>
    </w:p>
    <w:p>
      <w:r>
        <w:pict>
          <v:rect style="width:0;height:1.5pt" o:hralign="center" o:hrstd="t" o:hr="t"/>
        </w:pict>
      </w:r>
    </w:p>
    <w:bookmarkEnd w:id="35"/>
    <w:bookmarkStart w:id="56" w:name="infográficos-clínicos-sugeridos"/>
    <w:p>
      <w:pPr>
        <w:pStyle w:val="Heading2"/>
      </w:pPr>
      <w:r>
        <w:t xml:space="preserve">Infográficos Clínicos Sugeridos</w:t>
      </w:r>
    </w:p>
    <w:bookmarkStart w:id="39" w:name="X99a655fd348abd1ac3cc89b7e854e83f42b546f"/>
    <w:p>
      <w:pPr>
        <w:pStyle w:val="Heading3"/>
      </w:pPr>
      <w:r>
        <w:t xml:space="preserve">Infográfico 8.1: Perfil Geométrico SUPRACOR vs. Outras Técnicas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A Montanha Central" title="" id="37" name="Picture"/>
            <a:graphic>
              <a:graphicData uri="http://schemas.openxmlformats.org/drawingml/2006/picture">
                <pic:pic>
                  <pic:nvPicPr>
                    <pic:cNvPr descr="figures/chapter8/infographic_8_1_geometric_profile.md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8.1: A geometria da agressividade. Note a</w:t>
      </w:r>
      <w:r>
        <w:rPr>
          <w:i/>
          <w:iCs/>
        </w:rPr>
        <w:t xml:space="preserve"> </w:t>
      </w:r>
      <w:r>
        <w:rPr>
          <w:i/>
          <w:iCs/>
        </w:rPr>
        <w:t xml:space="preserve">“montanha”</w:t>
      </w:r>
      <w:r>
        <w:rPr>
          <w:i/>
          <w:iCs/>
        </w:rPr>
        <w:t xml:space="preserve"> </w:t>
      </w:r>
      <w:r>
        <w:rPr>
          <w:i/>
          <w:iCs/>
        </w:rPr>
        <w:t xml:space="preserve">central vermelha do SUPRACOR (+6.00D) elevando-se muito acima das curvas suaves do Custom-Q ou PresbyMAX. É esta elevação extrema que garante a leitura, mas causa os halos.</w:t>
      </w:r>
    </w:p>
    <w:bookmarkEnd w:id="39"/>
    <w:bookmarkStart w:id="43" w:name="X74ad154adca2e7f1c4b0441b1f0a6ee1698d5a1"/>
    <w:p>
      <w:pPr>
        <w:pStyle w:val="Heading3"/>
      </w:pPr>
      <w:r>
        <w:t xml:space="preserve">Infográfico 8.2: Trade-Off Matrix - SUPRACOR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Balança de Ganhos e Perdas" title="" id="41" name="Picture"/>
            <a:graphic>
              <a:graphicData uri="http://schemas.openxmlformats.org/drawingml/2006/picture">
                <pic:pic>
                  <pic:nvPicPr>
                    <pic:cNvPr descr="figures/chapter8/infographic_8_2_tradeoff_matrix.md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8.2: O preço da independência. O SUPRACOR oferece a melhor visão de perto do mercado (Lado Verde), mas o custo em qualidade de longe e contraste (Lado Vermelho) desequilibra a balança para muitos pacientes.</w:t>
      </w:r>
    </w:p>
    <w:bookmarkEnd w:id="43"/>
    <w:bookmarkStart w:id="47" w:name="X6a0f0546365cb39da797f799fdd9b98e18eb9e7"/>
    <w:p>
      <w:pPr>
        <w:pStyle w:val="Heading3"/>
      </w:pPr>
      <w:r>
        <w:t xml:space="preserve">Infográfico 8.3: Algoritmo de Decisão - SUPRACOR vs. RLE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O Nicho Estreito" title="" id="45" name="Picture"/>
            <a:graphic>
              <a:graphicData uri="http://schemas.openxmlformats.org/drawingml/2006/picture">
                <pic:pic>
                  <pic:nvPicPr>
                    <pic:cNvPr descr="figures/chapter8/infographic_8_3_decision_algorithm.md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8.3: Onde o SUPRACOR ainda faz sentido? O algoritmo mostra que o espaço para esta técnica é um</w:t>
      </w:r>
      <w:r>
        <w:rPr>
          <w:i/>
          <w:iCs/>
        </w:rPr>
        <w:t xml:space="preserve"> </w:t>
      </w:r>
      <w:r>
        <w:rPr>
          <w:i/>
          <w:iCs/>
        </w:rPr>
        <w:t xml:space="preserve">“buraco de agulha”</w:t>
      </w:r>
      <w:r>
        <w:rPr>
          <w:i/>
          <w:iCs/>
        </w:rPr>
        <w:t xml:space="preserve"> </w:t>
      </w:r>
      <w:r>
        <w:rPr>
          <w:i/>
          <w:iCs/>
        </w:rPr>
        <w:t xml:space="preserve">entre os 55-58 anos. Acima dos 60, a RLE (Lente Intraocular) é quase sempre superior.</w:t>
      </w:r>
    </w:p>
    <w:bookmarkEnd w:id="47"/>
    <w:bookmarkStart w:id="51" w:name="Xdf2d693f5b100be964d8bff91cc01a72468d469"/>
    <w:p>
      <w:pPr>
        <w:pStyle w:val="Heading3"/>
      </w:pPr>
      <w:r>
        <w:t xml:space="preserve">Infográfico 8.4: Curva de Neuroadaptação SUPRACOR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O Vale do Arrependimento" title="" id="49" name="Picture"/>
            <a:graphic>
              <a:graphicData uri="http://schemas.openxmlformats.org/drawingml/2006/picture">
                <pic:pic>
                  <pic:nvPicPr>
                    <pic:cNvPr descr="figures/chapter8/infographic_8_4_neuroadaptation_curve.md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8.4: Gestão de expectativas. A curva de satisfação (verde) sofre um mergulho profundo na primeira semana (</w:t>
      </w:r>
      <w:r>
        <w:rPr>
          <w:i/>
          <w:iCs/>
        </w:rPr>
        <w:t xml:space="preserve">“Semana do Arrependimento”</w:t>
      </w:r>
      <w:r>
        <w:rPr>
          <w:i/>
          <w:iCs/>
        </w:rPr>
        <w:t xml:space="preserve">) devido ao blur de longe. A recuperação é lenta e os halos (vermelho) persistem.</w:t>
      </w:r>
    </w:p>
    <w:bookmarkEnd w:id="51"/>
    <w:bookmarkStart w:id="55" w:name="X124b50e3ccdbd90e1e970741fb33f18a74af470"/>
    <w:p>
      <w:pPr>
        <w:pStyle w:val="Heading3"/>
      </w:pPr>
      <w:r>
        <w:t xml:space="preserve">Infográfico 8.5: Caso Clínico - Reversão de SUPRACOR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Sequelas da Reversão" title="" id="53" name="Picture"/>
            <a:graphic>
              <a:graphicData uri="http://schemas.openxmlformats.org/drawingml/2006/picture">
                <pic:pic>
                  <pic:nvPicPr>
                    <pic:cNvPr descr="figures/chapter8/infographic_8_5_reversal_case.md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8.5: Reverter não é apagar. A sequência mostra que, mesmo após a ablação de resgate ter aplanado a</w:t>
      </w:r>
      <w:r>
        <w:rPr>
          <w:i/>
          <w:iCs/>
        </w:rPr>
        <w:t xml:space="preserve"> </w:t>
      </w:r>
      <w:r>
        <w:rPr>
          <w:i/>
          <w:iCs/>
        </w:rPr>
        <w:t xml:space="preserve">“montanha”</w:t>
      </w:r>
      <w:r>
        <w:rPr>
          <w:i/>
          <w:iCs/>
        </w:rPr>
        <w:t xml:space="preserve"> </w:t>
      </w:r>
      <w:r>
        <w:rPr>
          <w:i/>
          <w:iCs/>
        </w:rPr>
        <w:t xml:space="preserve">central, a córnea retém irregularidades que limitam a qualidade óptica perfeita.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Capítulo 8 está agora COMPLETO</w:t>
      </w:r>
      <w:r>
        <w:t xml:space="preserve">, com:</w:t>
      </w:r>
      <w:r>
        <w:t xml:space="preserve"> </w:t>
      </w:r>
      <w:r>
        <w:t xml:space="preserve">- ✅ Filosofia e conceito de multifocalidade extrema</w:t>
      </w:r>
      <w:r>
        <w:t xml:space="preserve"> </w:t>
      </w:r>
      <w:r>
        <w:t xml:space="preserve">- ✅ Geometria óptica detalhada (</w:t>
      </w:r>
      <w:r>
        <w:t xml:space="preserve">“montanha central”</w:t>
      </w:r>
      <w:r>
        <w:t xml:space="preserve">)</w:t>
      </w:r>
      <w:r>
        <w:t xml:space="preserve"> </w:t>
      </w:r>
      <w:r>
        <w:t xml:space="preserve">- ✅ Protocolo Technolas Teneo</w:t>
      </w:r>
      <w:r>
        <w:t xml:space="preserve"> </w:t>
      </w:r>
      <w:r>
        <w:t xml:space="preserve">- ✅ Seleção de pacientes ultra-restrita</w:t>
      </w:r>
      <w:r>
        <w:t xml:space="preserve"> </w:t>
      </w:r>
      <w:r>
        <w:t xml:space="preserve">- ✅ Resultados clínicos honestos (trade-offs severos)</w:t>
      </w:r>
      <w:r>
        <w:t xml:space="preserve"> </w:t>
      </w:r>
      <w:r>
        <w:t xml:space="preserve">- ✅ Comparação SUPRACOR vs. RLE (alternativa superior em muitos casos)</w:t>
      </w:r>
      <w:r>
        <w:t xml:space="preserve"> </w:t>
      </w:r>
      <w:r>
        <w:t xml:space="preserve">- ✅ Protocolo cirúrgico e reversão</w:t>
      </w:r>
      <w:r>
        <w:t xml:space="preserve"> </w:t>
      </w:r>
      <w:r>
        <w:t xml:space="preserve">- ✅ 5 Referências bibliográficas</w:t>
      </w:r>
      <w:r>
        <w:t xml:space="preserve"> </w:t>
      </w:r>
      <w:r>
        <w:t xml:space="preserve">- ✅ 5 Infográficos clínicos detalhados</w:t>
      </w:r>
    </w:p>
    <w:p>
      <w:pPr>
        <w:pStyle w:val="BodyText"/>
      </w:pPr>
      <w:r>
        <w:rPr>
          <w:b/>
          <w:bCs/>
        </w:rPr>
        <w:t xml:space="preserve">PARTE II (SURGICAL TECHNIQUES) COMPLETA!</w:t>
      </w:r>
      <w:r>
        <w:t xml:space="preserve"> </w:t>
      </w:r>
      <w:r>
        <w:t xml:space="preserve">Pronto para copiar para o Google Drive!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md" /><Relationship Type="http://schemas.openxmlformats.org/officeDocument/2006/relationships/image" Id="rId40" Target="media/rId40.md" /><Relationship Type="http://schemas.openxmlformats.org/officeDocument/2006/relationships/image" Id="rId44" Target="media/rId44.md" /><Relationship Type="http://schemas.openxmlformats.org/officeDocument/2006/relationships/image" Id="rId48" Target="media/rId48.md" /><Relationship Type="http://schemas.openxmlformats.org/officeDocument/2006/relationships/image" Id="rId52" Target="media/rId52.md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2026-01-06T17:05:12Z</dcterms:created>
  <dcterms:modified xsi:type="dcterms:W3CDTF">2026-01-06T17:05:12Z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