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Prefácio — A Geometria Escondida: Por Que Este Livro Existe</w:t>
      </w:r>
    </w:p>
    <w:p>
      <w:pPr>
        <w:pStyle w:val="Heading2"/>
      </w:pPr>
      <w:r>
        <w:t>A Pergunta Que Deu Origem a Este Livro</w:t>
      </w:r>
    </w:p>
    <w:p>
      <w:r>
        <w:t xml:space="preserve">Quando implantamos um anel intracorneano, sabemos </w:t>
      </w:r>
      <w:r>
        <w:rPr>
          <w:b/>
        </w:rPr>
        <w:t>o que acontece</w:t>
      </w:r>
      <w:r>
        <w:t xml:space="preserve"> — a córnea aplaina, o astigmatismo muda, o paciente enxerga melhor. Temos nomogramas que nos dizem qual espessura usar, a que profundidade, com que arco.</w:t>
      </w:r>
    </w:p>
    <w:p>
      <w:r>
        <w:t xml:space="preserve">Mas poucas vezes nos perguntamos </w:t>
      </w:r>
      <w:r>
        <w:rPr>
          <w:b/>
        </w:rPr>
        <w:t>por que acontece</w:t>
      </w:r>
      <w:r>
        <w:t xml:space="preserve">. Não "por que" no sentido óptico — isso está claro. Mas "por que" no sentido </w:t>
      </w:r>
      <w:r>
        <w:rPr>
          <w:b/>
        </w:rPr>
        <w:t>mecânico</w:t>
      </w:r>
      <w:r>
        <w:t>: por que um anel triangular produz um efeito diferente de um arredondado? Por que o mesmo anel implantado a Ø5mm gera um resultado completamente diferente do que a Ø6mm? Por que, em certas córneas, o anel parece "funcionar" e em outras, com parâmetros idênticos, não?</w:t>
      </w:r>
    </w:p>
    <w:p>
      <w:r>
        <w:t>Este livro nasceu de uma insatisfação com as respostas disponíveis. A Tabela 0.1 ilustra perfeitamente o problema da cirurgia "baseada em tabelas" — mesmo conhecendo os parâmetros (como o K-max), a resposta biológica (mudança na acuidade visual) é altamente variável.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13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e_imprevisibilidade_kmax_cd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3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D6D7E"/>
          <w:sz w:val="18"/>
        </w:rPr>
        <w:t>Gráfico de Dispersão (Khanthik 2024, analisado no estudo ICE): A imprevisibilidade da cirurgia tradicional evidenciada na relação falha entre Kmax e o ganho de visão real. Quando não se domina a geometria fibrilar, córne</w:t>
      </w:r>
    </w:p>
    <w:p>
      <w:r>
        <w:t xml:space="preserve">O gráfico acima reúne </w:t>
      </w:r>
      <w:r>
        <w:rPr>
          <w:b/>
        </w:rPr>
        <w:t>230 olhos</w:t>
      </w:r>
      <w:r>
        <w:t xml:space="preserve"> operados com ICRS (Khanthik 2024, PLOS ONE — dados utilizados no estudo ICE). Cada ponto é um olho. Os valores negativos no eixo Y significam </w:t>
      </w:r>
      <w:r>
        <w:rPr>
          <w:i/>
        </w:rPr>
        <w:t>ganho</w:t>
      </w:r>
      <w:r>
        <w:t xml:space="preserve"> de visão; positivos, </w:t>
      </w:r>
      <w:r>
        <w:rPr>
          <w:i/>
        </w:rPr>
        <w:t>perda</w:t>
      </w:r>
      <w:r>
        <w:t>. Observe três fatos perturbadores:</w:t>
      </w:r>
    </w:p>
    <w:p>
      <w:r/>
      <w:r>
        <w:rPr>
          <w:b/>
        </w:rPr>
        <w:t>Primeiro:</w:t>
      </w:r>
      <w:r>
        <w:t xml:space="preserve"> Existem córneas com Kmax de </w:t>
      </w:r>
      <w:r>
        <w:rPr>
          <w:b/>
        </w:rPr>
        <w:t>75 a 88 dioptrias</w:t>
      </w:r>
      <w:r>
        <w:t xml:space="preserve"> — valores que muitos cirurgiões considerariam "inoperáveis". O Kmax é a curvatura pontual máxima no ápice do cone, não o K-médio; um olho com K-flat de 64D e K-steep de 72D pode ter um Kmax de 88D no vértice de uma protrusão aguda de 1–2 mm. São ceratocones grau IV reais, e sim, foram tratados com ICRS.</w:t>
      </w:r>
    </w:p>
    <w:p>
      <w:r/>
      <w:r>
        <w:rPr>
          <w:b/>
        </w:rPr>
        <w:t>Segundo:</w:t>
      </w:r>
      <w:r>
        <w:t xml:space="preserve"> Em Kmax extremo, a imprevisibilidade </w:t>
      </w:r>
      <w:r>
        <w:rPr>
          <w:i/>
        </w:rPr>
        <w:t>explode</w:t>
      </w:r>
      <w:r>
        <w:t xml:space="preserve">. O paciente D10 (Kmax 88.1D) </w:t>
      </w:r>
      <w:r>
        <w:rPr>
          <w:b/>
        </w:rPr>
        <w:t>ganhou 13 linhas de visão</w:t>
      </w:r>
      <w:r>
        <w:t xml:space="preserve"> (CDVA -1.30 logMAR). O paciente A019 (Kmax 82.4D) ganhou </w:t>
      </w:r>
      <w:r>
        <w:rPr>
          <w:b/>
        </w:rPr>
        <w:t>19 linhas</w:t>
      </w:r>
      <w:r>
        <w:t xml:space="preserve"> — o maior ganho do banco. Mas o paciente A036 (Kmax 86.3D, quase idêntico) </w:t>
      </w:r>
      <w:r>
        <w:rPr>
          <w:b/>
        </w:rPr>
        <w:t>perdeu 7 linhas</w:t>
      </w:r>
      <w:r>
        <w:t>. Mesma faixa de Kmax, resultados opostos.</w:t>
      </w:r>
    </w:p>
    <w:p>
      <w:r/>
      <w:r>
        <w:rPr>
          <w:b/>
        </w:rPr>
        <w:t>Terceiro:</w:t>
      </w:r>
      <w:r>
        <w:t xml:space="preserve"> Mesmo em Kmax moderados (55–65D), a nuvem de pontos permanece difusa. Não existe uma reta. Não existe "quanto mais alto o Kmax, pior o resultado". A relação simplesmente </w:t>
      </w:r>
      <w:r>
        <w:rPr>
          <w:b/>
        </w:rPr>
        <w:t>não é linear</w:t>
      </w:r>
      <w:r>
        <w:t>.</w:t>
      </w:r>
    </w:p>
    <w:p>
      <w:pPr>
        <w:pStyle w:val="Heading4"/>
      </w:pPr>
      <w:r>
        <w:t>Por que isso acontece?</w:t>
      </w:r>
    </w:p>
    <w:p>
      <w:r>
        <w:t xml:space="preserve">Porque o Kmax sozinho não descreve a córnea. Ele mede </w:t>
      </w:r>
      <w:r>
        <w:rPr>
          <w:i/>
        </w:rPr>
        <w:t>um ponto</w:t>
      </w:r>
      <w:r>
        <w:t xml:space="preserve"> de curvatura, ignorando:</w:t>
      </w:r>
    </w:p>
    <w:p>
      <w:pPr>
        <w:pStyle w:val="ListBullet"/>
        <w:ind w:left="283"/>
      </w:pPr>
      <w:r/>
      <w:r>
        <w:rPr>
          <w:b/>
        </w:rPr>
        <w:t>A arquitetura fibrilar local</w:t>
      </w:r>
      <w:r>
        <w:t xml:space="preserve"> — se as lamelas de colágeno sob o cone ainda preservam orientação reconhecível (ortogonal, tangencial) ou se já foram desorganizadas a ponto de nenhum perfil de anel "conversar" com elas</w:t>
      </w:r>
    </w:p>
    <w:p>
      <w:pPr>
        <w:pStyle w:val="ListBullet"/>
        <w:ind w:left="283"/>
      </w:pPr>
      <w:r/>
      <w:r>
        <w:rPr>
          <w:b/>
        </w:rPr>
        <w:t>A geometria tridimensional do cone</w:t>
      </w:r>
      <w:r>
        <w:t xml:space="preserve"> — se é nipple (pequeno, central), oval (sagging inferior), ou globus (difuso)</w:t>
      </w:r>
    </w:p>
    <w:p>
      <w:pPr>
        <w:pStyle w:val="ListBullet"/>
        <w:ind w:left="283"/>
      </w:pPr>
      <w:r/>
      <w:r>
        <w:rPr>
          <w:b/>
        </w:rPr>
        <w:t>A profundidade estromal da deformação</w:t>
      </w:r>
      <w:r>
        <w:t xml:space="preserve"> — se o afinamento é anterior (mais oblíquas preservadas) ou posterior (lamelas complacentes destruídas)</w:t>
      </w:r>
    </w:p>
    <w:p>
      <w:r>
        <w:t xml:space="preserve">Um nomograma que usa apenas Kmax, paquimetria e cilindro para escolher o anel opera, essencialmente, </w:t>
      </w:r>
      <w:r>
        <w:rPr>
          <w:b/>
        </w:rPr>
        <w:t>no escuro geométrico</w:t>
      </w:r>
      <w:r>
        <w:t>. Este livro propõe uma saída: decompor o efeito do anel em vetores que dialogam diretamente com a geometria fibrilar — e usar essa correspondência para prever, caso a caso, qual combinação de perfil, diâmetro e profundidade produzirá o VEsférico desejado.</w:t>
      </w:r>
    </w:p>
    <w:p>
      <w:pPr>
        <w:pStyle w:val="Heading2"/>
      </w:pPr>
      <w:r>
        <w:t>Uma Forma Diferente de Olhar</w:t>
      </w:r>
    </w:p>
    <w:p>
      <w:r>
        <w:t xml:space="preserve">A maior parte da literatura sobre anéis intracorneanos pensa em </w:t>
      </w:r>
      <w:r>
        <w:rPr>
          <w:b/>
        </w:rPr>
        <w:t>dioptrias</w:t>
      </w:r>
      <w:r>
        <w:t>. Quanto o anel aplaina. Quanto o astigmatismo reduz. Qual o K-flat resultante. A unidade de medida é óptica.</w:t>
      </w:r>
    </w:p>
    <w:p>
      <w:r>
        <w:t xml:space="preserve">Este livro propõe uma linguagem diferente: </w:t>
      </w:r>
      <w:r>
        <w:rPr>
          <w:b/>
        </w:rPr>
        <w:t>vetores</w:t>
      </w:r>
      <w:r>
        <w:t>.</w:t>
      </w:r>
    </w:p>
    <w:p>
      <w:r>
        <w:t xml:space="preserve">Em vez de medir apenas </w:t>
      </w:r>
      <w:r>
        <w:rPr>
          <w:i/>
        </w:rPr>
        <w:t>quanto</w:t>
      </w:r>
      <w:r>
        <w:t xml:space="preserve"> o anel muda a córnea, decompomos </w:t>
      </w:r>
      <w:r>
        <w:rPr>
          <w:i/>
        </w:rPr>
        <w:t>como</w:t>
      </w:r>
      <w:r>
        <w:t xml:space="preserve"> ele a muda — em componentes direcionais que podem ser analisados, combinados e otimizados independentemente:</w:t>
      </w:r>
    </w:p>
    <w:p>
      <w:pPr>
        <w:pStyle w:val="ListBullet"/>
        <w:ind w:left="283"/>
      </w:pPr>
      <w:r/>
      <w:r>
        <w:rPr>
          <w:b/>
        </w:rPr>
        <w:t>VR</w:t>
      </w:r>
      <w:r>
        <w:t xml:space="preserve"> — o quanto empurra radialmente (aplainamento)</w:t>
      </w:r>
    </w:p>
    <w:p>
      <w:pPr>
        <w:pStyle w:val="ListBullet"/>
        <w:ind w:left="283"/>
      </w:pPr>
      <w:r/>
      <w:r>
        <w:rPr>
          <w:b/>
        </w:rPr>
        <w:t>VT</w:t>
      </w:r>
      <w:r>
        <w:t xml:space="preserve"> — o quanto abraça tangencialmente (contenção)</w:t>
      </w:r>
    </w:p>
    <w:p>
      <w:pPr>
        <w:pStyle w:val="ListBullet"/>
        <w:ind w:left="283"/>
      </w:pPr>
      <w:r/>
      <w:r>
        <w:rPr>
          <w:b/>
        </w:rPr>
        <w:t>Vτ</w:t>
      </w:r>
      <w:r>
        <w:t xml:space="preserve"> — o quanto torce (correção de assimetria)</w:t>
      </w:r>
    </w:p>
    <w:p>
      <w:pPr>
        <w:pStyle w:val="ListBullet"/>
        <w:ind w:left="283"/>
      </w:pPr>
      <w:r/>
      <w:r>
        <w:rPr>
          <w:b/>
        </w:rPr>
        <w:t>VComa</w:t>
      </w:r>
      <w:r>
        <w:t xml:space="preserve"> — o quanto desloca o eixo óptico</w:t>
      </w:r>
    </w:p>
    <w:p>
      <w:pPr>
        <w:pStyle w:val="ListBullet"/>
        <w:ind w:left="283"/>
      </w:pPr>
      <w:r/>
      <w:r>
        <w:rPr>
          <w:b/>
        </w:rPr>
        <w:t>VEsférico</w:t>
      </w:r>
      <w:r>
        <w:t xml:space="preserve"> — a soma de tudo, o efeito tridimensional resultante</w:t>
      </w:r>
    </w:p>
    <w:p>
      <w:r>
        <w:t>Esta decomposição não é arbitrária. Ela emerge da geometria das fibras de colágeno que compõem o estroma corneano — radiais, tangenciais e oblíquas — e da forma como o perfil do anel interage mecanicamente com cada tipo de fibra.</w:t>
      </w:r>
    </w:p>
    <w:p>
      <w:pPr>
        <w:pStyle w:val="Heading2"/>
      </w:pPr>
      <w:r>
        <w:t>A Ponte Que Faltava</w:t>
      </w:r>
    </w:p>
    <w:p>
      <w:r>
        <w:t>Existe uma ciência extraordinária sobre a arquitetura fibrilar da córnea. Os trabalhos de Meek, Boote, Newton e Winkler com WAXS e SHG revelaram o mapa preciso das fibras de colágeno — suas orientações, densidades, padrões de entrelaçamento por zona e por profundidade.</w:t>
      </w:r>
    </w:p>
    <w:p>
      <w:r>
        <w:t>E existe uma literatura clínica rica sobre anéis intracorneanos — técnicas, resultados, complicações, nomogramas.</w:t>
      </w:r>
    </w:p>
    <w:p>
      <w:r>
        <w:t xml:space="preserve">Mas entre esses dois mundos havia um vazio. Ninguém perguntou: </w:t>
      </w:r>
      <w:r>
        <w:rPr>
          <w:b/>
        </w:rPr>
        <w:t>"Como a geometria do anel conversa com a geometria das fibras?"</w:t>
      </w:r>
      <w:r/>
    </w:p>
    <w:p>
      <w:r>
        <w:t>Este livro é essa ponte.</w:t>
      </w:r>
    </w:p>
    <w:p>
      <w:r>
        <w:t>Quando um anel triangular é implantado a Ø5mm, ele encontra fibras ortogonais paralelas — e sua cunha as fende eficientemente, gerando VR concentrado. Quando implantado a Ø6mm, encontra fibras em transição para tangenciais — e a mesma cunha lateraliza, produzindo estresse interlamelar sem ganho proporcional.</w:t>
      </w:r>
    </w:p>
    <w:p>
      <w:r>
        <w:t>Quando um anel arredondado é implantado a Ø6mm, sua geometria curva repousa naturalmente sobre as fibras tangenciais curvas — gerando VT máximo com estresse mínimo. Mas a Ø3mm, no feltro denso central, afunda sem efeito.</w:t>
      </w:r>
    </w:p>
    <w:p>
      <w:r>
        <w:t xml:space="preserve">Cada perfil tem sua zona. Cada diâmetro tem seu perfil. Esta é a </w:t>
      </w:r>
      <w:r>
        <w:rPr>
          <w:b/>
        </w:rPr>
        <w:t>Lei da Correspondência Geométrica</w:t>
      </w:r>
      <w:r>
        <w:t xml:space="preserve"> — talvez o conceito mais importante deste livro.</w:t>
      </w:r>
    </w:p>
    <w:p>
      <w:pPr>
        <w:pStyle w:val="Heading2"/>
      </w:pPr>
      <w:r>
        <w:t>Um Cirurgião Que Programa</w:t>
      </w:r>
    </w:p>
    <w:p>
      <w:r>
        <w:t>Este livro não nasceu apenas no centro cirúrgico ou na lâmpada de fenda. Nasceu também diante de telas de código, modelos computacionais e planilhas de dados.</w:t>
      </w:r>
    </w:p>
    <w:p>
      <w:r>
        <w:t xml:space="preserve">Ao longo dos anos, aprendi que o conhecimento clínico, sozinho, não responde às perguntas que me interessam. Saber que um anel "funciona" não me basta — preciso entender </w:t>
      </w:r>
      <w:r>
        <w:rPr>
          <w:b/>
        </w:rPr>
        <w:t>por que</w:t>
      </w:r>
      <w:r>
        <w:t xml:space="preserve"> funciona, </w:t>
      </w:r>
      <w:r>
        <w:rPr>
          <w:b/>
        </w:rPr>
        <w:t>quanto</w:t>
      </w:r>
      <w:r>
        <w:t xml:space="preserve"> de cada efeito ele gera, e </w:t>
      </w:r>
      <w:r>
        <w:rPr>
          <w:b/>
        </w:rPr>
        <w:t>como</w:t>
      </w:r>
      <w:r>
        <w:t xml:space="preserve"> prever o resultado antes de operar. Para isso, precisei navegar em territórios que poucos cirurgiões visitam:</w:t>
      </w:r>
    </w:p>
    <w:p>
      <w:pPr>
        <w:pStyle w:val="ListBullet"/>
        <w:ind w:left="283"/>
      </w:pPr>
      <w:r/>
      <w:r>
        <w:rPr>
          <w:b/>
        </w:rPr>
        <w:t>Programação e análise de dados</w:t>
      </w:r>
      <w:r>
        <w:t xml:space="preserve"> — para processar centenas de casos, cruzar variáveis e encontrar padrões que o olho clínico sozinho não enxerga</w:t>
      </w:r>
    </w:p>
    <w:p>
      <w:pPr>
        <w:pStyle w:val="ListBullet"/>
        <w:ind w:left="283"/>
      </w:pPr>
      <w:r/>
      <w:r>
        <w:rPr>
          <w:b/>
        </w:rPr>
        <w:t>Modelagem computacional</w:t>
      </w:r>
      <w:r>
        <w:t xml:space="preserve"> — para simular como diferentes perfis interagem com diferentes arquiteturas fibrilares, antes que qualquer paciente seja tocado</w:t>
      </w:r>
    </w:p>
    <w:p>
      <w:pPr>
        <w:pStyle w:val="ListBullet"/>
        <w:ind w:left="283"/>
      </w:pPr>
      <w:r/>
      <w:r>
        <w:rPr>
          <w:b/>
        </w:rPr>
        <w:t>Revisão sistemática da ciência básica</w:t>
      </w:r>
      <w:r>
        <w:t xml:space="preserve"> — não apenas ler os artigos de WAXS e SHG, mas </w:t>
      </w:r>
      <w:r>
        <w:rPr>
          <w:i/>
        </w:rPr>
        <w:t>traduzir</w:t>
      </w:r>
      <w:r>
        <w:t xml:space="preserve"> seus achados para a linguagem do cirurgião</w:t>
      </w:r>
    </w:p>
    <w:p>
      <w:pPr>
        <w:pStyle w:val="ListBullet"/>
        <w:ind w:left="283"/>
      </w:pPr>
      <w:r/>
      <w:r>
        <w:rPr>
          <w:b/>
        </w:rPr>
        <w:t>Teste de hipóteses</w:t>
      </w:r>
      <w:r>
        <w:t xml:space="preserve"> — formular predições claras, verificáveis, e submetê-las ao crivo dos dados</w:t>
      </w:r>
    </w:p>
    <w:p>
      <w:r>
        <w:t>Este livro é fruto dessa convergência. Cada conceito aqui apresentado passou por um ciclo: observação clínica → formulação de hipótese → investigação computacional e literária → reformulação → teste. Muitos foram descartados nesse processo. Os que sobreviveram estão nestas páginas.</w:t>
      </w:r>
    </w:p>
    <w:p>
      <w:r>
        <w:t>A córnea não nos entrega seus segredos ao microscópio — ela os esconde em padrões que só aparecem quando cruzamos a observação clínica com a análise rigorosa dos dados. Cada conceito neste livro nasceu dessa convergência: da pergunta feita na lâmpada de fenda à resposta encontrada entre linhas de código e campos de força. Este livro é fruto dessa jornada — e um convite para que outros façam a mesma travessia.</w:t>
      </w:r>
    </w:p>
    <w:p>
      <w:pPr>
        <w:pStyle w:val="Heading2"/>
      </w:pPr>
      <w:r>
        <w:t>O Que Está Nestas Páginas</w:t>
      </w:r>
    </w:p>
    <w:p>
      <w:r>
        <w:t xml:space="preserve">Este não é um atlas cirúrgico convencional. Não é um manual de técnica, embora a técnica esteja presente. É um </w:t>
      </w:r>
      <w:r>
        <w:rPr>
          <w:b/>
        </w:rPr>
        <w:t>framework biomecânico</w:t>
      </w:r>
      <w:r>
        <w:t xml:space="preserve"> — uma forma de pensar sobre anéis que permite:</w:t>
      </w:r>
    </w:p>
    <w:p>
      <w:pPr>
        <w:pStyle w:val="ListNumber"/>
        <w:ind w:left="283"/>
      </w:pPr>
      <w:r/>
      <w:r>
        <w:rPr>
          <w:b/>
        </w:rPr>
        <w:t>Entender por que</w:t>
      </w:r>
      <w:r>
        <w:t xml:space="preserve"> cada anel funciona como funciona (por referência às fibras)</w:t>
      </w:r>
    </w:p>
    <w:p>
      <w:pPr>
        <w:pStyle w:val="ListNumber"/>
        <w:ind w:left="283"/>
      </w:pPr>
      <w:r/>
      <w:r>
        <w:rPr>
          <w:b/>
        </w:rPr>
        <w:t>Prever o resultado</w:t>
      </w:r>
      <w:r>
        <w:t xml:space="preserve"> de combinações novas (usando vetores)</w:t>
      </w:r>
    </w:p>
    <w:p>
      <w:pPr>
        <w:pStyle w:val="ListNumber"/>
        <w:ind w:left="283"/>
      </w:pPr>
      <w:r/>
      <w:r>
        <w:rPr>
          <w:b/>
        </w:rPr>
        <w:t>Otimizar</w:t>
      </w:r>
      <w:r>
        <w:t xml:space="preserve"> a escolha de perfil, diâmetro, arco e profundidade (pela correspondência geométrica)</w:t>
      </w:r>
    </w:p>
    <w:p>
      <w:pPr>
        <w:pStyle w:val="ListNumber"/>
        <w:ind w:left="283"/>
      </w:pPr>
      <w:r/>
      <w:r>
        <w:rPr>
          <w:b/>
        </w:rPr>
        <w:t>Prever quem vai responder</w:t>
      </w:r>
      <w:r>
        <w:t xml:space="preserve"> — através do ICE (Index of Axial Coherence), um biomarcador funcional original que mede a coerência angular dos eixos ópticos e prediz a capacidade do paciente em aproveitar a correção mecânica (Cap. 10)</w:t>
      </w:r>
    </w:p>
    <w:p>
      <w:pPr>
        <w:pStyle w:val="ListNumber"/>
        <w:ind w:left="283"/>
      </w:pPr>
      <w:r/>
      <w:r>
        <w:rPr>
          <w:b/>
        </w:rPr>
        <w:t>Otimizar configurações</w:t>
      </w:r>
      <w:r>
        <w:t xml:space="preserve"> avançadas de anéis já existentes (como implantes concêntricos com profundidade diferencial)</w:t>
      </w:r>
    </w:p>
    <w:p>
      <w:r>
        <w:t>Muitas das hipóteses aqui apresentadas são originais e ainda não foram validadas prospectivamente. Elas são claramente marcadas como tal ao longo do texto, com níveis de evidência explícitos:</w:t>
      </w:r>
    </w:p>
    <w:p>
      <w:pPr>
        <w:pStyle w:val="ListBullet"/>
        <w:ind w:left="283"/>
      </w:pPr>
      <w:r/>
      <w:r>
        <w:rPr>
          <w:b/>
        </w:rPr>
        <w:t>FATO</w:t>
      </w:r>
      <w:r>
        <w:t xml:space="preserve"> — demonstrado na literatura</w:t>
      </w:r>
    </w:p>
    <w:p>
      <w:pPr>
        <w:pStyle w:val="ListBullet"/>
        <w:ind w:left="283"/>
      </w:pPr>
      <w:r/>
      <w:r>
        <w:rPr>
          <w:b/>
        </w:rPr>
        <w:t>EVIDÊNCIA INDIRETA</w:t>
      </w:r>
      <w:r>
        <w:t xml:space="preserve"> — inferido de múltiplos estudos convergentes</w:t>
      </w:r>
    </w:p>
    <w:p>
      <w:pPr>
        <w:pStyle w:val="ListBullet"/>
        <w:ind w:left="283"/>
      </w:pPr>
      <w:r/>
      <w:r>
        <w:rPr>
          <w:b/>
        </w:rPr>
        <w:t>SÍNTESE DO AUTOR</w:t>
      </w:r>
      <w:r>
        <w:t xml:space="preserve"> — interpretação original, cientificamente defensável mas não demonstrada isoladamente</w:t>
      </w:r>
    </w:p>
    <w:p>
      <w:r>
        <w:t>Esta transparência é deliberada. Um livro que propõe conceitos novos deve ser honesto sobre o que é certeza e o que é hipótese — para que o leitor possa avaliar, testar e, eventualmente, confirmar ou refutar.</w:t>
      </w:r>
    </w:p>
    <w:p>
      <w:pPr>
        <w:pStyle w:val="Heading2"/>
      </w:pPr>
      <w:r>
        <w:t>Para Quem É Este Livro</w:t>
      </w:r>
    </w:p>
    <w:p>
      <w:r>
        <w:t>Para o cirurgião que quer entender por que implanta o que implanta. Para o fellow que quer um framework para pensar sobre anéis em vez de apenas seguir tabelas. Para o pesquisador que procura hipóteses testáveis na interface entre biomecânica e cirurgia refrativa. E para quem, como eu, acredita que a geometria escondida dentro da córnea tem muito mais a nos ensinar.</w:t>
      </w:r>
    </w:p>
    <w:p>
      <w:pPr>
        <w:pStyle w:val="Heading2"/>
      </w:pPr>
      <w:r>
        <w:t>Referências</w:t>
      </w:r>
    </w:p>
    <w:p>
      <w:pPr>
        <w:pStyle w:val="ListNumber"/>
        <w:ind w:left="283"/>
      </w:pPr>
      <w:r/>
      <w:r>
        <w:rPr>
          <w:b/>
        </w:rPr>
        <w:t>Meek KM, Boote C</w:t>
      </w:r>
      <w:r>
        <w:t xml:space="preserve">. </w:t>
      </w:r>
      <w:r>
        <w:rPr>
          <w:i/>
        </w:rPr>
        <w:t>The use of X-ray scattering techniques to quantify the orientation and distribution of collagen in the corneal stroma</w:t>
      </w:r>
      <w:r>
        <w:t>. Prog Retin Eye Res. 2009;28(5):369-392. [Base WAXS para o modelo 3-fibras que fundamenta todo o Atlas]</w:t>
      </w:r>
    </w:p>
    <w:p>
      <w:pPr>
        <w:pStyle w:val="ListNumber"/>
        <w:ind w:left="283"/>
      </w:pPr>
      <w:r/>
      <w:r>
        <w:rPr>
          <w:b/>
        </w:rPr>
        <w:t>Ferrara P, Ferrara G, Torquetti L, et al.</w:t>
      </w:r>
      <w:r>
        <w:t xml:space="preserve">. </w:t>
      </w:r>
      <w:r>
        <w:rPr>
          <w:i/>
        </w:rPr>
        <w:t>Intrastromal corneal ring segments for keratoconus</w:t>
      </w:r>
      <w:r>
        <w:t>. J Cataract Refract Surg. 2003;29(11):2093-2095. [Publicacao pioneira da tecnica ICRS que este Atlas sistematiza vetorialmente]</w:t>
      </w:r>
    </w:p>
    <w:p>
      <w:pPr>
        <w:pStyle w:val="ListNumber"/>
        <w:ind w:left="283"/>
      </w:pPr>
      <w:r/>
      <w:r>
        <w:rPr>
          <w:b/>
        </w:rPr>
        <w:t>Garcia de Oteyza G, et al.</w:t>
      </w:r>
      <w:r>
        <w:t xml:space="preserve">. </w:t>
      </w:r>
      <w:r>
        <w:rPr>
          <w:i/>
        </w:rPr>
        <w:t>Refractive changes of a new asymmetric intracorneal ring segment with variable thickness: a 2D finite-element model</w:t>
      </w:r>
      <w:r>
        <w:t>. PLOS ONE. 2021;16(9):e0257222. [Prova FEM que 84% do efeito vem da espessura do anel - base do VR]</w:t>
      </w:r>
    </w:p>
    <w:p>
      <w:pPr>
        <w:pStyle w:val="ListNumber"/>
        <w:ind w:left="283"/>
      </w:pPr>
      <w:r/>
      <w:r>
        <w:rPr>
          <w:b/>
        </w:rPr>
        <w:t>Khanthik P, et al.</w:t>
      </w:r>
      <w:r>
        <w:t xml:space="preserve">. </w:t>
      </w:r>
      <w:r>
        <w:rPr>
          <w:i/>
        </w:rPr>
        <w:t>Intracorneal ring segments for keratoconus: retrospective analysis</w:t>
      </w:r>
      <w:r>
        <w:t>. PLOS ONE. 2024. [Banco de dados N=230 usado na analise de imprevisibilidade do Prefacio]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D2B4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5C8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 Light" w:hAnsi="Calibri Light"/>
      <w:b w:val="0"/>
      <w:bCs/>
      <w:i/>
      <w:iCs/>
      <w:color w:val="5D6D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