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3 — The Alpins Method: A Template for Surgical Planning Languages</w:t>
      </w:r>
    </w:p>
    <w:p>
      <w:pPr>
        <w:pStyle w:val="Heading2"/>
      </w:pPr>
      <w:r/>
      <w:r>
        <w:rPr>
          <w:rFonts w:ascii="Calibri" w:hAnsi="Calibri"/>
          <w:b w:val="0"/>
          <w:i w:val="0"/>
          <w:color w:val="1B365D"/>
          <w:sz w:val="28"/>
        </w:rPr>
        <w:t>3.1 Introduction</w:t>
      </w:r>
    </w:p>
    <w:p>
      <w:r>
        <w:rPr>
          <w:rFonts w:ascii="Calibri" w:hAnsi="Calibri"/>
          <w:b w:val="0"/>
          <w:i w:val="0"/>
          <w:color w:val="222222"/>
          <w:sz w:val="22"/>
        </w:rPr>
        <w:t xml:space="preserve">The surgical correction of astigmatism has long posed a quantitative challenge distinct from that of spherical refractive error. While the magnitude of a spherical correction can be described by a single scalar—diopters of myopia or hyperopia—astigmatism introduces directionality: both the magnitude and the meridional orientation of the cylinder must be specified, planned for, and evaluated postoperatively. Before the early 1990s, the analysis of astigmatism surgery outcomes was largely empirical. Surgeons reported pre- and postoperative cylinder values, occasionally computing simple arithmetic differences, but there existed no standardized framework for decomposing what was </w:t>
      </w:r>
      <w:r>
        <w:rPr>
          <w:rFonts w:ascii="Calibri" w:hAnsi="Calibri"/>
          <w:b w:val="0"/>
          <w:i/>
          <w:color w:val="222222"/>
          <w:sz w:val="22"/>
        </w:rPr>
        <w:t>planned</w:t>
      </w:r>
      <w:r>
        <w:rPr>
          <w:rFonts w:ascii="Calibri" w:hAnsi="Calibri"/>
          <w:b w:val="0"/>
          <w:i w:val="0"/>
          <w:color w:val="222222"/>
          <w:sz w:val="22"/>
        </w:rPr>
        <w:t xml:space="preserve">, what was </w:t>
      </w:r>
      <w:r>
        <w:rPr>
          <w:rFonts w:ascii="Calibri" w:hAnsi="Calibri"/>
          <w:b w:val="0"/>
          <w:i/>
          <w:color w:val="222222"/>
          <w:sz w:val="22"/>
        </w:rPr>
        <w:t>achieved</w:t>
      </w:r>
      <w:r>
        <w:rPr>
          <w:rFonts w:ascii="Calibri" w:hAnsi="Calibri"/>
          <w:b w:val="0"/>
          <w:i w:val="0"/>
          <w:color w:val="222222"/>
          <w:sz w:val="22"/>
        </w:rPr>
        <w:t xml:space="preserve">, and what remained as </w:t>
      </w:r>
      <w:r>
        <w:rPr>
          <w:rFonts w:ascii="Calibri" w:hAnsi="Calibri"/>
          <w:b w:val="0"/>
          <w:i/>
          <w:color w:val="222222"/>
          <w:sz w:val="22"/>
        </w:rPr>
        <w:t>residual error</w:t>
      </w:r>
      <w:r>
        <w:rPr>
          <w:rFonts w:ascii="Calibri" w:hAnsi="Calibri"/>
          <w:b w:val="0"/>
          <w:i w:val="0"/>
          <w:color w:val="222222"/>
          <w:sz w:val="22"/>
        </w:rPr>
        <w:t>. Different investigators used incompatible metrics, making cross-study comparisons unreliable and meta-analytic synthesis nearly impossible (Alpins, 1993; Koch, 1997).</w:t>
      </w:r>
    </w:p>
    <w:p>
      <w:r>
        <w:rPr>
          <w:rFonts w:ascii="Calibri" w:hAnsi="Calibri"/>
          <w:b w:val="0"/>
          <w:i w:val="0"/>
          <w:color w:val="222222"/>
          <w:sz w:val="22"/>
        </w:rPr>
        <w:t xml:space="preserve">In 1993, Noel Alpins published a landmark paper in the </w:t>
      </w:r>
      <w:r>
        <w:rPr>
          <w:rFonts w:ascii="Calibri" w:hAnsi="Calibri"/>
          <w:b w:val="0"/>
          <w:i/>
          <w:color w:val="222222"/>
          <w:sz w:val="22"/>
        </w:rPr>
        <w:t>Journal of Cataract and Refractive Surgery</w:t>
      </w:r>
      <w:r>
        <w:rPr>
          <w:rFonts w:ascii="Calibri" w:hAnsi="Calibri"/>
          <w:b w:val="0"/>
          <w:i w:val="0"/>
          <w:color w:val="222222"/>
          <w:sz w:val="22"/>
        </w:rPr>
        <w:t xml:space="preserve"> that fundamentally restructured the field. His contribution was not a new surgical technique but a new </w:t>
      </w:r>
      <w:r>
        <w:rPr>
          <w:rFonts w:ascii="Calibri" w:hAnsi="Calibri"/>
          <w:b w:val="0"/>
          <w:i/>
          <w:color w:val="222222"/>
          <w:sz w:val="22"/>
        </w:rPr>
        <w:t>language</w:t>
      </w:r>
      <w:r>
        <w:rPr>
          <w:rFonts w:ascii="Calibri" w:hAnsi="Calibri"/>
          <w:b w:val="0"/>
          <w:i w:val="0"/>
          <w:color w:val="222222"/>
          <w:sz w:val="22"/>
        </w:rPr>
        <w:t>—a rigorous vector-based framework that decomposed astigmatic outcomes into three fundamental vectors: the Target Induced Astigmatism vector (TIA), the Surgically Induced Astigmatism vector (SIA), and the Difference Vector (DV). From these primitives, Alpins derived a family of dimensionless indices—the Correction Index, the Index of Success, the Flattening Index, and the Torque Error—that provided surgeons with immediate, objective, and universally comparable feedback on their surgical performance (Alpins, 1993; Alpins, 2001).</w:t>
      </w:r>
    </w:p>
    <w:p>
      <w:r>
        <w:rPr>
          <w:rFonts w:ascii="Calibri" w:hAnsi="Calibri"/>
          <w:b w:val="0"/>
          <w:i w:val="0"/>
          <w:color w:val="222222"/>
          <w:sz w:val="22"/>
        </w:rPr>
        <w:t xml:space="preserve">The impact of the Alpins method was transformative. Within a decade of its introduction, the framework became the </w:t>
      </w:r>
      <w:r>
        <w:rPr>
          <w:rFonts w:ascii="Calibri" w:hAnsi="Calibri"/>
          <w:b w:val="0"/>
          <w:i/>
          <w:color w:val="222222"/>
          <w:sz w:val="22"/>
        </w:rPr>
        <w:t>de facto</w:t>
      </w:r>
      <w:r>
        <w:rPr>
          <w:rFonts w:ascii="Calibri" w:hAnsi="Calibri"/>
          <w:b w:val="0"/>
          <w:i w:val="0"/>
          <w:color w:val="222222"/>
          <w:sz w:val="22"/>
        </w:rPr>
        <w:t xml:space="preserve"> standard for reporting astigmatism surgery outcomes in peer-reviewed journals and was endorsed by the Journal of Refractive Surgery as a recommended analysis protocol (Reinstein et al., 2014). The method succeeded not because of mathematical complexity—the underlying algebra is elementary vector subtraction in double-angle space—but because it provided a </w:t>
      </w:r>
      <w:r>
        <w:rPr>
          <w:rFonts w:ascii="Calibri" w:hAnsi="Calibri"/>
          <w:b w:val="0"/>
          <w:i/>
          <w:color w:val="222222"/>
          <w:sz w:val="22"/>
        </w:rPr>
        <w:t>complete, closed, and reproducible</w:t>
      </w:r>
      <w:r>
        <w:rPr>
          <w:rFonts w:ascii="Calibri" w:hAnsi="Calibri"/>
          <w:b w:val="0"/>
          <w:i w:val="0"/>
          <w:color w:val="222222"/>
          <w:sz w:val="22"/>
        </w:rPr>
        <w:t xml:space="preserve"> descriptive system: every operation could be fully characterized by a small set of standardized quantities, and every surgeon's outcomes could be compared on equal terms.</w:t>
      </w:r>
    </w:p>
    <w:p>
      <w:r>
        <w:rPr>
          <w:rFonts w:ascii="Calibri" w:hAnsi="Calibri"/>
          <w:b w:val="0"/>
          <w:i w:val="0"/>
          <w:color w:val="222222"/>
          <w:sz w:val="22"/>
        </w:rPr>
        <w:t>The field of intrastromal corneal ring segment (ICRS) planning finds itself today in a position strikingly analogous to that of astigmatism surgery in 1990. ICRS implantation is guided by nomograms, empirical rules, and accumulated clinical experience, but there exists no standardized biomechanical language for planning the intervention, predicting its corneal effects, or evaluating its outcomes against a quantitative benchmark. This chapter reviews the Alpins method in detail, extracts the structural principles that account for its success, identifies its limitations when extended to the multidimensional biomechanics of ICRS, and establishes the conceptual foundation upon which the Análise Vetorial Biomecânica Corneana (AVBC) is constructed.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3.2 The Alpins Vector Analysis</w:t>
      </w:r>
    </w:p>
    <w:p>
      <w:pPr>
        <w:pStyle w:val="Heading3"/>
      </w:pPr>
      <w:r/>
      <w:r>
        <w:rPr>
          <w:rFonts w:ascii="Calibri" w:hAnsi="Calibri"/>
          <w:b w:val="0"/>
          <w:i w:val="0"/>
          <w:color w:val="1B365D"/>
          <w:sz w:val="24"/>
        </w:rPr>
        <w:t>3.2.1 The Double-Angle Representation</w:t>
      </w:r>
    </w:p>
    <w:p>
      <w:r>
        <w:rPr>
          <w:rFonts w:ascii="Calibri" w:hAnsi="Calibri"/>
          <w:b w:val="0"/>
          <w:i w:val="0"/>
          <w:color w:val="222222"/>
          <w:sz w:val="22"/>
        </w:rPr>
        <w:t xml:space="preserve">The mathematical foundation of the Alpins method rests on a critical insight: astigmatism is a </w:t>
      </w:r>
      <w:r>
        <w:rPr>
          <w:rFonts w:ascii="Calibri" w:hAnsi="Calibri"/>
          <w:b w:val="0"/>
          <w:i/>
          <w:color w:val="222222"/>
          <w:sz w:val="22"/>
        </w:rPr>
        <w:t>diametrically symmetric</w:t>
      </w:r>
      <w:r>
        <w:rPr>
          <w:rFonts w:ascii="Calibri" w:hAnsi="Calibri"/>
          <w:b w:val="0"/>
          <w:i w:val="0"/>
          <w:color w:val="222222"/>
          <w:sz w:val="22"/>
        </w:rPr>
        <w:t xml:space="preserve"> optical quantity. A cylinder oriented at 90° produces the same optical effect as one oriented at 270°; meridians separated by 180° are physically identical. Standard Cartesian coordinates cannot accommodate this symmetry without ambiguity. Alpins adopted the well-established technique of representing each astigmatism value in </w:t>
      </w:r>
      <w:r>
        <w:rPr>
          <w:rFonts w:ascii="Calibri" w:hAnsi="Calibri"/>
          <w:b w:val="0"/>
          <w:i/>
          <w:color w:val="222222"/>
          <w:sz w:val="22"/>
        </w:rPr>
        <w:t>double-angle space</w:t>
      </w:r>
      <w:r>
        <w:rPr>
          <w:rFonts w:ascii="Calibri" w:hAnsi="Calibri"/>
          <w:b w:val="0"/>
          <w:i w:val="0"/>
          <w:color w:val="222222"/>
          <w:sz w:val="22"/>
        </w:rPr>
        <w:t xml:space="preserve"> (2θ), where the cylinder axis α is mapped to 2α before vector decomposition. In this space, orthogonal astigmatisms (e.g., with-the-rule at 90° and against-the-rule at 180°) appear as diametrically opposite vectors, and vector arithmetic proceeds without discontinuity at the 0°/180° boundary (Alpins, 1993; Thibos et al., 1997).</w:t>
      </w:r>
    </w:p>
    <w:p>
      <w:r>
        <w:rPr>
          <w:rFonts w:ascii="Calibri" w:hAnsi="Calibri"/>
          <w:b w:val="0"/>
          <w:i w:val="0"/>
          <w:color w:val="222222"/>
          <w:sz w:val="22"/>
        </w:rPr>
        <w:t xml:space="preserve">Formally, a cylinder of magnitude </w:t>
      </w:r>
      <w:r>
        <w:rPr>
          <w:rFonts w:ascii="Calibri" w:hAnsi="Calibri"/>
          <w:b w:val="0"/>
          <w:i/>
          <w:color w:val="222222"/>
          <w:sz w:val="22"/>
        </w:rPr>
        <w:t>C</w:t>
      </w:r>
      <w:r>
        <w:rPr>
          <w:rFonts w:ascii="Calibri" w:hAnsi="Calibri"/>
          <w:b w:val="0"/>
          <w:i w:val="0"/>
          <w:color w:val="222222"/>
          <w:sz w:val="22"/>
        </w:rPr>
        <w:t xml:space="preserve"> at axis α is represented as a vector in double-angle space:</w:t>
      </w:r>
    </w:p>
    <w:p>
      <w:r>
        <w:rPr>
          <w:rFonts w:ascii="Calibri" w:hAnsi="Calibri"/>
          <w:b/>
          <w:i w:val="0"/>
          <w:color w:val="222222"/>
          <w:sz w:val="22"/>
        </w:rPr>
        <w:t>A</w:t>
      </w:r>
      <w:r>
        <w:rPr>
          <w:rFonts w:ascii="Calibri" w:hAnsi="Calibri"/>
          <w:b w:val="0"/>
          <w:i w:val="0"/>
          <w:color w:val="222222"/>
          <w:sz w:val="22"/>
        </w:rPr>
        <w:t xml:space="preserve"> = </w:t>
      </w:r>
      <w:r>
        <w:rPr>
          <w:rFonts w:ascii="Calibri" w:hAnsi="Calibri"/>
          <w:b w:val="0"/>
          <w:i/>
          <w:color w:val="222222"/>
          <w:sz w:val="22"/>
        </w:rPr>
        <w:t>C</w:t>
      </w:r>
      <w:r>
        <w:rPr>
          <w:rFonts w:ascii="Calibri" w:hAnsi="Calibri"/>
          <w:b w:val="0"/>
          <w:i w:val="0"/>
          <w:color w:val="222222"/>
          <w:sz w:val="22"/>
        </w:rPr>
        <w:t xml:space="preserve"> (cos 2α, sin 2α)</w:t>
      </w:r>
    </w:p>
    <w:p>
      <w:r>
        <w:rPr>
          <w:rFonts w:ascii="Calibri" w:hAnsi="Calibri"/>
          <w:b w:val="0"/>
          <w:i w:val="0"/>
          <w:color w:val="222222"/>
          <w:sz w:val="22"/>
        </w:rPr>
        <w:t>Addition and subtraction of astigmatism vectors are performed in this 2θ representation, and the resultant is converted back to standard clinical notation by halving the angle of the resultant vector.</w:t>
      </w:r>
    </w:p>
    <w:p>
      <w:pPr>
        <w:pStyle w:val="Heading3"/>
      </w:pPr>
      <w:r/>
      <w:r>
        <w:rPr>
          <w:rFonts w:ascii="Calibri" w:hAnsi="Calibri"/>
          <w:b w:val="0"/>
          <w:i w:val="0"/>
          <w:color w:val="1B365D"/>
          <w:sz w:val="24"/>
        </w:rPr>
        <w:t>3.2.2 The Three Fundamental Vectors</w:t>
      </w:r>
    </w:p>
    <w:p>
      <w:r>
        <w:rPr>
          <w:rFonts w:ascii="Calibri" w:hAnsi="Calibri"/>
          <w:b w:val="0"/>
          <w:i w:val="0"/>
          <w:color w:val="222222"/>
          <w:sz w:val="22"/>
        </w:rPr>
        <w:t>The entire Alpins framework is built upon three vectors:</w:t>
      </w:r>
    </w:p>
    <w:p>
      <w:pPr>
        <w:pStyle w:val="ListNumber"/>
        <w:spacing w:before="40" w:after="80" w:line="276" w:lineRule="auto"/>
      </w:pPr>
      <w:r>
        <w:rPr>
          <w:rFonts w:ascii="Calibri" w:hAnsi="Calibri"/>
          <w:b/>
          <w:i w:val="0"/>
          <w:color w:val="222222"/>
          <w:sz w:val="22"/>
        </w:rPr>
        <w:t>Target Induced Astigmatism vector (TIA):</w:t>
      </w:r>
      <w:r>
        <w:rPr>
          <w:rFonts w:ascii="Calibri" w:hAnsi="Calibri"/>
          <w:b w:val="0"/>
          <w:i w:val="0"/>
          <w:color w:val="222222"/>
          <w:sz w:val="22"/>
        </w:rPr>
        <w:t xml:space="preserve"> The astigmatic change that the surgeon </w:t>
      </w:r>
      <w:r>
        <w:rPr>
          <w:rFonts w:ascii="Calibri" w:hAnsi="Calibri"/>
          <w:b w:val="0"/>
          <w:i/>
          <w:color w:val="222222"/>
          <w:sz w:val="22"/>
        </w:rPr>
        <w:t>intends</w:t>
      </w:r>
      <w:r>
        <w:rPr>
          <w:rFonts w:ascii="Calibri" w:hAnsi="Calibri"/>
          <w:b w:val="0"/>
          <w:i w:val="0"/>
          <w:color w:val="222222"/>
          <w:sz w:val="22"/>
        </w:rPr>
        <w:t xml:space="preserve"> to produce. TIA is computed as the vector difference (in double-angle space) between the preoperative astigmatism and the target postoperative astigmatism. When the surgical goal is complete correction, TIA equals the preoperative astigmatism vector. When partial correction is planned (as is common with toric intraocular lenses or arcuate keratotomies), TIA reflects only the intended change.</w:t>
      </w:r>
    </w:p>
    <w:p>
      <w:pPr>
        <w:pStyle w:val="ListNumber"/>
        <w:spacing w:before="40" w:after="80" w:line="276" w:lineRule="auto"/>
      </w:pPr>
      <w:r>
        <w:rPr>
          <w:rFonts w:ascii="Calibri" w:hAnsi="Calibri"/>
          <w:b/>
          <w:i w:val="0"/>
          <w:color w:val="222222"/>
          <w:sz w:val="22"/>
        </w:rPr>
        <w:t>Surgically Induced Astigmatism vector (SIA):</w:t>
      </w:r>
      <w:r>
        <w:rPr>
          <w:rFonts w:ascii="Calibri" w:hAnsi="Calibri"/>
          <w:b w:val="0"/>
          <w:i w:val="0"/>
          <w:color w:val="222222"/>
          <w:sz w:val="22"/>
        </w:rPr>
        <w:t xml:space="preserve"> The astigmatic change that the surgery </w:t>
      </w:r>
      <w:r>
        <w:rPr>
          <w:rFonts w:ascii="Calibri" w:hAnsi="Calibri"/>
          <w:b w:val="0"/>
          <w:i/>
          <w:color w:val="222222"/>
          <w:sz w:val="22"/>
        </w:rPr>
        <w:t>actually produced</w:t>
      </w:r>
      <w:r>
        <w:rPr>
          <w:rFonts w:ascii="Calibri" w:hAnsi="Calibri"/>
          <w:b w:val="0"/>
          <w:i w:val="0"/>
          <w:color w:val="222222"/>
          <w:sz w:val="22"/>
        </w:rPr>
        <w:t>. SIA is computed as the vector difference between the preoperative and the measured postoperative astigmatism. SIA captures the net effect of the intervention on the corneal or refractive cylinder, irrespective of the surgical plan.</w:t>
      </w:r>
    </w:p>
    <w:p>
      <w:pPr>
        <w:pStyle w:val="ListNumber"/>
        <w:spacing w:before="40" w:after="80" w:line="276" w:lineRule="auto"/>
      </w:pPr>
      <w:r>
        <w:rPr>
          <w:rFonts w:ascii="Calibri" w:hAnsi="Calibri"/>
          <w:b/>
          <w:i w:val="0"/>
          <w:color w:val="222222"/>
          <w:sz w:val="22"/>
        </w:rPr>
        <w:t>Difference Vector (DV):</w:t>
      </w:r>
      <w:r>
        <w:rPr>
          <w:rFonts w:ascii="Calibri" w:hAnsi="Calibri"/>
          <w:b w:val="0"/>
          <w:i w:val="0"/>
          <w:color w:val="222222"/>
          <w:sz w:val="22"/>
        </w:rPr>
        <w:t xml:space="preserve"> The vector that would be required to move from the achieved postoperative state to the intended target state. DV is defined as:</w:t>
      </w:r>
    </w:p>
    <w:p>
      <w:r>
        <w:rPr>
          <w:rFonts w:ascii="Calibri" w:hAnsi="Calibri"/>
          <w:b/>
          <w:i w:val="0"/>
          <w:color w:val="222222"/>
          <w:sz w:val="22"/>
        </w:rPr>
        <w:t>DV</w:t>
      </w:r>
      <w:r>
        <w:rPr>
          <w:rFonts w:ascii="Calibri" w:hAnsi="Calibri"/>
          <w:b w:val="0"/>
          <w:i w:val="0"/>
          <w:color w:val="222222"/>
          <w:sz w:val="22"/>
        </w:rPr>
        <w:t xml:space="preserve"> = </w:t>
      </w:r>
      <w:r>
        <w:rPr>
          <w:rFonts w:ascii="Calibri" w:hAnsi="Calibri"/>
          <w:b/>
          <w:i w:val="0"/>
          <w:color w:val="222222"/>
          <w:sz w:val="22"/>
        </w:rPr>
        <w:t>TIA</w:t>
      </w:r>
      <w:r>
        <w:rPr>
          <w:rFonts w:ascii="Calibri" w:hAnsi="Calibri"/>
          <w:b w:val="0"/>
          <w:i w:val="0"/>
          <w:color w:val="222222"/>
          <w:sz w:val="22"/>
        </w:rPr>
        <w:t xml:space="preserve"> − </w:t>
      </w:r>
      <w:r>
        <w:rPr>
          <w:rFonts w:ascii="Calibri" w:hAnsi="Calibri"/>
          <w:b/>
          <w:i w:val="0"/>
          <w:color w:val="222222"/>
          <w:sz w:val="22"/>
        </w:rPr>
        <w:t>SIA</w:t>
      </w:r>
    </w:p>
    <w:p>
      <w:r>
        <w:rPr>
          <w:rFonts w:ascii="Calibri" w:hAnsi="Calibri"/>
          <w:b w:val="0"/>
          <w:i w:val="0"/>
          <w:color w:val="222222"/>
          <w:sz w:val="22"/>
        </w:rPr>
        <w:t xml:space="preserve">A perfect surgical outcome yields DV = </w:t>
      </w:r>
      <w:r>
        <w:rPr>
          <w:rFonts w:ascii="Calibri" w:hAnsi="Calibri"/>
          <w:b/>
          <w:i w:val="0"/>
          <w:color w:val="222222"/>
          <w:sz w:val="22"/>
        </w:rPr>
        <w:t>0</w:t>
      </w:r>
      <w:r>
        <w:rPr>
          <w:rFonts w:ascii="Calibri" w:hAnsi="Calibri"/>
          <w:b w:val="0"/>
          <w:i w:val="0"/>
          <w:color w:val="222222"/>
          <w:sz w:val="22"/>
        </w:rPr>
        <w:t>. A nonzero DV quantifies the magnitude and direction of the residual error.</w:t>
      </w:r>
    </w:p>
    <w:p>
      <w:r>
        <w:rPr>
          <w:rFonts w:ascii="Calibri" w:hAnsi="Calibri"/>
          <w:b w:val="0"/>
          <w:i w:val="0"/>
          <w:color w:val="222222"/>
          <w:sz w:val="22"/>
        </w:rPr>
        <w:t>These three vectors form a closed triangle in double-angle space: TIA = SIA + DV. This closure property is fundamental; it ensures that the analysis is internally consistent and that no component of the surgical outcome is unaccounted for.</w:t>
      </w:r>
    </w:p>
    <w:p>
      <w:pPr>
        <w:pStyle w:val="Heading3"/>
      </w:pPr>
      <w:r/>
      <w:r>
        <w:rPr>
          <w:rFonts w:ascii="Calibri" w:hAnsi="Calibri"/>
          <w:b w:val="0"/>
          <w:i w:val="0"/>
          <w:color w:val="1B365D"/>
          <w:sz w:val="24"/>
        </w:rPr>
        <w:t>3.2.3 The Derived Indices</w:t>
      </w:r>
    </w:p>
    <w:p>
      <w:r>
        <w:rPr>
          <w:rFonts w:ascii="Calibri" w:hAnsi="Calibri"/>
          <w:b w:val="0"/>
          <w:i w:val="0"/>
          <w:color w:val="222222"/>
          <w:sz w:val="22"/>
        </w:rPr>
        <w:t>From the three fundamental vectors, Alpins derived a family of scalar indices that provide dimensionless, immediately interpretable measures of surgical performance (Alpins, 2001; Alpins &amp; Goggin, 2004):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Index</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Definition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Ideal Value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Correction Index (CI)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Index of Success (IOS)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IOS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Magnitude of Error (ME)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Angle of Error (AE)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 = (axis of SIA) − (axis of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Rotational misalignment (degrees)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Flattening Index (FI)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 = SIA cos(AE)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tcMar>
              <w:top w:w="80" w:type="dxa"/>
              <w:bottom w:w="80" w:type="dxa"/>
              <w:left w:w="120" w:type="dxa"/>
              <w:right w:w="120" w:type="dxa"/>
            </w:tcMar>
            <w:vAlign w:val="center"/>
          </w:tcPr>
          <w:p>
            <w:pPr>
              <w:spacing w:before="80" w:after="80"/>
              <w:jc w:val="left"/>
            </w:pPr>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Torque Error (TE)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sin(AE)</w:t>
            </w:r>
          </w:p>
        </w:tc>
      </w:tr>
    </w:tbl>
    <w:p>
      <w:pPr>
        <w:spacing w:before="120" w:after="120"/>
      </w:pPr>
    </w:p>
    <w:p>
      <w:r>
        <w:rPr>
          <w:rFonts w:ascii="Calibri" w:hAnsi="Calibri"/>
          <w:b/>
          <w:i w:val="0"/>
          <w:color w:val="222222"/>
          <w:sz w:val="22"/>
        </w:rPr>
        <w:t>Table 3.1.</w:t>
      </w:r>
      <w:r>
        <w:rPr>
          <w:rFonts w:ascii="Calibri" w:hAnsi="Calibri"/>
          <w:b w:val="0"/>
          <w:i w:val="0"/>
          <w:color w:val="222222"/>
          <w:sz w:val="22"/>
        </w:rPr>
        <w:t xml:space="preserve"> Summary of the Alpins vector analysis indices. CI &gt; 1.0 indicates overcorrection; CI &lt; 1.0 indicates undercorrection. IOS = 0 represents perfect correction. The Flattening Index and Torque Error decompose the SIA into components parallel and perpendicular to the intended treatment meridian, respectively.</w:t>
      </w:r>
    </w:p>
    <w:p>
      <w:r>
        <w:rPr>
          <w:rFonts w:ascii="Calibri" w:hAnsi="Calibri"/>
          <w:b w:val="0"/>
          <w:i w:val="0"/>
          <w:color w:val="222222"/>
          <w:sz w:val="22"/>
        </w:rPr>
        <w:t>The Correction Index serves as the primary measure of surgical precision. A CI of 1.0 indicates that the magnitude of the achieved correction exactly matched the intended correction; values below 1.0 indicate undercorrection, and values above 1.0 indicate overcorrection. The Index of Success normalizes the residual error by the intended treatment magnitude, enabling comparison across patients with different degrees of preoperative astigmatism.</w:t>
      </w:r>
    </w:p>
    <w:p>
      <w:r>
        <w:rPr>
          <w:rFonts w:ascii="Calibri" w:hAnsi="Calibri"/>
          <w:b w:val="0"/>
          <w:i w:val="0"/>
          <w:color w:val="222222"/>
          <w:sz w:val="22"/>
        </w:rPr>
        <w:t xml:space="preserve">The Flattening Index and Torque Error provide a particularly elegant decomposition. The Flattening Index captures the </w:t>
      </w:r>
      <w:r>
        <w:rPr>
          <w:rFonts w:ascii="Calibri" w:hAnsi="Calibri"/>
          <w:b w:val="0"/>
          <w:i/>
          <w:color w:val="222222"/>
          <w:sz w:val="22"/>
        </w:rPr>
        <w:t>useful</w:t>
      </w:r>
      <w:r>
        <w:rPr>
          <w:rFonts w:ascii="Calibri" w:hAnsi="Calibri"/>
          <w:b w:val="0"/>
          <w:i w:val="0"/>
          <w:color w:val="222222"/>
          <w:sz w:val="22"/>
        </w:rPr>
        <w:t xml:space="preserve"> component of the surgically induced change—the portion that acts along the intended treatment meridian—while the Torque Error captures the </w:t>
      </w:r>
      <w:r>
        <w:rPr>
          <w:rFonts w:ascii="Calibri" w:hAnsi="Calibri"/>
          <w:b w:val="0"/>
          <w:i/>
          <w:color w:val="222222"/>
          <w:sz w:val="22"/>
        </w:rPr>
        <w:t>parasitic</w:t>
      </w:r>
      <w:r>
        <w:rPr>
          <w:rFonts w:ascii="Calibri" w:hAnsi="Calibri"/>
          <w:b w:val="0"/>
          <w:i w:val="0"/>
          <w:color w:val="222222"/>
          <w:sz w:val="22"/>
        </w:rPr>
        <w:t xml:space="preserve"> component that rotates the cylinder axis without reducing its magnitude. A high Torque Error is clinically undesirable: it represents wasted surgical effect that shifts astigmatic orientation rather than reducing it.</w:t>
      </w:r>
    </w:p>
    <w:p>
      <w:pPr>
        <w:pStyle w:val="Heading3"/>
      </w:pPr>
      <w:r/>
      <w:r>
        <w:rPr>
          <w:rFonts w:ascii="Calibri" w:hAnsi="Calibri"/>
          <w:b w:val="0"/>
          <w:i w:val="0"/>
          <w:color w:val="1B365D"/>
          <w:sz w:val="24"/>
        </w:rPr>
        <w:t>3.2.4 Graphical Representations</w:t>
      </w:r>
    </w:p>
    <w:p>
      <w:r>
        <w:rPr>
          <w:rFonts w:ascii="Calibri" w:hAnsi="Calibri"/>
          <w:b w:val="0"/>
          <w:i w:val="0"/>
          <w:color w:val="222222"/>
          <w:sz w:val="22"/>
        </w:rPr>
        <w:t xml:space="preserve">Alpins also introduced standardized graphical representations that have become ubiquitous in the refractive surgery literature. The </w:t>
      </w:r>
      <w:r>
        <w:rPr>
          <w:rFonts w:ascii="Calibri" w:hAnsi="Calibri"/>
          <w:b w:val="0"/>
          <w:i/>
          <w:color w:val="222222"/>
          <w:sz w:val="22"/>
        </w:rPr>
        <w:t>single-angle polar plot</w:t>
      </w:r>
      <w:r>
        <w:rPr>
          <w:rFonts w:ascii="Calibri" w:hAnsi="Calibri"/>
          <w:b w:val="0"/>
          <w:i w:val="0"/>
          <w:color w:val="222222"/>
          <w:sz w:val="22"/>
        </w:rPr>
        <w:t xml:space="preserve"> displays TIA and SIA as vectors originating from the origin, with DV connecting the tip of SIA to the tip of TIA. The </w:t>
      </w:r>
      <w:r>
        <w:rPr>
          <w:rFonts w:ascii="Calibri" w:hAnsi="Calibri"/>
          <w:b w:val="0"/>
          <w:i/>
          <w:color w:val="222222"/>
          <w:sz w:val="22"/>
        </w:rPr>
        <w:t>double-angle vector diagram</w:t>
      </w:r>
      <w:r>
        <w:rPr>
          <w:rFonts w:ascii="Calibri" w:hAnsi="Calibri"/>
          <w:b w:val="0"/>
          <w:i w:val="0"/>
          <w:color w:val="222222"/>
          <w:sz w:val="22"/>
        </w:rPr>
        <w:t xml:space="preserve"> displays the same information in the 2θ space in which the arithmetic is performed. Scatter plots of SIA endpoints can be superimposed on target concentric rings to provide a visual gestalt of surgical accuracy and precision across a cohort (Alpins &amp; Goggin, 2004; Reinstein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3.3 Why the Alpins Method Works</w:t>
      </w:r>
    </w:p>
    <w:p>
      <w:r>
        <w:rPr>
          <w:rFonts w:ascii="Calibri" w:hAnsi="Calibri"/>
          <w:b w:val="0"/>
          <w:i w:val="0"/>
          <w:color w:val="222222"/>
          <w:sz w:val="22"/>
        </w:rPr>
        <w:t>The success of the Alpins method is not attributable to mathematical novelty—double-angle vector representations of astigmatism were described by Naeser (1990) and Thibos et al. (1997), among others. Rather, the method succeeded because it satisfied four structural requirements that any effective surgical planning language must meet.</w:t>
      </w:r>
    </w:p>
    <w:p>
      <w:r>
        <w:rPr>
          <w:rFonts w:ascii="Calibri" w:hAnsi="Calibri"/>
          <w:b/>
          <w:i w:val="0"/>
          <w:color w:val="222222"/>
          <w:sz w:val="22"/>
        </w:rPr>
        <w:t>Universality.</w:t>
      </w:r>
      <w:r>
        <w:rPr>
          <w:rFonts w:ascii="Calibri" w:hAnsi="Calibri"/>
          <w:b w:val="0"/>
          <w:i w:val="0"/>
          <w:color w:val="222222"/>
          <w:sz w:val="22"/>
        </w:rPr>
        <w:t xml:space="preserve"> The Alpins framework applies identically to all forms of astigmatism surgery: limbal relaxing incisions, arcuate keratotomy, toric intraocular lenses, corneal cross-linking, and excimer laser ablation. Because the analysis operates on pre- and postoperative refraction data—quantities measured in every ophthalmic examination—it requires no specialized instrumentation beyond standard clinical care. This universality enabled immediate and widespread adoption.</w:t>
      </w:r>
    </w:p>
    <w:p>
      <w:r>
        <w:rPr>
          <w:rFonts w:ascii="Calibri" w:hAnsi="Calibri"/>
          <w:b/>
          <w:i w:val="0"/>
          <w:color w:val="222222"/>
          <w:sz w:val="22"/>
        </w:rPr>
        <w:t>Objectivity.</w:t>
      </w:r>
      <w:r>
        <w:rPr>
          <w:rFonts w:ascii="Calibri" w:hAnsi="Calibri"/>
          <w:b w:val="0"/>
          <w:i w:val="0"/>
          <w:color w:val="222222"/>
          <w:sz w:val="22"/>
        </w:rPr>
        <w:t xml:space="preserve"> The Alpins indices are derived from measured data through explicit mathematical definitions. Two independent analysts examining the same pre- and postoperative refractions will compute identical TIA, SIA, DV, and CI values. There is no subjective element, no grading scale, and no threshold that must be calibrated to the analyst's judgment. This objectivity eliminated the "apples-to-oranges" problem that had plagued earlier astigmatism outcome reports, in which different authors used different and often incompatible metrics.</w:t>
      </w:r>
    </w:p>
    <w:p>
      <w:r>
        <w:rPr>
          <w:rFonts w:ascii="Calibri" w:hAnsi="Calibri"/>
          <w:b/>
          <w:i w:val="0"/>
          <w:color w:val="222222"/>
          <w:sz w:val="22"/>
        </w:rPr>
        <w:t>Comparability.</w:t>
      </w:r>
      <w:r>
        <w:rPr>
          <w:rFonts w:ascii="Calibri" w:hAnsi="Calibri"/>
          <w:b w:val="0"/>
          <w:i w:val="0"/>
          <w:color w:val="222222"/>
          <w:sz w:val="22"/>
        </w:rPr>
        <w:t xml:space="preserve"> Because the indices are dimensionless ratios (CI, IOS, FI) or have standard physical units (ME in diopters, AE in degrees), outcomes can be compared directly across surgeons, techniques, patient populations, and time periods. The Correction Index of a femtosecond laser arcuate keratotomy series in São Paulo can be compared, without conversion or rescaling, to the Correction Index of a manual limbal relaxing incision series in Melbourne. This comparability was the engine of evidence-based refinement: surgeons could identify systematic undercorrection (CI &lt; 1.0) or overcorrection (CI &gt; 1.0) in their own practice and adjust their nomograms accordingly.</w:t>
      </w:r>
    </w:p>
    <w:p>
      <w:r>
        <w:rPr>
          <w:rFonts w:ascii="Calibri" w:hAnsi="Calibri"/>
          <w:b/>
          <w:i w:val="0"/>
          <w:color w:val="222222"/>
          <w:sz w:val="22"/>
        </w:rPr>
        <w:t>Feedback loop closure.</w:t>
      </w:r>
      <w:r>
        <w:rPr>
          <w:rFonts w:ascii="Calibri" w:hAnsi="Calibri"/>
          <w:b w:val="0"/>
          <w:i w:val="0"/>
          <w:color w:val="222222"/>
          <w:sz w:val="22"/>
        </w:rPr>
        <w:t xml:space="preserve"> Perhaps the most underappreciated aspect of the Alpins method is that it closes the surgical feedback loop. The Correction Index tells the surgeon not merely whether the outcome was good or bad, but by </w:t>
      </w:r>
      <w:r>
        <w:rPr>
          <w:rFonts w:ascii="Calibri" w:hAnsi="Calibri"/>
          <w:b w:val="0"/>
          <w:i/>
          <w:color w:val="222222"/>
          <w:sz w:val="22"/>
        </w:rPr>
        <w:t>how much</w:t>
      </w:r>
      <w:r>
        <w:rPr>
          <w:rFonts w:ascii="Calibri" w:hAnsi="Calibri"/>
          <w:b w:val="0"/>
          <w:i w:val="0"/>
          <w:color w:val="222222"/>
          <w:sz w:val="22"/>
        </w:rPr>
        <w:t xml:space="preserve"> and in </w:t>
      </w:r>
      <w:r>
        <w:rPr>
          <w:rFonts w:ascii="Calibri" w:hAnsi="Calibri"/>
          <w:b w:val="0"/>
          <w:i/>
          <w:color w:val="222222"/>
          <w:sz w:val="22"/>
        </w:rPr>
        <w:t>which direction</w:t>
      </w:r>
      <w:r>
        <w:rPr>
          <w:rFonts w:ascii="Calibri" w:hAnsi="Calibri"/>
          <w:b w:val="0"/>
          <w:i w:val="0"/>
          <w:color w:val="222222"/>
          <w:sz w:val="22"/>
        </w:rPr>
        <w:t xml:space="preserve"> the surgical effect deviated from the plan. A CI of 0.85 tells the surgeon to increase the treatment by approximately 15%; an Angle of Error of +5° tells the surgeon to rotate the treatment axis 5° counterclockwise. This quantitative, directional feedback is the essential ingredient for iterative nomogram refinement—a process that has driven continuous improvement in astigmatism surgery outcomes over three decades (Alpins, 2001; Piñero, 2014).</w:t>
      </w:r>
    </w:p>
    <w:p>
      <w:r>
        <w:rPr>
          <w:rFonts w:ascii="Calibri" w:hAnsi="Calibri"/>
          <w:b w:val="0"/>
          <w:i w:val="0"/>
          <w:color w:val="222222"/>
          <w:sz w:val="22"/>
        </w:rPr>
        <w:t xml:space="preserve">The broader lesson for any surgical planning language is clear: </w:t>
      </w:r>
      <w:r>
        <w:rPr>
          <w:rFonts w:ascii="Calibri" w:hAnsi="Calibri"/>
          <w:b w:val="0"/>
          <w:i/>
          <w:color w:val="222222"/>
          <w:sz w:val="22"/>
        </w:rPr>
        <w:t>nomenclature</w:t>
      </w:r>
      <w:r>
        <w:rPr>
          <w:rFonts w:ascii="Calibri" w:hAnsi="Calibri"/>
          <w:b w:val="0"/>
          <w:i w:val="0"/>
          <w:color w:val="222222"/>
          <w:sz w:val="22"/>
        </w:rPr>
        <w:t xml:space="preserve"> plus </w:t>
      </w:r>
      <w:r>
        <w:rPr>
          <w:rFonts w:ascii="Calibri" w:hAnsi="Calibri"/>
          <w:b w:val="0"/>
          <w:i/>
          <w:color w:val="222222"/>
          <w:sz w:val="22"/>
        </w:rPr>
        <w:t>quantitative metrics</w:t>
      </w:r>
      <w:r>
        <w:rPr>
          <w:rFonts w:ascii="Calibri" w:hAnsi="Calibri"/>
          <w:b w:val="0"/>
          <w:i w:val="0"/>
          <w:color w:val="222222"/>
          <w:sz w:val="22"/>
        </w:rPr>
        <w:t xml:space="preserve"> equals </w:t>
      </w:r>
      <w:r>
        <w:rPr>
          <w:rFonts w:ascii="Calibri" w:hAnsi="Calibri"/>
          <w:b w:val="0"/>
          <w:i/>
          <w:color w:val="222222"/>
          <w:sz w:val="22"/>
        </w:rPr>
        <w:t>reproducible science</w:t>
      </w:r>
      <w:r>
        <w:rPr>
          <w:rFonts w:ascii="Calibri" w:hAnsi="Calibri"/>
          <w:b w:val="0"/>
          <w:i w:val="0"/>
          <w:color w:val="222222"/>
          <w:sz w:val="22"/>
        </w:rPr>
        <w:t xml:space="preserve">. The Alpins method did not make astigmatism surgery easier; it made astigmatism surgery </w:t>
      </w:r>
      <w:r>
        <w:rPr>
          <w:rFonts w:ascii="Calibri" w:hAnsi="Calibri"/>
          <w:b w:val="0"/>
          <w:i/>
          <w:color w:val="222222"/>
          <w:sz w:val="22"/>
        </w:rPr>
        <w:t>measurable</w:t>
      </w:r>
      <w:r>
        <w:rPr>
          <w:rFonts w:ascii="Calibri" w:hAnsi="Calibri"/>
          <w:b w:val="0"/>
          <w:i w:val="0"/>
          <w:color w:val="222222"/>
          <w:sz w:val="22"/>
        </w:rPr>
        <w:t>, and measurability is the precondition for systematic improvement.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3.4 Limitations of the Alpins Method for ICRS Planning</w:t>
      </w:r>
    </w:p>
    <w:p>
      <w:r>
        <w:rPr>
          <w:rFonts w:ascii="Calibri" w:hAnsi="Calibri"/>
          <w:b w:val="0"/>
          <w:i w:val="0"/>
          <w:color w:val="222222"/>
          <w:sz w:val="22"/>
        </w:rPr>
        <w:t>Despite its elegance and clinical utility, the Alpins vector analysis was designed for a specific problem—the characterization of astigmatic change—and its mathematical structure reflects the constraints of that problem. Several fundamental features of ICRS biomechanics place the Alpins framework outside its domain of applicability.</w:t>
      </w:r>
    </w:p>
    <w:p>
      <w:pPr>
        <w:pStyle w:val="Heading3"/>
      </w:pPr>
      <w:r/>
      <w:r>
        <w:rPr>
          <w:rFonts w:ascii="Calibri" w:hAnsi="Calibri"/>
          <w:b w:val="0"/>
          <w:i w:val="0"/>
          <w:color w:val="1B365D"/>
          <w:sz w:val="24"/>
        </w:rPr>
        <w:t>3.4.1 Dimensionality</w:t>
      </w:r>
    </w:p>
    <w:p>
      <w:r>
        <w:rPr>
          <w:rFonts w:ascii="Calibri" w:hAnsi="Calibri"/>
          <w:b w:val="0"/>
          <w:i w:val="0"/>
          <w:color w:val="222222"/>
          <w:sz w:val="22"/>
        </w:rPr>
        <w:t xml:space="preserve">The Alpins method operates in ℝ², the two-dimensional space of double-angle astigmatism vectors. Each vector has two degrees of freedom: magnitude and axis (or, equivalently, the Cartesian components </w:t>
      </w:r>
      <w:r>
        <w:rPr>
          <w:rFonts w:ascii="Calibri" w:hAnsi="Calibri"/>
          <w:b w:val="0"/>
          <w:i/>
          <w:color w:val="222222"/>
          <w:sz w:val="22"/>
        </w:rPr>
        <w:t>C</w:t>
      </w:r>
      <w:r>
        <w:rPr>
          <w:rFonts w:ascii="Calibri" w:hAnsi="Calibri"/>
          <w:b w:val="0"/>
          <w:i w:val="0"/>
          <w:color w:val="222222"/>
          <w:sz w:val="22"/>
        </w:rPr>
        <w:t xml:space="preserve"> cos 2α and </w:t>
      </w:r>
      <w:r>
        <w:rPr>
          <w:rFonts w:ascii="Calibri" w:hAnsi="Calibri"/>
          <w:b w:val="0"/>
          <w:i/>
          <w:color w:val="222222"/>
          <w:sz w:val="22"/>
        </w:rPr>
        <w:t>C</w:t>
      </w:r>
      <w:r>
        <w:rPr>
          <w:rFonts w:ascii="Calibri" w:hAnsi="Calibri"/>
          <w:b w:val="0"/>
          <w:i w:val="0"/>
          <w:color w:val="222222"/>
          <w:sz w:val="22"/>
        </w:rPr>
        <w:t xml:space="preserve"> sin 2α). The biomechanical state of a cornea after ICRS implantation, however, is inherently multidimensional. As developed in Chapter 2, the AVBC decomposes the corneal response into three orthogonal vector components—the radial displacement vector </w:t>
      </w:r>
      <w:r>
        <w:rPr>
          <w:rFonts w:ascii="Calibri" w:hAnsi="Calibri"/>
          <w:b/>
          <w:i w:val="0"/>
          <w:color w:val="222222"/>
          <w:sz w:val="22"/>
        </w:rPr>
        <w:t>V</w:t>
      </w:r>
      <w:r>
        <w:rPr>
          <w:rFonts w:ascii="Calibri" w:hAnsi="Calibri"/>
          <w:b w:val="0"/>
          <w:i/>
          <w:color w:val="222222"/>
          <w:sz w:val="22"/>
        </w:rPr>
        <w:t>R, the tangential stress vector **V**</w:t>
      </w:r>
      <w:r>
        <w:rPr>
          <w:rFonts w:ascii="Calibri" w:hAnsi="Calibri"/>
          <w:b w:val="0"/>
          <w:i w:val="0"/>
          <w:color w:val="222222"/>
          <w:sz w:val="22"/>
        </w:rPr>
        <w:t xml:space="preserve">T, and the torsional asymmetry vector </w:t>
      </w:r>
      <w:r>
        <w:rPr>
          <w:rFonts w:ascii="Calibri" w:hAnsi="Calibri"/>
          <w:b/>
          <w:i w:val="0"/>
          <w:color w:val="222222"/>
          <w:sz w:val="22"/>
        </w:rPr>
        <w:t>V</w:t>
      </w:r>
      <w:r>
        <w:rPr>
          <w:rFonts w:ascii="Calibri" w:hAnsi="Calibri"/>
          <w:b w:val="0"/>
          <w:i w:val="0"/>
          <w:color w:val="222222"/>
          <w:sz w:val="22"/>
        </w:rPr>
        <w:t>_τ—each of which may vary independently as a function of arc sweep, ring depth, and patient-specific pachymetry. The Alpins framework provides no mechanism for representing or analyzing this multidimensional biomechanical state space.</w:t>
      </w:r>
    </w:p>
    <w:p>
      <w:pPr>
        <w:pStyle w:val="Heading3"/>
      </w:pPr>
      <w:r/>
      <w:r>
        <w:rPr>
          <w:rFonts w:ascii="Calibri" w:hAnsi="Calibri"/>
          <w:b w:val="0"/>
          <w:i w:val="0"/>
          <w:color w:val="1B365D"/>
          <w:sz w:val="24"/>
        </w:rPr>
        <w:t>3.4.2 The Double-Angle Assumption</w:t>
      </w:r>
    </w:p>
    <w:p>
      <w:r>
        <w:rPr>
          <w:rFonts w:ascii="Calibri" w:hAnsi="Calibri"/>
          <w:b w:val="0"/>
          <w:i w:val="0"/>
          <w:color w:val="222222"/>
          <w:sz w:val="22"/>
        </w:rPr>
        <w:t>The double-angle representation is essential for astigmatism because the physical quantity being analyzed (cylinder power and axis) possesses 180° periodicity. ICRS ring segments do not, in general, possess this symmetry. A 120° arc implanted superiorly produces a biomechanically distinct corneal state from the same arc implanted inferiorly, even though the arc subtends the same angle. The relevant coordinate system for ICRS is the full 360° circumferential space of the cornea, not the 180° double-angle space of astigmatism. Any attempt to force ICRS biomechanical data into a 2θ representation would introduce artificial periodicities that have no physical basis.</w:t>
      </w:r>
    </w:p>
    <w:p>
      <w:pPr>
        <w:pStyle w:val="Heading3"/>
      </w:pPr>
      <w:r/>
      <w:r>
        <w:rPr>
          <w:rFonts w:ascii="Calibri" w:hAnsi="Calibri"/>
          <w:b w:val="0"/>
          <w:i w:val="0"/>
          <w:color w:val="1B365D"/>
          <w:sz w:val="24"/>
        </w:rPr>
        <w:t>3.4.3 Linear Subtraction</w:t>
      </w:r>
    </w:p>
    <w:p>
      <w:r>
        <w:rPr>
          <w:rFonts w:ascii="Calibri" w:hAnsi="Calibri"/>
          <w:b w:val="0"/>
          <w:i w:val="0"/>
          <w:color w:val="222222"/>
          <w:sz w:val="22"/>
        </w:rPr>
        <w:t>The Alpins DV is computed by simple vector subtraction: DV = TIA − SIA. This linearity is valid for astigmatism because the relationship between surgical incisions and induced cylinder change is approximately linear over the clinically relevant range. The biomechanical response of the cornea to ICRS implantation, by contrast, involves geometric nonlinearity (finite deformation), material nonlinearity (the exponential fiber stiffening captured by the Holzapfel–Gasser–Ogden model with k₂ = 100), and contact nonlinearity (ring–stroma interaction). As demonstrated in Chapter 2, the tangential stress response VT follows a monotonically decreasing linear trend with arc sweep (VT(arc°) = −0.0018 × arc° + 7.79, R² = 0.94), but this linearity in a derived scalar does not imply linearity in the underlying tensor fields. The "difference" between a planned and an achieved biomechanical state cannot, in general, be computed by subtraction; it requires comparison within the nonlinear constitutive framework (Dupps &amp; Roberts, 2014; Lago et al., 2015).</w:t>
      </w:r>
    </w:p>
    <w:p>
      <w:pPr>
        <w:pStyle w:val="Heading3"/>
      </w:pPr>
      <w:r/>
      <w:r>
        <w:rPr>
          <w:rFonts w:ascii="Calibri" w:hAnsi="Calibri"/>
          <w:b w:val="0"/>
          <w:i w:val="0"/>
          <w:color w:val="1B365D"/>
          <w:sz w:val="24"/>
        </w:rPr>
        <w:t>3.4.4 What Can Be Borrowed</w:t>
      </w:r>
    </w:p>
    <w:p>
      <w:r>
        <w:rPr>
          <w:rFonts w:ascii="Calibri" w:hAnsi="Calibri"/>
          <w:b w:val="0"/>
          <w:i w:val="0"/>
          <w:color w:val="222222"/>
          <w:sz w:val="22"/>
        </w:rPr>
        <w:t>Despite these limitations, several structural elements of the Alpins method transfer directly to the ICRS context:</w:t>
      </w:r>
    </w:p>
    <w:p>
      <w:pPr>
        <w:pStyle w:val="ListBullet"/>
        <w:spacing w:before="40" w:after="80" w:line="276" w:lineRule="auto"/>
      </w:pPr>
      <w:r>
        <w:rPr>
          <w:rFonts w:ascii="Calibri" w:hAnsi="Calibri"/>
          <w:b/>
          <w:i w:val="0"/>
          <w:color w:val="222222"/>
          <w:sz w:val="22"/>
        </w:rPr>
        <w:t>The planned-vs.-induced paradigm.</w:t>
      </w:r>
      <w:r>
        <w:rPr>
          <w:rFonts w:ascii="Calibri" w:hAnsi="Calibri"/>
          <w:b w:val="0"/>
          <w:i w:val="0"/>
          <w:color w:val="222222"/>
          <w:sz w:val="22"/>
        </w:rPr>
        <w:t xml:space="preserve"> The distinction between what was </w:t>
      </w:r>
      <w:r>
        <w:rPr>
          <w:rFonts w:ascii="Calibri" w:hAnsi="Calibri"/>
          <w:b w:val="0"/>
          <w:i/>
          <w:color w:val="222222"/>
          <w:sz w:val="22"/>
        </w:rPr>
        <w:t>intended</w:t>
      </w:r>
      <w:r>
        <w:rPr>
          <w:rFonts w:ascii="Calibri" w:hAnsi="Calibri"/>
          <w:b w:val="0"/>
          <w:i w:val="0"/>
          <w:color w:val="222222"/>
          <w:sz w:val="22"/>
        </w:rPr>
        <w:t xml:space="preserve"> (TIA) and what was </w:t>
      </w:r>
      <w:r>
        <w:rPr>
          <w:rFonts w:ascii="Calibri" w:hAnsi="Calibri"/>
          <w:b w:val="0"/>
          <w:i/>
          <w:color w:val="222222"/>
          <w:sz w:val="22"/>
        </w:rPr>
        <w:t>achieved</w:t>
      </w:r>
      <w:r>
        <w:rPr>
          <w:rFonts w:ascii="Calibri" w:hAnsi="Calibri"/>
          <w:b w:val="0"/>
          <w:i w:val="0"/>
          <w:color w:val="222222"/>
          <w:sz w:val="22"/>
        </w:rPr>
        <w:t xml:space="preserve"> (SIA) is universally applicable. In the AVBC, the finite element model prediction serves as the "planned" biomechanical state, and postoperative tomographic and biomechanical measurements serve as the "induced" state.</w:t>
      </w:r>
    </w:p>
    <w:p>
      <w:pPr>
        <w:pStyle w:val="ListBullet"/>
        <w:spacing w:before="40" w:after="80" w:line="276" w:lineRule="auto"/>
      </w:pPr>
      <w:r>
        <w:rPr>
          <w:rFonts w:ascii="Calibri" w:hAnsi="Calibri"/>
          <w:b/>
          <w:i w:val="0"/>
          <w:color w:val="222222"/>
          <w:sz w:val="22"/>
        </w:rPr>
        <w:t>The Correction Index.</w:t>
      </w:r>
      <w:r>
        <w:rPr>
          <w:rFonts w:ascii="Calibri" w:hAnsi="Calibri"/>
          <w:b w:val="0"/>
          <w:i w:val="0"/>
          <w:color w:val="222222"/>
          <w:sz w:val="22"/>
        </w:rPr>
        <w:t xml:space="preserve"> The ratio of achieved to planned effect (CI = |SIA|/|TIA|) can be computed for each AVBC vector component independently, yielding component-specific correction indices CI</w:t>
      </w:r>
      <w:r>
        <w:rPr>
          <w:rFonts w:ascii="Calibri" w:hAnsi="Calibri"/>
          <w:b w:val="0"/>
          <w:i/>
          <w:color w:val="222222"/>
          <w:sz w:val="22"/>
        </w:rPr>
        <w:t>R, CI</w:t>
      </w:r>
      <w:r>
        <w:rPr>
          <w:rFonts w:ascii="Calibri" w:hAnsi="Calibri"/>
          <w:b w:val="0"/>
          <w:i w:val="0"/>
          <w:color w:val="222222"/>
          <w:sz w:val="22"/>
        </w:rPr>
        <w:t>T, and CI_τ.</w:t>
      </w:r>
    </w:p>
    <w:p>
      <w:pPr>
        <w:pStyle w:val="ListBullet"/>
        <w:spacing w:before="40" w:after="80" w:line="276" w:lineRule="auto"/>
      </w:pPr>
      <w:r>
        <w:rPr>
          <w:rFonts w:ascii="Calibri" w:hAnsi="Calibri"/>
          <w:b/>
          <w:i w:val="0"/>
          <w:color w:val="222222"/>
          <w:sz w:val="22"/>
        </w:rPr>
        <w:t>Standardized nomenclature.</w:t>
      </w:r>
      <w:r>
        <w:rPr>
          <w:rFonts w:ascii="Calibri" w:hAnsi="Calibri"/>
          <w:b w:val="0"/>
          <w:i w:val="0"/>
          <w:color w:val="222222"/>
          <w:sz w:val="22"/>
        </w:rPr>
        <w:t xml:space="preserve"> The discipline of assigning standard names and symbols to every quantity in the analysis—so that all investigators use the same terms—is a methodological lesson of enduring value.</w:t>
      </w:r>
    </w:p>
    <w:p>
      <w:pPr>
        <w:pStyle w:val="ListBullet"/>
        <w:spacing w:before="40" w:after="80" w:line="276" w:lineRule="auto"/>
      </w:pPr>
      <w:r>
        <w:rPr>
          <w:rFonts w:ascii="Calibri" w:hAnsi="Calibri"/>
          <w:b/>
          <w:i w:val="0"/>
          <w:color w:val="222222"/>
          <w:sz w:val="22"/>
        </w:rPr>
        <w:t>Feedback loop closure.</w:t>
      </w:r>
      <w:r>
        <w:rPr>
          <w:rFonts w:ascii="Calibri" w:hAnsi="Calibri"/>
          <w:b w:val="0"/>
          <w:i w:val="0"/>
          <w:color w:val="222222"/>
          <w:sz w:val="22"/>
        </w:rPr>
        <w:t xml:space="preserve"> The principle that every index should carry actionable information—not merely whether the outcome was acceptable, but how the surgical plan should be adjusted—is the design criterion that distinguishes a planning </w:t>
      </w:r>
      <w:r>
        <w:rPr>
          <w:rFonts w:ascii="Calibri" w:hAnsi="Calibri"/>
          <w:b w:val="0"/>
          <w:i/>
          <w:color w:val="222222"/>
          <w:sz w:val="22"/>
        </w:rPr>
        <w:t>language</w:t>
      </w:r>
      <w:r>
        <w:rPr>
          <w:rFonts w:ascii="Calibri" w:hAnsi="Calibri"/>
          <w:b w:val="0"/>
          <w:i w:val="0"/>
          <w:color w:val="222222"/>
          <w:sz w:val="22"/>
        </w:rPr>
        <w:t xml:space="preserve"> from a reporting </w:t>
      </w:r>
      <w:r>
        <w:rPr>
          <w:rFonts w:ascii="Calibri" w:hAnsi="Calibri"/>
          <w:b w:val="0"/>
          <w:i/>
          <w:color w:val="222222"/>
          <w:sz w:val="22"/>
        </w:rPr>
        <w:t>checklist</w:t>
      </w:r>
      <w:r>
        <w:rPr>
          <w:rFonts w:ascii="Calibri" w:hAnsi="Calibri"/>
          <w:b w:val="0"/>
          <w:i w:val="0"/>
          <w:color w:val="222222"/>
          <w:sz w:val="22"/>
        </w:rPr>
        <w: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3.5 The AVBC as a Biomechanical Alpins</w:t>
      </w:r>
    </w:p>
    <w:p>
      <w:r>
        <w:rPr>
          <w:rFonts w:ascii="Calibri" w:hAnsi="Calibri"/>
          <w:b w:val="0"/>
          <w:i w:val="0"/>
          <w:color w:val="222222"/>
          <w:sz w:val="22"/>
        </w:rPr>
        <w:t xml:space="preserve">The Análise Vetorial Biomecânica Corneana is constructed as a </w:t>
      </w:r>
      <w:r>
        <w:rPr>
          <w:rFonts w:ascii="Calibri" w:hAnsi="Calibri"/>
          <w:b w:val="0"/>
          <w:i/>
          <w:color w:val="222222"/>
          <w:sz w:val="22"/>
        </w:rPr>
        <w:t>structural homologue</w:t>
      </w:r>
      <w:r>
        <w:rPr>
          <w:rFonts w:ascii="Calibri" w:hAnsi="Calibri"/>
          <w:b w:val="0"/>
          <w:i w:val="0"/>
          <w:color w:val="222222"/>
          <w:sz w:val="22"/>
        </w:rPr>
        <w:t xml:space="preserve"> of the Alpins method: it preserves the workflow, the nomenclature conventions, and the feedback architecture of the Alpins framework while replacing its two-dimensional astigmatic algebra with a multidimensional biomechanical formalism appropriate to ICRS planning.</w:t>
      </w:r>
    </w:p>
    <w:p>
      <w:pPr>
        <w:pStyle w:val="Heading3"/>
      </w:pPr>
      <w:r/>
      <w:r>
        <w:rPr>
          <w:rFonts w:ascii="Calibri" w:hAnsi="Calibri"/>
          <w:b w:val="0"/>
          <w:i w:val="0"/>
          <w:color w:val="1B365D"/>
          <w:sz w:val="24"/>
        </w:rPr>
        <w:t>3.5.1 The Structural Parallel</w:t>
      </w:r>
    </w:p>
    <w:p>
      <w:r>
        <w:rPr>
          <w:rFonts w:ascii="Calibri" w:hAnsi="Calibri"/>
          <w:b w:val="0"/>
          <w:i w:val="0"/>
          <w:color w:val="222222"/>
          <w:sz w:val="22"/>
        </w:rPr>
        <w:t>The parallel between the two systems can be stated concisely: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Alpins Step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Alpins Quantity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Analogue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Quantity</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state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astigmatism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biomechanical state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FEM (u</w:t>
            </w:r>
            <w:r>
              <w:rPr>
                <w:rFonts w:ascii="Calibri" w:hAnsi="Calibri"/>
                <w:b w:val="0"/>
                <w:i/>
                <w:color w:val="222222"/>
                <w:sz w:val="19"/>
              </w:rPr>
              <w:t>z = 360.9 μm, V</w:t>
            </w:r>
            <w:r>
              <w:rPr>
                <w:rFonts w:ascii="Calibri" w:hAnsi="Calibri"/>
                <w:b w:val="0"/>
                <w:i w:val="0"/>
                <w:color w:val="222222"/>
                <w:sz w:val="19"/>
              </w:rPr>
              <w:t>T = 7.78 kPa)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Surgical plan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Planned biomechanical change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FEM-predicted 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Surgery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Incision / ablation / toric IOL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Surgery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implantation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state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astigmatism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biomechanical state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Measured tomographic + biomechanical data</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Achieved change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Induced biomechanical change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Measured ΔV</w:t>
            </w:r>
            <w:r>
              <w:rPr>
                <w:rFonts w:ascii="Calibri" w:hAnsi="Calibri"/>
                <w:b w:val="0"/>
                <w:i/>
                <w:color w:val="222222"/>
                <w:sz w:val="19"/>
              </w:rPr>
              <w:t>R, ΔV</w:t>
            </w:r>
            <w:r>
              <w:rPr>
                <w:rFonts w:ascii="Calibri" w:hAnsi="Calibri"/>
                <w:b w:val="0"/>
                <w:i w:val="0"/>
                <w:color w:val="222222"/>
                <w:sz w:val="19"/>
              </w:rPr>
              <w:t>T, ΔV_τ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Residual error</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 = TIA − 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Biomechanical residual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Correction ratio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bl>
    <w:p>
      <w:pPr>
        <w:spacing w:before="120" w:after="120"/>
      </w:pPr>
    </w:p>
    <w:p>
      <w:r>
        <w:rPr>
          <w:rFonts w:ascii="Calibri" w:hAnsi="Calibri"/>
          <w:b/>
          <w:i w:val="0"/>
          <w:color w:val="222222"/>
          <w:sz w:val="22"/>
        </w:rPr>
        <w:t>Table 3.2.</w:t>
      </w:r>
      <w:r>
        <w:rPr>
          <w:rFonts w:ascii="Calibri" w:hAnsi="Calibri"/>
          <w:b w:val="0"/>
          <w:i w:val="0"/>
          <w:color w:val="222222"/>
          <w:sz w:val="22"/>
        </w:rPr>
        <w:t xml:space="preserve"> Structural correspondence between the Alpins vector analysis and the AVBC.</w:t>
      </w:r>
    </w:p>
    <w:p>
      <w:pPr>
        <w:pStyle w:val="Heading3"/>
      </w:pPr>
      <w:r/>
      <w:r>
        <w:rPr>
          <w:rFonts w:ascii="Calibri" w:hAnsi="Calibri"/>
          <w:b w:val="0"/>
          <w:i w:val="0"/>
          <w:color w:val="1B365D"/>
          <w:sz w:val="24"/>
        </w:rPr>
        <w:t>3.5.2 Component-Specific Correction Indices</w:t>
      </w:r>
    </w:p>
    <w:p>
      <w:r>
        <w:rPr>
          <w:rFonts w:ascii="Calibri" w:hAnsi="Calibri"/>
          <w:b w:val="0"/>
          <w:i w:val="0"/>
          <w:color w:val="222222"/>
          <w:sz w:val="22"/>
        </w:rPr>
        <w:t>In the Alpins method, a single CI characterizes the entire surgical outcome because the outcome is a single vector in ℝ². In the AVBC, the biomechanical outcome is a triplet (V</w:t>
      </w:r>
      <w:r>
        <w:rPr>
          <w:rFonts w:ascii="Calibri" w:hAnsi="Calibri"/>
          <w:b w:val="0"/>
          <w:i/>
          <w:color w:val="222222"/>
          <w:sz w:val="22"/>
        </w:rPr>
        <w:t>R, V</w:t>
      </w:r>
      <w:r>
        <w:rPr>
          <w:rFonts w:ascii="Calibri" w:hAnsi="Calibri"/>
          <w:b w:val="0"/>
          <w:i w:val="0"/>
          <w:color w:val="222222"/>
          <w:sz w:val="22"/>
        </w:rPr>
        <w:t>T, V_τ), and each component receives its own correction index:</w:t>
      </w:r>
    </w:p>
    <w:p>
      <w:pPr>
        <w:pStyle w:val="ListBullet"/>
        <w:spacing w:before="40" w:after="80" w:line="276" w:lineRule="auto"/>
      </w:pPr>
      <w:r>
        <w:rPr>
          <w:rFonts w:ascii="Calibri" w:hAnsi="Calibri"/>
          <w:b/>
          <w:i w:val="0"/>
          <w:color w:val="222222"/>
          <w:sz w:val="22"/>
        </w:rPr>
        <w:t>CI_R = |ΔV_R_measured| / |ΔV_R_predicted|:</w:t>
      </w:r>
      <w:r>
        <w:rPr>
          <w:rFonts w:ascii="Calibri" w:hAnsi="Calibri"/>
          <w:b w:val="0"/>
          <w:i w:val="0"/>
          <w:color w:val="222222"/>
          <w:sz w:val="22"/>
        </w:rPr>
        <w:t xml:space="preserve"> The ratio of the measured radial displacement change to the FEM-predicted radial displacement change. A CI_R of 1.0 indicates that the corneal apical displacement matched the model prediction exactly. Values below 1.0 suggest that the cornea was stiffer than modeled (or the ring effect was less than predicted); values above 1.0 suggest greater compliance or ring effect.</w:t>
      </w:r>
    </w:p>
    <w:p>
      <w:pPr>
        <w:pStyle w:val="ListBullet"/>
        <w:spacing w:before="40" w:after="80" w:line="276" w:lineRule="auto"/>
      </w:pPr>
      <w:r>
        <w:rPr>
          <w:rFonts w:ascii="Calibri" w:hAnsi="Calibri"/>
          <w:b/>
          <w:i w:val="0"/>
          <w:color w:val="222222"/>
          <w:sz w:val="22"/>
        </w:rPr>
        <w:t>CI_T = |ΔV_T_measured| / |ΔV_T_predicted|:</w:t>
      </w:r>
      <w:r>
        <w:rPr>
          <w:rFonts w:ascii="Calibri" w:hAnsi="Calibri"/>
          <w:b w:val="0"/>
          <w:i w:val="0"/>
          <w:color w:val="222222"/>
          <w:sz w:val="22"/>
        </w:rPr>
        <w:t xml:space="preserve"> The ratio of the measured tangential stress change to the predicted change. Given the monotonic relationship VT(arc°) = −0.0018 × arc° + 7.79 (R² = 0.94), deviations in CI_T provide direct feedback on whether the arc sweep was biomechanically appropriate.</w:t>
      </w:r>
    </w:p>
    <w:p>
      <w:pPr>
        <w:pStyle w:val="ListBullet"/>
        <w:spacing w:before="40" w:after="80" w:line="276" w:lineRule="auto"/>
      </w:pPr>
      <w:r>
        <w:rPr>
          <w:rFonts w:ascii="Calibri" w:hAnsi="Calibri"/>
          <w:b/>
          <w:i w:val="0"/>
          <w:color w:val="222222"/>
          <w:sz w:val="22"/>
        </w:rPr>
        <w:t>CI_τ = |ΔV_τ_measured| / |ΔV_τ_predicted|:</w:t>
      </w:r>
      <w:r>
        <w:rPr>
          <w:rFonts w:ascii="Calibri" w:hAnsi="Calibri"/>
          <w:b w:val="0"/>
          <w:i w:val="0"/>
          <w:color w:val="222222"/>
          <w:sz w:val="22"/>
        </w:rPr>
        <w:t xml:space="preserve"> The torsional asymmetry correction index. For symmetric ring configurations, the predicted V</w:t>
      </w:r>
      <w:r>
        <w:rPr>
          <w:rFonts w:ascii="Calibri" w:hAnsi="Calibri"/>
          <w:b w:val="0"/>
          <w:i/>
          <w:color w:val="222222"/>
          <w:sz w:val="22"/>
        </w:rPr>
        <w:t>τ is zero, and CI</w:t>
      </w:r>
      <w:r>
        <w:rPr>
          <w:rFonts w:ascii="Calibri" w:hAnsi="Calibri"/>
          <w:b w:val="0"/>
          <w:i w:val="0"/>
          <w:color w:val="222222"/>
          <w:sz w:val="22"/>
        </w:rPr>
        <w:t>τ is replaced by the absolute residual |V</w:t>
      </w:r>
      <w:r>
        <w:rPr>
          <w:rFonts w:ascii="Calibri" w:hAnsi="Calibri"/>
          <w:b w:val="0"/>
          <w:i/>
          <w:color w:val="222222"/>
          <w:sz w:val="22"/>
        </w:rPr>
        <w:t>τ</w:t>
      </w:r>
      <w:r>
        <w:rPr>
          <w:rFonts w:ascii="Calibri" w:hAnsi="Calibri"/>
          <w:b w:val="0"/>
          <w:i w:val="0"/>
          <w:color w:val="222222"/>
          <w:sz w:val="22"/>
        </w:rPr>
        <w:t>measured|, which serves as a quality metric: any nonzero value indicates asymmetric biomechanical loading not accounted for by the symmetric ring model.</w:t>
      </w:r>
    </w:p>
    <w:p>
      <w:pPr>
        <w:pStyle w:val="Heading3"/>
      </w:pPr>
      <w:r/>
      <w:r>
        <w:rPr>
          <w:rFonts w:ascii="Calibri" w:hAnsi="Calibri"/>
          <w:b w:val="0"/>
          <w:i w:val="0"/>
          <w:color w:val="1B365D"/>
          <w:sz w:val="24"/>
        </w:rPr>
        <w:t>3.5.3 The Honest Caveat</w:t>
      </w:r>
    </w:p>
    <w:p>
      <w:r>
        <w:rPr>
          <w:rFonts w:ascii="Calibri" w:hAnsi="Calibri"/>
          <w:b w:val="0"/>
          <w:i w:val="0"/>
          <w:color w:val="222222"/>
          <w:sz w:val="22"/>
        </w:rPr>
        <w:t xml:space="preserve">It is essential to state clearly what this parallel is and what it is not. The correspondence between the Alpins method and the AVBC is </w:t>
      </w:r>
      <w:r>
        <w:rPr>
          <w:rFonts w:ascii="Calibri" w:hAnsi="Calibri"/>
          <w:b w:val="0"/>
          <w:i/>
          <w:color w:val="222222"/>
          <w:sz w:val="22"/>
        </w:rPr>
        <w:t>structural</w:t>
      </w:r>
      <w:r>
        <w:rPr>
          <w:rFonts w:ascii="Calibri" w:hAnsi="Calibri"/>
          <w:b w:val="0"/>
          <w:i w:val="0"/>
          <w:color w:val="222222"/>
          <w:sz w:val="22"/>
        </w:rPr>
        <w:t xml:space="preserve">, not </w:t>
      </w:r>
      <w:r>
        <w:rPr>
          <w:rFonts w:ascii="Calibri" w:hAnsi="Calibri"/>
          <w:b w:val="0"/>
          <w:i/>
          <w:color w:val="222222"/>
          <w:sz w:val="22"/>
        </w:rPr>
        <w:t>algebraic</w:t>
      </w:r>
      <w:r>
        <w:rPr>
          <w:rFonts w:ascii="Calibri" w:hAnsi="Calibri"/>
          <w:b w:val="0"/>
          <w:i w:val="0"/>
          <w:color w:val="222222"/>
          <w:sz w:val="22"/>
        </w:rPr>
        <w:t>. The Alpins DV is computed by literal vector subtraction in a linear space; the AVBC residuals δV</w:t>
      </w:r>
      <w:r>
        <w:rPr>
          <w:rFonts w:ascii="Calibri" w:hAnsi="Calibri"/>
          <w:b w:val="0"/>
          <w:i/>
          <w:color w:val="222222"/>
          <w:sz w:val="22"/>
        </w:rPr>
        <w:t>R, δV</w:t>
      </w:r>
      <w:r>
        <w:rPr>
          <w:rFonts w:ascii="Calibri" w:hAnsi="Calibri"/>
          <w:b w:val="0"/>
          <w:i w:val="0"/>
          <w:color w:val="222222"/>
          <w:sz w:val="22"/>
        </w:rPr>
        <w:t>T, and δV</w:t>
      </w:r>
      <w:r>
        <w:rPr>
          <w:rFonts w:ascii="Calibri" w:hAnsi="Calibri"/>
          <w:b w:val="0"/>
          <w:i/>
          <w:color w:val="222222"/>
          <w:sz w:val="22"/>
        </w:rPr>
        <w:t>τ are computed by comparing predicted and measured fields that arise from a nonlinear constitutive model (HGO parameters: c = 0.05 MPa, k₁ = 0.22 MPa, k₂ = 100, κ = 0.09). The Alpins CI is a ratio of magnitudes in a homogeneous vector space; the AVBC component correction indices are ratios of scalars extracted from mechanically distinct tensor quantities. The structural parallel provides *organizational* coherence—it ensures that the AVBC workflow is familiar, intuitive, and complete—but it does not license algebraic operations (such as computing a "total DV" by summing δV</w:t>
      </w:r>
      <w:r>
        <w:rPr>
          <w:rFonts w:ascii="Calibri" w:hAnsi="Calibri"/>
          <w:b w:val="0"/>
          <w:i w:val="0"/>
          <w:color w:val="222222"/>
          <w:sz w:val="22"/>
        </w:rPr>
        <w:t>R, δV</w:t>
      </w:r>
      <w:r>
        <w:rPr>
          <w:rFonts w:ascii="Calibri" w:hAnsi="Calibri"/>
          <w:b w:val="0"/>
          <w:i/>
          <w:color w:val="222222"/>
          <w:sz w:val="22"/>
        </w:rPr>
        <w:t>T, and δV</w:t>
      </w:r>
      <w:r>
        <w:rPr>
          <w:rFonts w:ascii="Calibri" w:hAnsi="Calibri"/>
          <w:b w:val="0"/>
          <w:i w:val="0"/>
          <w:color w:val="222222"/>
          <w:sz w:val="22"/>
        </w:rPr>
        <w:t>τ) that would be dimensionally inconsistent and physically meaningless.</w:t>
      </w:r>
    </w:p>
    <w:p>
      <w:r>
        <w:rPr>
          <w:rFonts w:ascii="Calibri" w:hAnsi="Calibri"/>
          <w:b w:val="0"/>
          <w:i w:val="0"/>
          <w:color w:val="222222"/>
          <w:sz w:val="22"/>
        </w:rPr>
        <w:t>This distinction is not a weakness but a strength. The Alpins method works precisely because astigmatism admits a simple, complete algebraic description. The AVBC is designed for a problem that does not admit such a description, and its architecture reflects that complexity honestly rather than concealing it behind a false algebraic simplicity.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3.6 From Retrospective to Prospective</w:t>
      </w:r>
    </w:p>
    <w:p>
      <w:r>
        <w:rPr>
          <w:rFonts w:ascii="Calibri" w:hAnsi="Calibri"/>
          <w:b w:val="0"/>
          <w:i w:val="0"/>
          <w:color w:val="222222"/>
          <w:sz w:val="22"/>
        </w:rPr>
        <w:t xml:space="preserve">The Alpins vector analysis has been applied to ICRS outcomes in a handful of retrospective studies. Alió and Shabayek (2006) used the Alpins method to evaluate astigmatic changes following Intacs implantation for keratoconus, computing SIA and CI for the cylindrical component of the refractive outcome. Piñero et al. (2009) extended this approach to Ferrara ring segments, reporting SIA magnitudes and angles of error for corneal and refractive astigmatism. Peña-García et al. (2012) applied Alpins analysis to assess the astigmatic effect of ICRS combined with corneal cross-linking. In each case, the Alpins method was used </w:t>
      </w:r>
      <w:r>
        <w:rPr>
          <w:rFonts w:ascii="Calibri" w:hAnsi="Calibri"/>
          <w:b w:val="0"/>
          <w:i/>
          <w:color w:val="222222"/>
          <w:sz w:val="22"/>
        </w:rPr>
        <w:t>retrospectively</w:t>
      </w:r>
      <w:r>
        <w:rPr>
          <w:rFonts w:ascii="Calibri" w:hAnsi="Calibri"/>
          <w:b w:val="0"/>
          <w:i w:val="0"/>
          <w:color w:val="222222"/>
          <w:sz w:val="22"/>
        </w:rPr>
        <w:t>: the analysis was performed after the surgery to evaluate what had happened, not before the surgery to plan what should happen.</w:t>
      </w:r>
    </w:p>
    <w:p>
      <w:r>
        <w:rPr>
          <w:rFonts w:ascii="Calibri" w:hAnsi="Calibri"/>
          <w:b w:val="0"/>
          <w:i w:val="0"/>
          <w:color w:val="222222"/>
          <w:sz w:val="22"/>
        </w:rPr>
        <w:t>This retrospective limitation is not an inherent deficiency of the Alpins method; it reflects the fact that astigmatism surgery planning already has well-established prospective tools (nomograms, ray-tracing, toric IOL calculators) that incorporate the Alpins framework implicitly. For ICRS, by contrast, no prospective biomechanical planning tool exists. The surgeon selects the ring type, arc sweep, and implantation depth based on empirical nomograms (e.g., the Ferrara nomogram, the Keraring guidelines) that map topographic parameters to ring specifications without an explicit biomechanical model of the corneal response.</w:t>
      </w:r>
    </w:p>
    <w:p>
      <w:r>
        <w:rPr>
          <w:rFonts w:ascii="Calibri" w:hAnsi="Calibri"/>
          <w:b w:val="0"/>
          <w:i w:val="0"/>
          <w:color w:val="222222"/>
          <w:sz w:val="22"/>
        </w:rPr>
        <w:t xml:space="preserve">The AVBC is designed to fill this gap. By coupling finite element simulation with the planned-vs.-induced framework inherited from Alpins, the AVBC enables </w:t>
      </w:r>
      <w:r>
        <w:rPr>
          <w:rFonts w:ascii="Calibri" w:hAnsi="Calibri"/>
          <w:b w:val="0"/>
          <w:i/>
          <w:color w:val="222222"/>
          <w:sz w:val="22"/>
        </w:rPr>
        <w:t>prospective</w:t>
      </w:r>
      <w:r>
        <w:rPr>
          <w:rFonts w:ascii="Calibri" w:hAnsi="Calibri"/>
          <w:b w:val="0"/>
          <w:i w:val="0"/>
          <w:color w:val="222222"/>
          <w:sz w:val="22"/>
        </w:rPr>
        <w:t xml:space="preserve"> biomechanical planning: the FEM generates a predicted corneal state for a given ring configuration, the surgery is performed, the postoperative state is measured, and the component correction indices quantify the accuracy of the prediction. Over time, systematic patterns in the correction indices—consistent underprediction of radial displacement in thin corneas (|Δu_z| = 34.1 μm for pachymetry &lt; 430 μm vs. 28.5 μm for pachymetry &gt; 500 μm), for example—can be fed back into the model to calibrate patient-specific material parameters. This iterative calibration loop—prediction, measurement, comparison, model update—is the biomechanical analogue of the nomogram refinement cycle that the Alpins method enabled for astigmatism surgery, and it represents the transition from empirical to model-based ICRS planning.</w:t>
      </w:r>
    </w:p>
    <w:p>
      <w:r>
        <w:rPr>
          <w:rFonts w:ascii="Calibri" w:hAnsi="Calibri"/>
          <w:b w:val="0"/>
          <w:i w:val="0"/>
          <w:color w:val="222222"/>
          <w:sz w:val="22"/>
        </w:rPr>
        <w:t>The critical enabler of this transition is the FEM simulation database. The 28 symmetric-ring simulations described in Chapter 2, spanning arc sweeps from 90° to 360° and yielding V</w:t>
      </w:r>
      <w:r>
        <w:rPr>
          <w:rFonts w:ascii="Calibri" w:hAnsi="Calibri"/>
          <w:b w:val="0"/>
          <w:i/>
          <w:color w:val="222222"/>
          <w:sz w:val="22"/>
        </w:rPr>
        <w:t>R values of 19.2–19.9 μm for partial arcs and 125.9 μm for full-ring ICRS, tangential stress values from 7.20 to 7.78 kPa, and validated torsional symmetry (V</w:t>
      </w:r>
      <w:r>
        <w:rPr>
          <w:rFonts w:ascii="Calibri" w:hAnsi="Calibri"/>
          <w:b w:val="0"/>
          <w:i w:val="0"/>
          <w:color w:val="222222"/>
          <w:sz w:val="22"/>
        </w:rPr>
        <w:t>τ = 0 for all symmetric configurations), provide the initial "nomogram" against which postoperative outcomes can be compared. As the clinical database grows, the correction indices will converge toward 1.0—not because the surgeon's technique improves (as in astigmatism surgery) but because the model's fidelity improves through patient-specific calibration.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3.7 Summary</w:t>
      </w:r>
    </w:p>
    <w:p>
      <w:r>
        <w:rPr>
          <w:rFonts w:ascii="Calibri" w:hAnsi="Calibri"/>
          <w:b w:val="0"/>
          <w:i w:val="0"/>
          <w:color w:val="222222"/>
          <w:sz w:val="22"/>
        </w:rPr>
        <w:t xml:space="preserve">The Alpins vector analysis transformed astigmatism surgery from an empirical art into a measurable science by providing a universal, objective, and actionable framework for characterizing surgical outcomes. Its success rested on four pillars: universality of application, objectivity of computation, comparability across studies, and closure of the surgical feedback loop. The AVBC inherits this structural architecture—the planned-vs.-induced paradigm, the correction index concept, the standardized nomenclature, and the feedback loop design—while replacing the two-dimensional astigmatic algebra with a multidimensional biomechanical formalism appropriate to ICRS planning. The correspondence between the two systems is structural, not algebraic: the AVBC respects the nonlinear, heterogeneous, and tensorial nature of corneal biomechanics rather than reducing it to a scalar or planar vector quantity. The critical advance of the AVBC over retrospective Alpins analyses of ICRS outcomes is the introduction of </w:t>
      </w:r>
      <w:r>
        <w:rPr>
          <w:rFonts w:ascii="Calibri" w:hAnsi="Calibri"/>
          <w:b w:val="0"/>
          <w:i/>
          <w:color w:val="222222"/>
          <w:sz w:val="22"/>
        </w:rPr>
        <w:t>prospective</w:t>
      </w:r>
      <w:r>
        <w:rPr>
          <w:rFonts w:ascii="Calibri" w:hAnsi="Calibri"/>
          <w:b w:val="0"/>
          <w:i w:val="0"/>
          <w:color w:val="222222"/>
          <w:sz w:val="22"/>
        </w:rPr>
        <w:t xml:space="preserve"> biomechanical planning, enabled by finite element simulation and closed-loop model calibration through component-specific correction indices. This chapter has established the conceptual genealogy of the AVBC; subsequent chapters will develop its mathematical formalism and validate it against clinical data.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of astigmatism to compare the effects of refractive surgery. </w:t>
      </w:r>
      <w:r>
        <w:rPr>
          <w:rFonts w:ascii="Calibri" w:hAnsi="Calibri"/>
          <w:b w:val="0"/>
          <w:i/>
          <w:color w:val="222222"/>
          <w:sz w:val="22"/>
        </w:rPr>
        <w:t>Journal of Cataract and Refractive Surgery</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Journal of Cataract and Refractive Surgery</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Alpins NA, Goggin M. Practical astigmatism analysis for refractive outcomes in cataract and refractive surgery. </w:t>
      </w:r>
      <w:r>
        <w:rPr>
          <w:rFonts w:ascii="Calibri" w:hAnsi="Calibri"/>
          <w:b w:val="0"/>
          <w:i/>
          <w:color w:val="222222"/>
          <w:sz w:val="22"/>
        </w:rPr>
        <w:t>Survey of Ophthalmology</w:t>
      </w:r>
      <w:r>
        <w:rPr>
          <w:rFonts w:ascii="Calibri" w:hAnsi="Calibri"/>
          <w:b w:val="0"/>
          <w:i w:val="0"/>
          <w:color w:val="222222"/>
          <w:sz w:val="22"/>
        </w:rPr>
        <w:t>. 2004;49(1):109–122.</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Journal of Cataract and Refractive Surgery</w:t>
      </w:r>
      <w:r>
        <w:rPr>
          <w:rFonts w:ascii="Calibri" w:hAnsi="Calibri"/>
          <w:b w:val="0"/>
          <w:i w:val="0"/>
          <w:color w:val="222222"/>
          <w:sz w:val="22"/>
        </w:rPr>
        <w:t>. 2014;40(3):333–338.</w:t>
      </w:r>
    </w:p>
    <w:p>
      <w:pPr>
        <w:pStyle w:val="ListNumber"/>
        <w:spacing w:before="40" w:after="80" w:line="276" w:lineRule="auto"/>
      </w:pPr>
      <w:r>
        <w:rPr>
          <w:rFonts w:ascii="Calibri" w:hAnsi="Calibri"/>
          <w:b w:val="0"/>
          <w:i w:val="0"/>
          <w:color w:val="222222"/>
          <w:sz w:val="22"/>
        </w:rPr>
        <w:t xml:space="preserve">Koch DD. Reporting astigmatism data. </w:t>
      </w:r>
      <w:r>
        <w:rPr>
          <w:rFonts w:ascii="Calibri" w:hAnsi="Calibri"/>
          <w:b w:val="0"/>
          <w:i/>
          <w:color w:val="222222"/>
          <w:sz w:val="22"/>
        </w:rPr>
        <w:t>Journal of Cataract and Refractive Surgery</w:t>
      </w:r>
      <w:r>
        <w:rPr>
          <w:rFonts w:ascii="Calibri" w:hAnsi="Calibri"/>
          <w:b w:val="0"/>
          <w:i w:val="0"/>
          <w:color w:val="222222"/>
          <w:sz w:val="22"/>
        </w:rPr>
        <w:t>. 1997;23(10):1441–1442.</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Journal of the Mechanical Behavior of Biomedical Materials</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Naeser K. Conversion of keratometer readings to polar values. </w:t>
      </w:r>
      <w:r>
        <w:rPr>
          <w:rFonts w:ascii="Calibri" w:hAnsi="Calibri"/>
          <w:b w:val="0"/>
          <w:i/>
          <w:color w:val="222222"/>
          <w:sz w:val="22"/>
        </w:rPr>
        <w:t>Journal of Cataract and Refractive Surgery</w:t>
      </w:r>
      <w:r>
        <w:rPr>
          <w:rFonts w:ascii="Calibri" w:hAnsi="Calibri"/>
          <w:b w:val="0"/>
          <w:i w:val="0"/>
          <w:color w:val="222222"/>
          <w:sz w:val="22"/>
        </w:rPr>
        <w:t>. 1990;16(6):741–745.</w:t>
      </w:r>
    </w:p>
    <w:p>
      <w:pPr>
        <w:pStyle w:val="ListNumber"/>
        <w:spacing w:before="40" w:after="80" w:line="276" w:lineRule="auto"/>
      </w:pPr>
      <w:r>
        <w:rPr>
          <w:rFonts w:ascii="Calibri" w:hAnsi="Calibri"/>
          <w:b w:val="0"/>
          <w:i w:val="0"/>
          <w:color w:val="222222"/>
          <w:sz w:val="22"/>
        </w:rPr>
        <w:t xml:space="preserve">Peña-García P, Alió JL, Vega-Estrada A, Barraquer RI. Internal, corneal, and refractive astigmatism as prognostic factors for intrastromal corneal ring segment implantation in mild to moderate keratoconus. </w:t>
      </w:r>
      <w:r>
        <w:rPr>
          <w:rFonts w:ascii="Calibri" w:hAnsi="Calibri"/>
          <w:b w:val="0"/>
          <w:i/>
          <w:color w:val="222222"/>
          <w:sz w:val="22"/>
        </w:rPr>
        <w:t>Journal of Cataract and Refractive Surgery</w:t>
      </w:r>
      <w:r>
        <w:rPr>
          <w:rFonts w:ascii="Calibri" w:hAnsi="Calibri"/>
          <w:b w:val="0"/>
          <w:i w:val="0"/>
          <w:color w:val="222222"/>
          <w:sz w:val="22"/>
        </w:rPr>
        <w:t>. 2014;40(10):1633–1644.</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2009;28(7):747–752.</w:t>
      </w:r>
    </w:p>
    <w:p>
      <w:pPr>
        <w:pStyle w:val="ListNumber"/>
        <w:spacing w:before="40" w:after="80" w:line="276" w:lineRule="auto"/>
      </w:pPr>
      <w:r>
        <w:rPr>
          <w:rFonts w:ascii="Calibri" w:hAnsi="Calibri"/>
          <w:b w:val="0"/>
          <w:i w:val="0"/>
          <w:color w:val="222222"/>
          <w:sz w:val="22"/>
        </w:rPr>
        <w:t xml:space="preserve">Piñero DP. Technologies for anatomical and geometric characterization of the corneal structure and anterior segment: a review. </w:t>
      </w:r>
      <w:r>
        <w:rPr>
          <w:rFonts w:ascii="Calibri" w:hAnsi="Calibri"/>
          <w:b w:val="0"/>
          <w:i/>
          <w:color w:val="222222"/>
          <w:sz w:val="22"/>
        </w:rPr>
        <w:t>Clinical and Experimental Optometry</w:t>
      </w:r>
      <w:r>
        <w:rPr>
          <w:rFonts w:ascii="Calibri" w:hAnsi="Calibri"/>
          <w:b w:val="0"/>
          <w:i w:val="0"/>
          <w:color w:val="222222"/>
          <w:sz w:val="22"/>
        </w:rPr>
        <w:t>. 2014;97(1):5–18.</w:t>
      </w:r>
    </w:p>
    <w:p>
      <w:pPr>
        <w:pStyle w:val="ListNumber"/>
        <w:spacing w:before="40" w:after="80" w:line="276" w:lineRule="auto"/>
      </w:pPr>
      <w:r>
        <w:rPr>
          <w:rFonts w:ascii="Calibri" w:hAnsi="Calibri"/>
          <w:b w:val="0"/>
          <w:i w:val="0"/>
          <w:color w:val="222222"/>
          <w:sz w:val="22"/>
        </w:rPr>
        <w:t xml:space="preserve">Reinstein DZ, Archer TJ, Randleman JB. JRS standard for reporting astigmatism outcomes of refractive surgery. </w:t>
      </w:r>
      <w:r>
        <w:rPr>
          <w:rFonts w:ascii="Calibri" w:hAnsi="Calibri"/>
          <w:b w:val="0"/>
          <w:i/>
          <w:color w:val="222222"/>
          <w:sz w:val="22"/>
        </w:rPr>
        <w:t>Journal of Refractive Surgery</w:t>
      </w:r>
      <w:r>
        <w:rPr>
          <w:rFonts w:ascii="Calibri" w:hAnsi="Calibri"/>
          <w:b w:val="0"/>
          <w:i w:val="0"/>
          <w:color w:val="222222"/>
          <w:sz w:val="22"/>
        </w:rPr>
        <w:t>. 2014;30(11):734–736.</w:t>
      </w:r>
    </w:p>
    <w:p>
      <w:pPr>
        <w:pStyle w:val="ListNumber"/>
        <w:spacing w:before="40" w:after="80" w:line="276" w:lineRule="auto"/>
      </w:pPr>
      <w:r>
        <w:rPr>
          <w:rFonts w:ascii="Calibri" w:hAnsi="Calibri"/>
          <w:b w:val="0"/>
          <w:i w:val="0"/>
          <w:color w:val="222222"/>
          <w:sz w:val="22"/>
        </w:rPr>
        <w:t xml:space="preserve">Thibos LN, Wheeler W, Horner D. Power vectors: an application of Fourier analysis to the description and statistical analysis of refractive error. </w:t>
      </w:r>
      <w:r>
        <w:rPr>
          <w:rFonts w:ascii="Calibri" w:hAnsi="Calibri"/>
          <w:b w:val="0"/>
          <w:i/>
          <w:color w:val="222222"/>
          <w:sz w:val="22"/>
        </w:rPr>
        <w:t>Optometry and Vision Science</w:t>
      </w:r>
      <w:r>
        <w:rPr>
          <w:rFonts w:ascii="Calibri" w:hAnsi="Calibri"/>
          <w:b w:val="0"/>
          <w:i w:val="0"/>
          <w:color w:val="222222"/>
          <w:sz w:val="22"/>
        </w:rPr>
        <w:t>. 1997;74(6):367–375.</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Journal of Cataract and Refractive Surgery</w:t>
      </w:r>
      <w:r>
        <w:rPr>
          <w:rFonts w:ascii="Calibri" w:hAnsi="Calibri"/>
          <w:b w:val="0"/>
          <w:i w:val="0"/>
          <w:color w:val="222222"/>
          <w:sz w:val="22"/>
        </w:rPr>
        <w:t>. 2013;39(8):1234–1240.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