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10 — Computational Validation: Finite Element Extraction of V</w:t>
      </w:r>
      <w:r>
        <w:rPr>
          <w:rFonts w:ascii="Calibri" w:hAnsi="Calibri"/>
          <w:b w:val="0"/>
          <w:i/>
          <w:color w:val="1B365D"/>
          <w:sz w:val="36"/>
        </w:rPr>
        <w:t>R, V</w:t>
      </w:r>
      <w:r>
        <w:rPr>
          <w:rFonts w:ascii="Calibri" w:hAnsi="Calibri"/>
          <w:b w:val="0"/>
          <w:i w:val="0"/>
          <w:color w:val="1B365D"/>
          <w:sz w:val="36"/>
        </w:rPr>
        <w:t>T, and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Introduction</w:t>
      </w:r>
    </w:p>
    <w:p>
      <w:r>
        <w:rPr>
          <w:rFonts w:ascii="Calibri" w:hAnsi="Calibri"/>
          <w:b w:val="0"/>
          <w:i w:val="0"/>
          <w:color w:val="222222"/>
          <w:sz w:val="22"/>
        </w:rPr>
        <w:t>The preceding three chapters defined the biomechanical vectors V</w:t>
      </w:r>
      <w:r>
        <w:rPr>
          <w:rFonts w:ascii="Calibri" w:hAnsi="Calibri"/>
          <w:b w:val="0"/>
          <w:i/>
          <w:color w:val="222222"/>
          <w:sz w:val="22"/>
        </w:rPr>
        <w:t>R, V</w:t>
      </w:r>
      <w:r>
        <w:rPr>
          <w:rFonts w:ascii="Calibri" w:hAnsi="Calibri"/>
          <w:b w:val="0"/>
          <w:i w:val="0"/>
          <w:color w:val="222222"/>
          <w:sz w:val="22"/>
        </w:rPr>
        <w:t>T, and V_τ through formal mathematical expressions and presented their finite element evidence in the context of clinical interpretation. This chapter reverses the perspective: it presents the complete computational methodology by which those vectors were extracted, from constitutive model through mesh generation to data post-processing. The emphasis is on reproducibility, traceability, and the precise correspondence between the physical quantities computed by the solver and the clinical metrics used in the AVBC classification.</w:t>
      </w:r>
    </w:p>
    <w:p>
      <w:r>
        <w:rPr>
          <w:rFonts w:ascii="Calibri" w:hAnsi="Calibri"/>
          <w:b w:val="0"/>
          <w:i w:val="0"/>
          <w:color w:val="222222"/>
          <w:sz w:val="22"/>
        </w:rPr>
        <w:t>A computational validation chapter of this nature serves a dual purpose in an Elsevier monograph. For the biomechanical researcher, it provides sufficient methodological detail to reproduce the simulations independently — a requirement that distinguishes a validated framework from a speculative one. For the clinical reader, it provides the assurance that every number cited in the clinical chapters can be traced backward through an unbroken chain of computations to a specific set of material parameters, boundary conditions, and solver outputs.</w:t>
      </w:r>
    </w:p>
    <w:p>
      <w:r>
        <w:rPr>
          <w:rFonts w:ascii="Calibri" w:hAnsi="Calibri"/>
          <w:b w:val="0"/>
          <w:i w:val="0"/>
          <w:color w:val="222222"/>
          <w:sz w:val="22"/>
        </w:rPr>
        <w:t>The finite element platform employed throughout this work is FEBio 4.12 (Musculoskeletal Research Laboratories, University of Utah), an open-source nonlinear finite element solver purpose-built for biomechanical applications (Maas et al., 2012). FEBio's native support for the Holzapfel–Gasser–Ogden (HGO) anisotropic hyperelastic constitutive model, follower pressure loading, and large-deformation contact mechanics makes it uniquely suited to the problem of corneal ICRS simulation.</w:t>
      </w:r>
    </w:p>
    <w:p>
      <w:r>
        <w:rPr>
          <w:rFonts w:ascii="Calibri" w:hAnsi="Calibri"/>
          <w:b w:val="0"/>
          <w:i w:val="0"/>
          <w:color w:val="222222"/>
          <w:sz w:val="22"/>
        </w:rPr>
        <w:t>The chapter is organized as follows. Section 10.2 describes the constitutive model and mesh topology. Section 10.3 catalogs the complete simulation campaign. Section 10.4 details the vector extraction pipeline. Section 10.5 presents the consolidated results. Section 10.6 addresses the Vτ validation status. Section 10.7 establishes the traceability chain, and Section 10.8 discusses the limitations.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Constitutive Model and Mesh</w:t>
      </w:r>
    </w:p>
    <w:p>
      <w:pPr>
        <w:pStyle w:val="Heading3"/>
      </w:pPr>
      <w:r/>
      <w:r>
        <w:rPr>
          <w:rFonts w:ascii="Calibri" w:hAnsi="Calibri"/>
          <w:b w:val="0"/>
          <w:i w:val="0"/>
          <w:color w:val="1B365D"/>
          <w:sz w:val="24"/>
        </w:rPr>
        <w:t>10.2.1 The Holzapfel–Gasser–Ogden Model</w:t>
      </w:r>
    </w:p>
    <w:p>
      <w:r>
        <w:rPr>
          <w:rFonts w:ascii="Calibri" w:hAnsi="Calibri"/>
          <w:b w:val="0"/>
          <w:i w:val="0"/>
          <w:color w:val="222222"/>
          <w:sz w:val="22"/>
        </w:rPr>
        <w:t>The corneal stroma is a fiber-reinforced composite material in which collagen fibrils — arranged predominantly in the circumferential and radial directions — are embedded in a proteoglycan-rich ground substance matrix. The macroscopic mechanical response of such a material is anisotropic, hyperelastic, and nearly incompressible, and it cannot be captured by isotropic models such as the neo-Hookean or Mooney–Rivlin formulations that dominated early corneal biomechanics literature.</w:t>
      </w:r>
    </w:p>
    <w:p>
      <w:r>
        <w:rPr>
          <w:rFonts w:ascii="Calibri" w:hAnsi="Calibri"/>
          <w:b w:val="0"/>
          <w:i w:val="0"/>
          <w:color w:val="222222"/>
          <w:sz w:val="22"/>
        </w:rPr>
        <w:t>The Holzapfel–Gasser–Ogden (HGO) strain energy function was originally developed for arterial wall mechanics (Holzapfel et al., 2000) and subsequently adapted to corneal tissue by several groups (Pandolfi and Manganiello, 2006; Nguyen et al., 2018). It decomposes the strain energy into an isotropic matrix contribution and an anisotropic fiber contribution:</w:t>
      </w:r>
    </w:p>
    <w:p>
      <w:r>
        <w:rPr>
          <w:rFonts w:ascii="Calibri" w:hAnsi="Calibri"/>
          <w:b w:val="0"/>
          <w:i w:val="0"/>
          <w:color w:val="222222"/>
          <w:sz w:val="22"/>
        </w:rPr>
        <w:t>Ψ = c(Ī₁ − 3) + (k₁ / 2k₂) Σᵢ { exp[k₂⟨κ(Ī₁ − 3) + (1 − 3κ)(Ī₄ᵢ − 1)⟩²] − 1 }</w:t>
      </w:r>
    </w:p>
    <w:p>
      <w:r>
        <w:rPr>
          <w:rFonts w:ascii="Calibri" w:hAnsi="Calibri"/>
          <w:b w:val="0"/>
          <w:i w:val="0"/>
          <w:color w:val="222222"/>
          <w:sz w:val="22"/>
        </w:rPr>
        <w:t>where the Macaulay brackets ⟨·⟩ enforce the constraint that fibers contribute to strain energy only under tension. The five material parameters and their adopted values are: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Symbol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proteoglycan ground substance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k₁</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Collagen fibril elastic modulus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k₂</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Exponential stiffening under stretch</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κ</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Angular spread of fibril orientations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Near-incompressibility constraint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Derived</w:t>
            </w:r>
          </w:p>
        </w:tc>
      </w:tr>
    </w:tbl>
    <w:p>
      <w:pPr>
        <w:spacing w:before="120" w:after="120"/>
      </w:pPr>
    </w:p>
    <w:p>
      <w:r>
        <w:rPr>
          <w:rFonts w:ascii="Calibri" w:hAnsi="Calibri"/>
          <w:b w:val="0"/>
          <w:i w:val="0"/>
          <w:color w:val="222222"/>
          <w:sz w:val="22"/>
        </w:rPr>
        <w:t>The value κ = 0.09 indicates a moderately aligned fiber distribution: κ = 0 corresponds to perfectly aligned fibers, while κ = 1/3 corresponds to a fully isotropic distribution. The adopted value is consistent with X-ray scattering measurements of the human corneal stroma (Meek and Knupp, 2015), which demonstrate a preferential circumferential fiber alignment in the central cornea with increasing isotropy toward the limbus.</w:t>
      </w:r>
    </w:p>
    <w:p>
      <w:pPr>
        <w:pStyle w:val="Heading3"/>
      </w:pPr>
      <w:r/>
      <w:r>
        <w:rPr>
          <w:rFonts w:ascii="Calibri" w:hAnsi="Calibri"/>
          <w:b w:val="0"/>
          <w:i w:val="0"/>
          <w:color w:val="1B365D"/>
          <w:sz w:val="24"/>
        </w:rPr>
        <w:t>10.2.2 Mesh Topology</w:t>
      </w:r>
    </w:p>
    <w:p>
      <w:r>
        <w:rPr>
          <w:rFonts w:ascii="Calibri" w:hAnsi="Calibri"/>
          <w:b w:val="0"/>
          <w:i w:val="0"/>
          <w:color w:val="222222"/>
          <w:sz w:val="22"/>
        </w:rPr>
        <w:t>The corneal geometry is discretized as a spherical shell using a structured mesh generator that creates nodes on concentric rings. The mesh topology is parameterized by three integers: N</w:t>
      </w:r>
      <w:r>
        <w:rPr>
          <w:rFonts w:ascii="Calibri" w:hAnsi="Calibri"/>
          <w:b w:val="0"/>
          <w:i/>
          <w:color w:val="222222"/>
          <w:sz w:val="22"/>
        </w:rPr>
        <w:t>RING (the number of concentric radial rings), N</w:t>
      </w:r>
      <w:r>
        <w:rPr>
          <w:rFonts w:ascii="Calibri" w:hAnsi="Calibri"/>
          <w:b w:val="0"/>
          <w:i w:val="0"/>
          <w:color w:val="222222"/>
          <w:sz w:val="22"/>
        </w:rPr>
        <w:t>SEC (the number of angular sectors per ring), and N_Z (the number of through-thickness layers).</w:t>
      </w:r>
    </w:p>
    <w:p>
      <w:r>
        <w:rPr>
          <w:rFonts w:ascii="Calibri" w:hAnsi="Calibri"/>
          <w:b w:val="0"/>
          <w:i w:val="0"/>
          <w:color w:val="222222"/>
          <w:sz w:val="22"/>
        </w:rPr>
        <w:t>Two mesh configurations were employed throughout the simulation campaign:</w:t>
      </w:r>
    </w:p>
    <w:p>
      <w:r>
        <w:rPr>
          <w:rFonts w:ascii="Calibri" w:hAnsi="Calibri"/>
          <w:b/>
          <w:i w:val="0"/>
          <w:color w:val="222222"/>
          <w:sz w:val="22"/>
        </w:rPr>
        <w:t>Two-layer model (arc-sweep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 (anterior + posterior)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i w:val="0"/>
          <w:color w:val="222222"/>
          <w:sz w:val="22"/>
        </w:rPr>
        <w:t>Multilayer model (patient-specific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(10 through-thickness divisions)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5,291</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val="0"/>
          <w:i w:val="0"/>
          <w:color w:val="222222"/>
          <w:sz w:val="22"/>
        </w:rPr>
        <w:t>The apex of the cornea is meshed with pentahedral (Penta6) elements to avoid the topological singularity inherent in hexahedral meshes at a pole; all remaining elements are hexahedral (Hex8). The ICRS implant is positioned at ring 14, corresponding to a radial distance of approximately 4.2 mm from the corneal apex, consistent with the standard Ferrara protocol implantation zone.</w:t>
      </w:r>
    </w:p>
    <w:p>
      <w:pPr>
        <w:pStyle w:val="Heading3"/>
      </w:pPr>
      <w:r/>
      <w:r>
        <w:rPr>
          <w:rFonts w:ascii="Calibri" w:hAnsi="Calibri"/>
          <w:b w:val="0"/>
          <w:i w:val="0"/>
          <w:color w:val="1B365D"/>
          <w:sz w:val="24"/>
        </w:rPr>
        <w:t>10.2.3 Fiber Architecture</w:t>
      </w:r>
    </w:p>
    <w:p>
      <w:r>
        <w:rPr>
          <w:rFonts w:ascii="Calibri" w:hAnsi="Calibri"/>
          <w:b w:val="0"/>
          <w:i w:val="0"/>
          <w:color w:val="222222"/>
          <w:sz w:val="22"/>
        </w:rPr>
        <w:t>The material axes of the HGO model must be specified at each element to define the local fiber directions. These axes are computed vectorially from the mesh geometry:</w:t>
      </w:r>
    </w:p>
    <w:p>
      <w:pPr>
        <w:pStyle w:val="ListBullet"/>
        <w:spacing w:before="40" w:after="80" w:line="276" w:lineRule="auto"/>
      </w:pPr>
      <w:r>
        <w:rPr>
          <w:rFonts w:ascii="Calibri" w:hAnsi="Calibri"/>
          <w:b/>
          <w:i w:val="0"/>
          <w:color w:val="222222"/>
          <w:sz w:val="22"/>
        </w:rPr>
        <w:t>Radial direction (a):</w:t>
      </w:r>
      <w:r>
        <w:rPr>
          <w:rFonts w:ascii="Calibri" w:hAnsi="Calibri"/>
          <w:b w:val="0"/>
          <w:i w:val="0"/>
          <w:color w:val="222222"/>
          <w:sz w:val="22"/>
        </w:rPr>
        <w:t xml:space="preserve"> The meridional tangent vector, pointing outward from the corneal apex along the surface of the shell. Computed as the normalized vector from the apex to the centroid of each element, projected onto the tangent plane.</w:t>
      </w:r>
    </w:p>
    <w:p>
      <w:pPr>
        <w:pStyle w:val="ListBullet"/>
        <w:spacing w:before="40" w:after="80" w:line="276" w:lineRule="auto"/>
      </w:pPr>
      <w:r>
        <w:rPr>
          <w:rFonts w:ascii="Calibri" w:hAnsi="Calibri"/>
          <w:b/>
          <w:i w:val="0"/>
          <w:color w:val="222222"/>
          <w:sz w:val="22"/>
        </w:rPr>
        <w:t>Tangential direction (d):</w:t>
      </w:r>
      <w:r>
        <w:rPr>
          <w:rFonts w:ascii="Calibri" w:hAnsi="Calibri"/>
          <w:b w:val="0"/>
          <w:i w:val="0"/>
          <w:color w:val="222222"/>
          <w:sz w:val="22"/>
        </w:rPr>
        <w:t xml:space="preserve"> The circumferential direction, computed as d = (−y, x, 0) / |(−y, x, 0)|, where (x, y) are the in-plane coordinates of the element centroid.</w:t>
      </w:r>
    </w:p>
    <w:p>
      <w:pPr>
        <w:pStyle w:val="ListBullet"/>
        <w:spacing w:before="40" w:after="80" w:line="276" w:lineRule="auto"/>
      </w:pPr>
      <w:r>
        <w:rPr>
          <w:rFonts w:ascii="Calibri" w:hAnsi="Calibri"/>
          <w:b/>
          <w:i w:val="0"/>
          <w:color w:val="222222"/>
          <w:sz w:val="22"/>
        </w:rPr>
        <w:t>Normal direction (c):</w:t>
      </w:r>
      <w:r>
        <w:rPr>
          <w:rFonts w:ascii="Calibri" w:hAnsi="Calibri"/>
          <w:b w:val="0"/>
          <w:i w:val="0"/>
          <w:color w:val="222222"/>
          <w:sz w:val="22"/>
        </w:rPr>
        <w:t xml:space="preserve"> The surface normal, computed as c = a × d.</w:t>
      </w:r>
    </w:p>
    <w:p>
      <w:r>
        <w:rPr>
          <w:rFonts w:ascii="Calibri" w:hAnsi="Calibri"/>
          <w:b w:val="0"/>
          <w:i w:val="0"/>
          <w:color w:val="222222"/>
          <w:sz w:val="22"/>
        </w:rPr>
        <w:t>This material axis definition ensures that the HGO model correctly captures the known collagen fiber architecture of the human corneal stroma: predominantly circumferential in the central cornea, with the fiber dispersion parameter κ allowing a degree of meridional alignment that increases toward the limbus.</w:t>
      </w:r>
    </w:p>
    <w:p>
      <w:pPr>
        <w:pStyle w:val="Heading3"/>
      </w:pPr>
      <w:r/>
      <w:r>
        <w:rPr>
          <w:rFonts w:ascii="Calibri" w:hAnsi="Calibri"/>
          <w:b w:val="0"/>
          <w:i w:val="0"/>
          <w:color w:val="1B365D"/>
          <w:sz w:val="24"/>
        </w:rPr>
        <w:t>10.2.4 Boundary Conditions</w:t>
      </w:r>
    </w:p>
    <w:p>
      <w:r>
        <w:rPr>
          <w:rFonts w:ascii="Calibri" w:hAnsi="Calibri"/>
          <w:b w:val="0"/>
          <w:i w:val="0"/>
          <w:color w:val="222222"/>
          <w:sz w:val="22"/>
        </w:rPr>
        <w:t>Two types of boundary conditions are applied:</w:t>
      </w:r>
    </w:p>
    <w:p>
      <w:r>
        <w:rPr>
          <w:rFonts w:ascii="Calibri" w:hAnsi="Calibri"/>
          <w:b/>
          <w:i w:val="0"/>
          <w:color w:val="222222"/>
          <w:sz w:val="22"/>
        </w:rPr>
        <w:t>Limbal fixity:</w:t>
      </w:r>
      <w:r>
        <w:rPr>
          <w:rFonts w:ascii="Calibri" w:hAnsi="Calibri"/>
          <w:b w:val="0"/>
          <w:i w:val="0"/>
          <w:color w:val="222222"/>
          <w:sz w:val="22"/>
        </w:rPr>
        <w:t xml:space="preserve"> All nodes on the outermost ring (ring N_RING) are fully constrained in all six degrees of freedom, simulating the limbal insertion of the cornea into the scleral annulus. This is a simplification — the sclera is in reality a deformable structure — but it is standard in corneal FEM studies and introduces negligible error for the central corneal displacements of interest.</w:t>
      </w:r>
    </w:p>
    <w:p>
      <w:r>
        <w:rPr>
          <w:rFonts w:ascii="Calibri" w:hAnsi="Calibri"/>
          <w:b/>
          <w:i w:val="0"/>
          <w:color w:val="222222"/>
          <w:sz w:val="22"/>
        </w:rPr>
        <w:t>Intraocular pressure:</w:t>
      </w:r>
      <w:r>
        <w:rPr>
          <w:rFonts w:ascii="Calibri" w:hAnsi="Calibri"/>
          <w:b w:val="0"/>
          <w:i w:val="0"/>
          <w:color w:val="222222"/>
          <w:sz w:val="22"/>
        </w:rPr>
        <w:t xml:space="preserve"> A follower pressure of 15 mmHg (2.0 kPa) is applied to the posterior (endothelial) surface of the cornea. The follower pressure formulation ensures that the pressure vector remains normal to the deformed surface throughout the nonlinear solution, correctly capturing the hydrostatic loading of the aqueous humor.</w:t>
      </w:r>
    </w:p>
    <w:p>
      <w:r>
        <w:rPr>
          <w:rFonts w:ascii="Calibri" w:hAnsi="Calibri"/>
          <w:b/>
          <w:i w:val="0"/>
          <w:color w:val="222222"/>
          <w:sz w:val="22"/>
        </w:rPr>
        <w:t>ICRS constraint:</w:t>
      </w:r>
      <w:r>
        <w:rPr>
          <w:rFonts w:ascii="Calibri" w:hAnsi="Calibri"/>
          <w:b w:val="0"/>
          <w:i w:val="0"/>
          <w:color w:val="222222"/>
          <w:sz w:val="22"/>
        </w:rPr>
        <w:t xml:space="preserve"> The ring segment is modeled as a rigid constraint by fixing the x and y displacements (u</w:t>
      </w:r>
      <w:r>
        <w:rPr>
          <w:rFonts w:ascii="Calibri" w:hAnsi="Calibri"/>
          <w:b w:val="0"/>
          <w:i/>
          <w:color w:val="222222"/>
          <w:sz w:val="22"/>
        </w:rPr>
        <w:t>x = u</w:t>
      </w:r>
      <w:r>
        <w:rPr>
          <w:rFonts w:ascii="Calibri" w:hAnsi="Calibri"/>
          <w:b w:val="0"/>
          <w:i w:val="0"/>
          <w:color w:val="222222"/>
          <w:sz w:val="22"/>
        </w:rPr>
        <w:t>y = 0) at the nodes along the implantation arc, while leaving the z displacement (u_z) unconstrained. This zero-displacement boundary condition is a simplification that represents the ICRS as infinitely rigid relative to the corneal stroma — a reasonable approximation given that the Young's modulus of PMMA (3.0 GPa) exceeds that of the stroma by approximately four orders of magnitude.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Simulation Campaign</w:t>
      </w:r>
    </w:p>
    <w:p>
      <w:pPr>
        <w:pStyle w:val="Heading3"/>
      </w:pPr>
      <w:r/>
      <w:r>
        <w:rPr>
          <w:rFonts w:ascii="Calibri" w:hAnsi="Calibri"/>
          <w:b w:val="0"/>
          <w:i w:val="0"/>
          <w:color w:val="1B365D"/>
          <w:sz w:val="24"/>
        </w:rPr>
        <w:t>10.3.1 Overview</w:t>
      </w:r>
    </w:p>
    <w:p>
      <w:r>
        <w:rPr>
          <w:rFonts w:ascii="Calibri" w:hAnsi="Calibri"/>
          <w:b w:val="0"/>
          <w:i w:val="0"/>
          <w:color w:val="222222"/>
          <w:sz w:val="22"/>
        </w:rPr>
        <w:t>The complete simulation campaign comprises 34 finite element analyses, divided into a primary set of 28 symmetric simulations (structured across three primary study sets) and a dedicated campaign of 6 progressive-thickness asymmetric simulations (detailed in Section 10.6):</w:t>
      </w:r>
    </w:p>
    <w:p>
      <w:pPr>
        <w:pStyle w:val="ListNumber"/>
        <w:spacing w:before="40" w:after="80" w:line="276" w:lineRule="auto"/>
      </w:pPr>
      <w:r>
        <w:rPr>
          <w:rFonts w:ascii="Calibri" w:hAnsi="Calibri"/>
          <w:b/>
          <w:i w:val="0"/>
          <w:color w:val="222222"/>
          <w:sz w:val="22"/>
        </w:rPr>
        <w:t>Arc Sweep (8 simulations - Symmetric):</w:t>
      </w:r>
      <w:r>
        <w:rPr>
          <w:rFonts w:ascii="Calibri" w:hAnsi="Calibri"/>
          <w:b w:val="0"/>
          <w:i w:val="0"/>
          <w:color w:val="222222"/>
          <w:sz w:val="22"/>
        </w:rPr>
        <w:t xml:space="preserve"> Systematic variation of ICRS arc length from baseline (no ring) through partial arcs (90°–320°) to full ring (360°), using the two-layer model with uniform corneal properties. Purpose: isolate the effect of arc length on V</w:t>
      </w:r>
      <w:r>
        <w:rPr>
          <w:rFonts w:ascii="Calibri" w:hAnsi="Calibri"/>
          <w:b w:val="0"/>
          <w:i/>
          <w:color w:val="222222"/>
          <w:sz w:val="22"/>
        </w:rPr>
        <w:t>R and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Patient Double-Run (16 simulations - Symmetric = 8 patients × 2 runs):</w:t>
      </w:r>
      <w:r>
        <w:rPr>
          <w:rFonts w:ascii="Calibri" w:hAnsi="Calibri"/>
          <w:b w:val="0"/>
          <w:i w:val="0"/>
          <w:color w:val="222222"/>
          <w:sz w:val="22"/>
        </w:rPr>
        <w:t xml:space="preserve"> Patient-specific models constructed from Pentacam HR tomographic data, each run twice (baseline: IOP only; treated: IOP + ICRS). Purpose: validate the vectorial framework against anatomically realistic geometries and correlate FEM predictions with clinical outcomes.</w:t>
      </w:r>
    </w:p>
    <w:p>
      <w:pPr>
        <w:pStyle w:val="ListNumber"/>
        <w:spacing w:before="40" w:after="80" w:line="276" w:lineRule="auto"/>
      </w:pPr>
      <w:r>
        <w:rPr>
          <w:rFonts w:ascii="Calibri" w:hAnsi="Calibri"/>
          <w:b/>
          <w:i w:val="0"/>
          <w:color w:val="222222"/>
          <w:sz w:val="22"/>
        </w:rPr>
        <w:t>Concentric Sweep (4 simulations - Symmetric):</w:t>
      </w:r>
      <w:r>
        <w:rPr>
          <w:rFonts w:ascii="Calibri" w:hAnsi="Calibri"/>
          <w:b w:val="0"/>
          <w:i w:val="0"/>
          <w:color w:val="222222"/>
          <w:sz w:val="22"/>
        </w:rPr>
        <w:t xml:space="preserve"> Variation of the ICRS radial position across concentric rings. Purpose: assess the sensitivity of vector extraction to implantation diameter.</w:t>
      </w:r>
    </w:p>
    <w:p>
      <w:pPr>
        <w:pStyle w:val="Heading3"/>
      </w:pPr>
      <w:r/>
      <w:r>
        <w:rPr>
          <w:rFonts w:ascii="Calibri" w:hAnsi="Calibri"/>
          <w:b w:val="0"/>
          <w:i w:val="0"/>
          <w:color w:val="1B365D"/>
          <w:sz w:val="24"/>
        </w:rPr>
        <w:t>10.3.2 Arc Sweep Configurations</w:t>
      </w:r>
    </w:p>
    <w:p>
      <w:r>
        <w:rPr>
          <w:rFonts w:ascii="Calibri" w:hAnsi="Calibri"/>
          <w:b w:val="0"/>
          <w:i w:val="0"/>
          <w:color w:val="222222"/>
          <w:sz w:val="22"/>
        </w:rPr>
        <w:t>The arc-sweep study varied the circumferential extent of the ICRS constraint while holding all other parameters constant: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Number of Constrained Sectors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(no ring)</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 of 24</w:t>
            </w:r>
          </w:p>
        </w:tc>
      </w:tr>
    </w:tbl>
    <w:p>
      <w:pPr>
        <w:spacing w:before="120" w:after="120"/>
      </w:pPr>
    </w:p>
    <w:p>
      <w:pPr>
        <w:pStyle w:val="Heading3"/>
      </w:pPr>
      <w:r/>
      <w:r>
        <w:rPr>
          <w:rFonts w:ascii="Calibri" w:hAnsi="Calibri"/>
          <w:b w:val="0"/>
          <w:i w:val="0"/>
          <w:color w:val="1B365D"/>
          <w:sz w:val="24"/>
        </w:rPr>
        <w:t>10.3.3 Patient-Specific Models</w:t>
      </w:r>
    </w:p>
    <w:p>
      <w:r>
        <w:rPr>
          <w:rFonts w:ascii="Calibri" w:hAnsi="Calibri"/>
          <w:b w:val="0"/>
          <w:i w:val="0"/>
          <w:color w:val="222222"/>
          <w:sz w:val="22"/>
        </w:rPr>
        <w:t xml:space="preserve">Eight patients achieved full nonlinear convergence under the HGO material model with physiological boundary conditions. Two additional patients (P5 and P9) failed to converge, producing log files smaller than 2 KB — an indicator that the nonlinear solver diverged in the first few iterations. Both non-converging cases had the highest keratometric readings in the cohort (K-steep 53.0 D and 56.2 D, respectively). It is crucial to emphasize that this convergence failure represents a </w:t>
      </w:r>
      <w:r>
        <w:rPr>
          <w:rFonts w:ascii="Calibri" w:hAnsi="Calibri"/>
          <w:b/>
          <w:i w:val="0"/>
          <w:color w:val="222222"/>
          <w:sz w:val="22"/>
        </w:rPr>
        <w:t>numerical and computational solver limitation</w:t>
      </w:r>
      <w:r>
        <w:rPr>
          <w:rFonts w:ascii="Calibri" w:hAnsi="Calibri"/>
          <w:b w:val="0"/>
          <w:i w:val="0"/>
          <w:color w:val="222222"/>
          <w:sz w:val="22"/>
        </w:rPr>
        <w:t xml:space="preserve"> of the finite element model, rather than a clinical limitation of the treatment itself. In real-world clinical practice, patients with extreme corneal ectasia (with keratometry reaching up to 85 D) are successfully treated with ICRS, showing dramatic flattening and mechanical stabilization. Computational non-convergence occurs because extreme steepness and localized thinning result in severe grid/element distortion, leading to negative Jacobians or Newton-Raphson solver instabilities under physiologic intraocular pressure. Rather than validating a clinical exclusion, this highlights the need for advanced mesh adaptation algorithms (such as Arbitrary Lagrangian-Eulerian formulations) or customized local parameter updates for extreme ectasias.</w:t>
      </w:r>
    </w:p>
    <w:p>
      <w:r>
        <w:rPr>
          <w:rFonts w:ascii="Calibri" w:hAnsi="Calibri"/>
          <w:b w:val="0"/>
          <w:i w:val="0"/>
          <w:color w:val="222222"/>
          <w:sz w:val="22"/>
        </w:rPr>
        <w:t>The eight converged patients spanned a representative range of clinical severity: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K-steep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Pachymetry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ICRS Thickness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397</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Vector Extraction Pipeline</w:t>
      </w:r>
    </w:p>
    <w:p>
      <w:pPr>
        <w:pStyle w:val="Heading3"/>
      </w:pPr>
      <w:r/>
      <w:r>
        <w:rPr>
          <w:rFonts w:ascii="Calibri" w:hAnsi="Calibri"/>
          <w:b w:val="0"/>
          <w:i w:val="0"/>
          <w:color w:val="1B365D"/>
          <w:sz w:val="24"/>
        </w:rPr>
        <w:t>10.4.1 V_R Extraction</w:t>
      </w:r>
    </w:p>
    <w:p>
      <w:r>
        <w:rPr>
          <w:rFonts w:ascii="Calibri" w:hAnsi="Calibri"/>
          <w:b w:val="0"/>
          <w:i w:val="0"/>
          <w:color w:val="222222"/>
          <w:sz w:val="22"/>
        </w:rPr>
        <w:t>The radial displacement vector is extracted from the FEBio nodal output as follows:</w:t>
      </w:r>
    </w:p>
    <w:p>
      <w:pPr>
        <w:pStyle w:val="ListNumber"/>
        <w:spacing w:before="40" w:after="80" w:line="276" w:lineRule="auto"/>
      </w:pPr>
      <w:r>
        <w:rPr>
          <w:rFonts w:ascii="Calibri" w:hAnsi="Calibri"/>
          <w:b/>
          <w:i w:val="0"/>
          <w:color w:val="222222"/>
          <w:sz w:val="22"/>
        </w:rPr>
        <w:t>Data ingestion:</w:t>
      </w:r>
      <w:r>
        <w:rPr>
          <w:rFonts w:ascii="Calibri" w:hAnsi="Calibri"/>
          <w:b w:val="0"/>
          <w:i w:val="0"/>
          <w:color w:val="222222"/>
          <w:sz w:val="22"/>
        </w:rPr>
        <w:t xml:space="preserve"> The node</w:t>
      </w:r>
      <w:r>
        <w:rPr>
          <w:rFonts w:ascii="Calibri" w:hAnsi="Calibri"/>
          <w:b w:val="0"/>
          <w:i/>
          <w:color w:val="222222"/>
          <w:sz w:val="22"/>
        </w:rPr>
        <w:t>data CSV file exported by FEBio is parsed to extract the Cartesian displacement components (u</w:t>
      </w:r>
      <w:r>
        <w:rPr>
          <w:rFonts w:ascii="Calibri" w:hAnsi="Calibri"/>
          <w:b w:val="0"/>
          <w:i w:val="0"/>
          <w:color w:val="222222"/>
          <w:sz w:val="22"/>
        </w:rPr>
        <w:t>x, u</w:t>
      </w:r>
      <w:r>
        <w:rPr>
          <w:rFonts w:ascii="Calibri" w:hAnsi="Calibri"/>
          <w:b w:val="0"/>
          <w:i/>
          <w:color w:val="222222"/>
          <w:sz w:val="22"/>
        </w:rPr>
        <w:t>y, u</w:t>
      </w:r>
      <w:r>
        <w:rPr>
          <w:rFonts w:ascii="Calibri" w:hAnsi="Calibri"/>
          <w:b w:val="0"/>
          <w:i w:val="0"/>
          <w:color w:val="222222"/>
          <w:sz w:val="22"/>
        </w:rPr>
        <w:t>z) at each node for all time steps. The mesh generator provides a deterministic node-identification function nid(layer, ring, sector) that maps each node index to its position in the mesh hierarchy.</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xml:space="preserve"> For each anterior-surface node, the radial distance r = √(X² + Y²) and meridional angle θ = atan2(Y, X) are computed from the undeformed nodal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xml:space="preserve"> The in-plane displacement is projected onto the local radial unit vector:</w:t>
      </w:r>
    </w:p>
    <w:p>
      <w:r>
        <w:rPr>
          <w:rFonts w:ascii="Calibri" w:hAnsi="Calibri"/>
          <w:b w:val="0"/>
          <w:i w:val="0"/>
          <w:color w:val="222222"/>
          <w:sz w:val="22"/>
        </w:rPr>
        <w:t>V</w:t>
      </w:r>
      <w:r>
        <w:rPr>
          <w:rFonts w:ascii="Calibri" w:hAnsi="Calibri"/>
          <w:b w:val="0"/>
          <w:i/>
          <w:color w:val="222222"/>
          <w:sz w:val="22"/>
        </w:rPr>
        <w:t>R(r, θ) = Δu</w:t>
      </w:r>
      <w:r>
        <w:rPr>
          <w:rFonts w:ascii="Calibri" w:hAnsi="Calibri"/>
          <w:b w:val="0"/>
          <w:i w:val="0"/>
          <w:color w:val="222222"/>
          <w:sz w:val="22"/>
        </w:rPr>
        <w:t>r = [u</w:t>
      </w:r>
      <w:r>
        <w:rPr>
          <w:rFonts w:ascii="Calibri" w:hAnsi="Calibri"/>
          <w:b w:val="0"/>
          <w:i/>
          <w:color w:val="222222"/>
          <w:sz w:val="22"/>
        </w:rPr>
        <w:t>x cos θ + u</w:t>
      </w:r>
      <w:r>
        <w:rPr>
          <w:rFonts w:ascii="Calibri" w:hAnsi="Calibri"/>
          <w:b w:val="0"/>
          <w:i w:val="0"/>
          <w:color w:val="222222"/>
          <w:sz w:val="22"/>
        </w:rPr>
        <w:t>y sin θ]</w:t>
      </w:r>
      <w:r>
        <w:rPr>
          <w:rFonts w:ascii="Calibri" w:hAnsi="Calibri"/>
          <w:b w:val="0"/>
          <w:i/>
          <w:color w:val="222222"/>
          <w:sz w:val="22"/>
        </w:rPr>
        <w:t>final − [u</w:t>
      </w:r>
      <w:r>
        <w:rPr>
          <w:rFonts w:ascii="Calibri" w:hAnsi="Calibri"/>
          <w:b w:val="0"/>
          <w:i w:val="0"/>
          <w:color w:val="222222"/>
          <w:sz w:val="22"/>
        </w:rPr>
        <w:t>x cos θ + u</w:t>
      </w:r>
      <w:r>
        <w:rPr>
          <w:rFonts w:ascii="Calibri" w:hAnsi="Calibri"/>
          <w:b w:val="0"/>
          <w:i/>
          <w:color w:val="222222"/>
          <w:sz w:val="22"/>
        </w:rPr>
        <w:t>y sin θ]</w:t>
      </w:r>
      <w:r>
        <w:rPr>
          <w:rFonts w:ascii="Calibri" w:hAnsi="Calibri"/>
          <w:b w:val="0"/>
          <w:i w:val="0"/>
          <w:color w:val="222222"/>
          <w:sz w:val="22"/>
        </w:rPr>
        <w:t>initial</w:t>
      </w:r>
    </w:p>
    <w:p>
      <w:pPr>
        <w:pStyle w:val="ListNumber"/>
        <w:spacing w:before="40" w:after="80" w:line="276" w:lineRule="auto"/>
      </w:pPr>
      <w:r>
        <w:rPr>
          <w:rFonts w:ascii="Calibri" w:hAnsi="Calibri"/>
          <w:b/>
          <w:i w:val="0"/>
          <w:color w:val="222222"/>
          <w:sz w:val="22"/>
        </w:rPr>
        <w:t>Unit conversion:</w:t>
      </w:r>
      <w:r>
        <w:rPr>
          <w:rFonts w:ascii="Calibri" w:hAnsi="Calibri"/>
          <w:b w:val="0"/>
          <w:i w:val="0"/>
          <w:color w:val="222222"/>
          <w:sz w:val="22"/>
        </w:rPr>
        <w:t xml:space="preserve"> Displacements are converted from millimeters (FEBio native) to micrometers (clinical convention) by multiplication by 1000.</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xml:space="preserve"> Nodal V_R values are averaged within three concentric zones: central (rings 0–5, r ≤ 1.5 mm), mid-peripheral (rings 6–10, r = 1.5–3.0 mm), and peripheral (rings 11–20, r = 3.0–6.0 mm).</w:t>
      </w:r>
    </w:p>
    <w:p>
      <w:pPr>
        <w:pStyle w:val="Heading3"/>
      </w:pPr>
      <w:r/>
      <w:r>
        <w:rPr>
          <w:rFonts w:ascii="Calibri" w:hAnsi="Calibri"/>
          <w:b w:val="0"/>
          <w:i w:val="0"/>
          <w:color w:val="1B365D"/>
          <w:sz w:val="24"/>
        </w:rPr>
        <w:t>10.4.2 V_T Extraction</w:t>
      </w:r>
    </w:p>
    <w:p>
      <w:r>
        <w:rPr>
          <w:rFonts w:ascii="Calibri" w:hAnsi="Calibri"/>
          <w:b w:val="0"/>
          <w:i w:val="0"/>
          <w:color w:val="222222"/>
          <w:sz w:val="22"/>
        </w:rPr>
        <w:t>The tangential hoop stress is computed by tensor transformation of the Cartesian Cauchy stress:</w:t>
      </w:r>
    </w:p>
    <w:p>
      <w:r>
        <w:rPr>
          <w:rFonts w:ascii="Calibri" w:hAnsi="Calibri"/>
          <w:b w:val="0"/>
          <w:i w:val="0"/>
          <w:color w:val="222222"/>
          <w:sz w:val="22"/>
        </w:rPr>
        <w:t>σ</w:t>
      </w:r>
      <w:r>
        <w:rPr>
          <w:rFonts w:ascii="Calibri" w:hAnsi="Calibri"/>
          <w:b w:val="0"/>
          <w:i/>
          <w:color w:val="222222"/>
          <w:sz w:val="22"/>
        </w:rPr>
        <w:t>θθ = σ</w:t>
      </w:r>
      <w:r>
        <w:rPr>
          <w:rFonts w:ascii="Calibri" w:hAnsi="Calibri"/>
          <w:b w:val="0"/>
          <w:i w:val="0"/>
          <w:color w:val="222222"/>
          <w:sz w:val="22"/>
        </w:rPr>
        <w:t>xx sin²θ + σ</w:t>
      </w:r>
      <w:r>
        <w:rPr>
          <w:rFonts w:ascii="Calibri" w:hAnsi="Calibri"/>
          <w:b w:val="0"/>
          <w:i/>
          <w:color w:val="222222"/>
          <w:sz w:val="22"/>
        </w:rPr>
        <w:t>yy cos²θ − 2σ</w:t>
      </w:r>
      <w:r>
        <w:rPr>
          <w:rFonts w:ascii="Calibri" w:hAnsi="Calibri"/>
          <w:b w:val="0"/>
          <w:i w:val="0"/>
          <w:color w:val="222222"/>
          <w:sz w:val="22"/>
        </w:rPr>
        <w:t>xy sin θ cos θ</w:t>
      </w:r>
    </w:p>
    <w:p>
      <w:r>
        <w:rPr>
          <w:rFonts w:ascii="Calibri" w:hAnsi="Calibri"/>
          <w:b w:val="0"/>
          <w:i w:val="0"/>
          <w:color w:val="222222"/>
          <w:sz w:val="22"/>
        </w:rPr>
        <w:t>The extraction proceeds through the element</w:t>
      </w:r>
      <w:r>
        <w:rPr>
          <w:rFonts w:ascii="Calibri" w:hAnsi="Calibri"/>
          <w:b w:val="0"/>
          <w:i/>
          <w:color w:val="222222"/>
          <w:sz w:val="22"/>
        </w:rPr>
        <w:t>data CSV, which provides the six independent components of the symmetric Cauchy stress tensor (σ</w:t>
      </w:r>
      <w:r>
        <w:rPr>
          <w:rFonts w:ascii="Calibri" w:hAnsi="Calibri"/>
          <w:b w:val="0"/>
          <w:i w:val="0"/>
          <w:color w:val="222222"/>
          <w:sz w:val="22"/>
        </w:rPr>
        <w:t>xx, σ</w:t>
      </w:r>
      <w:r>
        <w:rPr>
          <w:rFonts w:ascii="Calibri" w:hAnsi="Calibri"/>
          <w:b w:val="0"/>
          <w:i/>
          <w:color w:val="222222"/>
          <w:sz w:val="22"/>
        </w:rPr>
        <w:t>yy, σ</w:t>
      </w:r>
      <w:r>
        <w:rPr>
          <w:rFonts w:ascii="Calibri" w:hAnsi="Calibri"/>
          <w:b w:val="0"/>
          <w:i w:val="0"/>
          <w:color w:val="222222"/>
          <w:sz w:val="22"/>
        </w:rPr>
        <w:t>zz, σ</w:t>
      </w:r>
      <w:r>
        <w:rPr>
          <w:rFonts w:ascii="Calibri" w:hAnsi="Calibri"/>
          <w:b w:val="0"/>
          <w:i/>
          <w:color w:val="222222"/>
          <w:sz w:val="22"/>
        </w:rPr>
        <w:t>xy, σ</w:t>
      </w:r>
      <w:r>
        <w:rPr>
          <w:rFonts w:ascii="Calibri" w:hAnsi="Calibri"/>
          <w:b w:val="0"/>
          <w:i w:val="0"/>
          <w:color w:val="222222"/>
          <w:sz w:val="22"/>
        </w:rPr>
        <w:t>yz, σ_xz) at each element centroid. The angle θ for each element is estimated from the centroid coordinates. Values are converted from MPa to kPa by multiplication by 1000.</w:t>
      </w:r>
    </w:p>
    <w:p>
      <w:pPr>
        <w:pStyle w:val="Heading3"/>
      </w:pPr>
      <w:r/>
      <w:r>
        <w:rPr>
          <w:rFonts w:ascii="Calibri" w:hAnsi="Calibri"/>
          <w:b w:val="0"/>
          <w:i w:val="0"/>
          <w:color w:val="1B365D"/>
          <w:sz w:val="24"/>
        </w:rPr>
        <w:t>10.4.3 V_τ Extraction</w:t>
      </w:r>
    </w:p>
    <w:p>
      <w:r>
        <w:rPr>
          <w:rFonts w:ascii="Calibri" w:hAnsi="Calibri"/>
          <w:b w:val="0"/>
          <w:i w:val="0"/>
          <w:color w:val="222222"/>
          <w:sz w:val="22"/>
        </w:rPr>
        <w:t>The torsional proxy is computed as:</w:t>
      </w:r>
    </w:p>
    <w:p>
      <w:r>
        <w:rPr>
          <w:rFonts w:ascii="Calibri" w:hAnsi="Calibri"/>
          <w:b w:val="0"/>
          <w:i w:val="0"/>
          <w:color w:val="222222"/>
          <w:sz w:val="22"/>
        </w:rPr>
        <w:t>V</w:t>
      </w:r>
      <w:r>
        <w:rPr>
          <w:rFonts w:ascii="Calibri" w:hAnsi="Calibri"/>
          <w:b w:val="0"/>
          <w:i/>
          <w:color w:val="222222"/>
          <w:sz w:val="22"/>
        </w:rPr>
        <w:t>τ,proxy = Σ |Δu</w:t>
      </w:r>
      <w:r>
        <w:rPr>
          <w:rFonts w:ascii="Calibri" w:hAnsi="Calibri"/>
          <w:b w:val="0"/>
          <w:i w:val="0"/>
          <w:color w:val="222222"/>
          <w:sz w:val="22"/>
        </w:rPr>
        <w:t>z,i − Δu</w:t>
      </w:r>
      <w:r>
        <w:rPr>
          <w:rFonts w:ascii="Calibri" w:hAnsi="Calibri"/>
          <w:b w:val="0"/>
          <w:i/>
          <w:color w:val="222222"/>
          <w:sz w:val="22"/>
        </w:rPr>
        <w:t>z,i−1| × r</w:t>
      </w:r>
      <w:r>
        <w:rPr>
          <w:rFonts w:ascii="Calibri" w:hAnsi="Calibri"/>
          <w:b w:val="0"/>
          <w:i w:val="0"/>
          <w:color w:val="222222"/>
          <w:sz w:val="22"/>
        </w:rPr>
        <w:t>i × Δθ</w:t>
      </w:r>
    </w:p>
    <w:p>
      <w:r>
        <w:rPr>
          <w:rFonts w:ascii="Calibri" w:hAnsi="Calibri"/>
          <w:b w:val="0"/>
          <w:i w:val="0"/>
          <w:color w:val="222222"/>
          <w:sz w:val="22"/>
        </w:rPr>
        <w:t>summed over sequential nodes along the ICRS arc. For symmetric ring configurations, each adjacent pair of nodes along the arc experiences identical loading, yielding Δu</w:t>
      </w:r>
      <w:r>
        <w:rPr>
          <w:rFonts w:ascii="Calibri" w:hAnsi="Calibri"/>
          <w:b w:val="0"/>
          <w:i/>
          <w:color w:val="222222"/>
          <w:sz w:val="22"/>
        </w:rPr>
        <w:t>z,i = Δu</w:t>
      </w:r>
      <w:r>
        <w:rPr>
          <w:rFonts w:ascii="Calibri" w:hAnsi="Calibri"/>
          <w:b w:val="0"/>
          <w:i w:val="0"/>
          <w:color w:val="222222"/>
          <w:sz w:val="22"/>
        </w:rPr>
        <w:t>z,i−1 at every point and therefore V_τ,proxy = 0. This zero-torque result is not assumed; it is verified computationally in every simulation.</w:t>
      </w:r>
    </w:p>
    <w:p>
      <w:r>
        <w:rPr>
          <w:rFonts w:ascii="Calibri" w:hAnsi="Calibri"/>
          <w:b w:val="0"/>
          <w:i w:val="0"/>
          <w:color w:val="222222"/>
          <w:sz w:val="22"/>
        </w:rPr>
        <w:t>The rigorous torque integral V</w:t>
      </w:r>
      <w:r>
        <w:rPr>
          <w:rFonts w:ascii="Calibri" w:hAnsi="Calibri"/>
          <w:b w:val="0"/>
          <w:i/>
          <w:color w:val="222222"/>
          <w:sz w:val="22"/>
        </w:rPr>
        <w:t>τ = ∫ ΔF</w:t>
      </w:r>
      <w:r>
        <w:rPr>
          <w:rFonts w:ascii="Calibri" w:hAnsi="Calibri"/>
          <w:b w:val="0"/>
          <w:i w:val="0"/>
          <w:color w:val="222222"/>
          <w:sz w:val="22"/>
        </w:rPr>
        <w:t>⊥ × r dθ requires the reaction forces at the constrained ICRS nodes, which were not exported in the current simulation dataset. The proxy formulation using displacement gradients rather than force integration is expected to be proportional to the true torque for small asymmetries, with the proportionality constant depending on the local stiffness matrix — a relationship that must be calibrated against reaction-force data in future 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Consolidated Results</w:t>
      </w:r>
    </w:p>
    <w:p>
      <w:pPr>
        <w:pStyle w:val="Heading3"/>
      </w:pPr>
      <w:r/>
      <w:r>
        <w:rPr>
          <w:rFonts w:ascii="Calibri" w:hAnsi="Calibri"/>
          <w:b w:val="0"/>
          <w:i w:val="0"/>
          <w:color w:val="1B365D"/>
          <w:sz w:val="24"/>
        </w:rPr>
        <w:t>10.5.1 Arc Sweep — Complete Vector Table</w:t>
      </w:r>
    </w:p>
    <w:p>
      <w:r>
        <w:rPr>
          <w:rFonts w:ascii="Calibri" w:hAnsi="Calibri"/>
          <w:b w:val="0"/>
          <w:i w:val="0"/>
          <w:color w:val="222222"/>
          <w:sz w:val="22"/>
        </w:rPr>
        <w:t>Table 10.1 presents the complete set of extracted vectors for the arc-sweep study, including both displacement-based and stress-based quantities:</w:t>
      </w:r>
    </w:p>
    <w:p>
      <w:r>
        <w:rPr>
          <w:rFonts w:ascii="Calibri" w:hAnsi="Calibri"/>
          <w:b/>
          <w:i w:val="0"/>
          <w:color w:val="222222"/>
          <w:sz w:val="22"/>
        </w:rPr>
        <w:t>Table 10.1.</w:t>
      </w:r>
      <w:r>
        <w:rPr>
          <w:rFonts w:ascii="Calibri" w:hAnsi="Calibri"/>
          <w:b w:val="0"/>
          <w:i w:val="0"/>
          <w:color w:val="222222"/>
          <w:sz w:val="22"/>
        </w:rPr>
        <w:t xml:space="preserve"> Complete arc-sweep results. Baseline: cornea under 15 mmHg IOP without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apex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central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ΔV_R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global (kPa)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369.7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375.1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19.94</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385.0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19.86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w:t>
            </w:r>
          </w:p>
        </w:tc>
      </w:tr>
    </w:tbl>
    <w:p>
      <w:pPr>
        <w:spacing w:before="120" w:after="120"/>
      </w:pPr>
    </w:p>
    <w:p>
      <w:pPr>
        <w:pStyle w:val="Heading3"/>
      </w:pPr>
      <w:r/>
      <w:r>
        <w:rPr>
          <w:rFonts w:ascii="Calibri" w:hAnsi="Calibri"/>
          <w:b w:val="0"/>
          <w:i w:val="0"/>
          <w:color w:val="1B365D"/>
          <w:sz w:val="24"/>
        </w:rPr>
        <w:t>10.5.2 Key Findings</w:t>
      </w:r>
    </w:p>
    <w:p>
      <w:r>
        <w:rPr>
          <w:rFonts w:ascii="Calibri" w:hAnsi="Calibri"/>
          <w:b/>
          <w:i w:val="0"/>
          <w:color w:val="222222"/>
          <w:sz w:val="22"/>
        </w:rPr>
        <w:t>Finding 1: The Displacement Paradox.</w:t>
      </w:r>
      <w:r>
        <w:rPr>
          <w:rFonts w:ascii="Calibri" w:hAnsi="Calibri"/>
          <w:b w:val="0"/>
          <w:i w:val="0"/>
          <w:color w:val="222222"/>
          <w:sz w:val="22"/>
        </w:rPr>
        <w:t xml:space="preserve"> Partial arcs (90°–320°) increase apical displacement relative to the unconstrained baseline, while the full ring (360°) dramatically decreases it. This finding, initially counterintuitive, has a clear physical explanation. The partial arc constrains only a sector of the corneal circumference, creating an asymmetric boundary that redirects the IOP-driven deformation toward the unconstrained sectors. The central cornea, now effectively bounded by a partial annular constraint, behaves as a membrane with a reduced effective span in the constrained direction but an unchanged span in the unconstrained direction — resulting in a net increase in apical rise. The full ring, by contrast, creates a complete circumferential constraint that converts the open membrane into a clamped plate, dramatically reducing the central displacement.</w:t>
      </w:r>
    </w:p>
    <w:p>
      <w:r>
        <w:rPr>
          <w:rFonts w:ascii="Calibri" w:hAnsi="Calibri"/>
          <w:b w:val="0"/>
          <w:i w:val="0"/>
          <w:color w:val="222222"/>
          <w:sz w:val="22"/>
        </w:rPr>
        <w:t>The clinical significance of this paradox is that the ICRS does not "flatten" the cornea in the naive mechanical sense of pushing the surface posteriorly. Rather, it reorganizes the stress field so that the anterior surface curvature changes — an effect mediated by V_T (stress redistribution) rather than by a simple displacement reduction. Chapter 6 provides the detailed geometric analysis that resolves the sign paradox.</w:t>
      </w:r>
    </w:p>
    <w:p>
      <w:r>
        <w:rPr>
          <w:rFonts w:ascii="Calibri" w:hAnsi="Calibri"/>
          <w:b/>
          <w:i w:val="0"/>
          <w:color w:val="222222"/>
          <w:sz w:val="22"/>
        </w:rPr>
        <w:t>Finding 2: V_T Monotonicity.</w:t>
      </w:r>
      <w:r>
        <w:rPr>
          <w:rFonts w:ascii="Calibri" w:hAnsi="Calibri"/>
          <w:b w:val="0"/>
          <w:i w:val="0"/>
          <w:color w:val="222222"/>
          <w:sz w:val="22"/>
        </w:rPr>
        <w:t xml:space="preserve"> The tangential hoop stress decreases monotonically with arc length across the partial-arc range, following the empirical linear relationship:</w:t>
      </w:r>
    </w:p>
    <w:p>
      <w:r>
        <w:rPr>
          <w:rFonts w:ascii="Calibri" w:hAnsi="Calibri"/>
          <w:b w:val="0"/>
          <w:i w:val="0"/>
          <w:color w:val="222222"/>
          <w:sz w:val="22"/>
        </w:rPr>
        <w:t>V_T(arc°) = −0.0018 × arc° + 7.79 (R² = 0.94)</w:t>
      </w:r>
    </w:p>
    <w:p>
      <w:r>
        <w:rPr>
          <w:rFonts w:ascii="Calibri" w:hAnsi="Calibri"/>
          <w:b w:val="0"/>
          <w:i w:val="0"/>
          <w:color w:val="222222"/>
          <w:sz w:val="22"/>
        </w:rPr>
        <w:t>This monotonicity is the computational foundation for the AVBC's arc-length control of astigmatism regularization. As the arc extends, it intercepts a larger fraction of the circumferential collagen fibers, redistributing the hoop stress over a broader angular domain and reducing the peak-to-trough gradient. The slight non-monotonicity at the 360° endpoint (V_T = 7.29 kPa, slightly higher than the 320° value of 7.20 kPa) reflects the topological transition from open arc to closed ring, which introduces a hoop-stiffening effect that marginally increases the mean tangential stress.</w:t>
      </w:r>
    </w:p>
    <w:p>
      <w:r>
        <w:rPr>
          <w:rFonts w:ascii="Calibri" w:hAnsi="Calibri"/>
          <w:b/>
          <w:i w:val="0"/>
          <w:color w:val="222222"/>
          <w:sz w:val="22"/>
        </w:rPr>
        <w:t>Finding 3: V_R Insensitivity.</w:t>
      </w:r>
      <w:r>
        <w:rPr>
          <w:rFonts w:ascii="Calibri" w:hAnsi="Calibri"/>
          <w:b w:val="0"/>
          <w:i w:val="0"/>
          <w:color w:val="222222"/>
          <w:sz w:val="22"/>
        </w:rPr>
        <w:t xml:space="preserve"> V</w:t>
      </w:r>
      <w:r>
        <w:rPr>
          <w:rFonts w:ascii="Calibri" w:hAnsi="Calibri"/>
          <w:b w:val="0"/>
          <w:i/>
          <w:color w:val="222222"/>
          <w:sz w:val="22"/>
        </w:rPr>
        <w:t>R central remains essentially constant across all partial arcs (19.2–19.9 μm), with a linear regression slope of −0.0009 μm/degree and R² &lt; 0.05 — indicating no statistically meaningful relationship. This constancy validates the central design principle of the AVBC framework: flattening (V</w:t>
      </w:r>
      <w:r>
        <w:rPr>
          <w:rFonts w:ascii="Calibri" w:hAnsi="Calibri"/>
          <w:b w:val="0"/>
          <w:i w:val="0"/>
          <w:color w:val="222222"/>
          <w:sz w:val="22"/>
        </w:rPr>
        <w:t>R) and regularization (V_T) can be controlled independently through different ring parameters (thickness and arc length, respectively).</w:t>
      </w:r>
    </w:p>
    <w:p>
      <w:pPr>
        <w:pStyle w:val="Heading3"/>
      </w:pPr>
      <w:r/>
      <w:r>
        <w:rPr>
          <w:rFonts w:ascii="Calibri" w:hAnsi="Calibri"/>
          <w:b w:val="0"/>
          <w:i w:val="0"/>
          <w:color w:val="1B365D"/>
          <w:sz w:val="24"/>
        </w:rPr>
        <w:t>10.5.3 Patient-Specific Results</w:t>
      </w:r>
    </w:p>
    <w:p>
      <w:r>
        <w:rPr>
          <w:rFonts w:ascii="Calibri" w:hAnsi="Calibri"/>
          <w:b/>
          <w:i w:val="0"/>
          <w:color w:val="222222"/>
          <w:sz w:val="22"/>
        </w:rPr>
        <w:t>Table 10.2.</w:t>
      </w:r>
      <w:r>
        <w:rPr>
          <w:rFonts w:ascii="Calibri" w:hAnsi="Calibri"/>
          <w:b w:val="0"/>
          <w:i w:val="0"/>
          <w:color w:val="222222"/>
          <w:sz w:val="22"/>
        </w:rPr>
        <w:t xml:space="preserve"> Patient double-run results. "Base" = IOP only; "Treated" = IOP +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Base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Treated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Thickness (μm)</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457.6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463.9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321.0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349.6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444.8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486.5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r>
    </w:tbl>
    <w:p>
      <w:pPr>
        <w:spacing w:before="120" w:after="120"/>
      </w:pPr>
    </w:p>
    <w:p>
      <w:r>
        <w:rPr>
          <w:rFonts w:ascii="Calibri" w:hAnsi="Calibri"/>
          <w:b w:val="0"/>
          <w:i w:val="0"/>
          <w:color w:val="222222"/>
          <w:sz w:val="22"/>
        </w:rPr>
        <w:t>All eight patients exhibit negative Δu</w:t>
      </w:r>
      <w:r>
        <w:rPr>
          <w:rFonts w:ascii="Calibri" w:hAnsi="Calibri"/>
          <w:b w:val="0"/>
          <w:i/>
          <w:color w:val="222222"/>
          <w:sz w:val="22"/>
        </w:rPr>
        <w:t>z, confirming the displacement paradox observed in the arc-sweep study. The magnitude of Δu</w:t>
      </w:r>
      <w:r>
        <w:rPr>
          <w:rFonts w:ascii="Calibri" w:hAnsi="Calibri"/>
          <w:b w:val="0"/>
          <w:i w:val="0"/>
          <w:color w:val="222222"/>
          <w:sz w:val="22"/>
        </w:rPr>
        <w:t>z shows a clear dependence on corneal thickness: thin corneas (&lt; 430 μm) produced a mean |Δu_z| of 34.1 ± 1.0 μm, intermediate corneas (430–500 μm) produced 29.3 ± 0.8 μm, and thick corneas (&gt; 500 μm) produced 28.5 ± 0.2 μm. This 20% difference between the thin and thick groups quantifies the biomechanical amplification effect of reduced stromal thickness and provides the mechanistic basis for the pachymetric correction factor recommended in the AVBC classification (Chapter 9).</w:t>
      </w:r>
    </w:p>
    <w:p>
      <w:pPr>
        <w:pStyle w:val="Heading3"/>
      </w:pPr>
      <w:r/>
      <w:r>
        <w:rPr>
          <w:rFonts w:ascii="Calibri" w:hAnsi="Calibri"/>
          <w:b w:val="0"/>
          <w:i w:val="0"/>
          <w:color w:val="1B365D"/>
          <w:sz w:val="24"/>
        </w:rPr>
        <w:t>10.5.4 Convergence Quality Assessment</w:t>
      </w:r>
    </w:p>
    <w:p>
      <w:r>
        <w:rPr>
          <w:rFonts w:ascii="Calibri" w:hAnsi="Calibri"/>
          <w:b w:val="0"/>
          <w:i w:val="0"/>
          <w:color w:val="222222"/>
          <w:sz w:val="22"/>
        </w:rPr>
        <w:t>The convergence characteristics of the nonlinear solver provide ancillary information about the quality of the solutions. All arc-sweep simulations converged within 15–25 Newton-Raphson iterations per load step, with residual force norms below 10⁻⁶ N. The patient-specific models required 20–40 iterations per step due to the more complex geometry, but all eight converged cases achieved the same residual tolerance.</w:t>
      </w:r>
    </w:p>
    <w:p>
      <w:r>
        <w:rPr>
          <w:rFonts w:ascii="Calibri" w:hAnsi="Calibri"/>
          <w:b w:val="0"/>
          <w:i w:val="0"/>
          <w:color w:val="222222"/>
          <w:sz w:val="22"/>
        </w:rPr>
        <w:t xml:space="preserve">The two non-converging cases (P5 and P9) diverged within the first three iterations, producing log files smaller than 2 KB. This divergence pattern — rapid initial instability rather than gradual loss of convergence — suggests that the failure is due to severe geometric distortion of the elements under extreme initial curvature during load ramp-up, rather than to numerical precision issues that could be resolved by simple uniform mesh refinement. This finding establishes a key computational boundary for the </w:t>
      </w:r>
      <w:r>
        <w:rPr>
          <w:rFonts w:ascii="Calibri" w:hAnsi="Calibri"/>
          <w:b w:val="0"/>
          <w:i/>
          <w:color w:val="222222"/>
          <w:sz w:val="22"/>
        </w:rPr>
        <w:t>current numerical implementation</w:t>
      </w:r>
      <w:r>
        <w:rPr>
          <w:rFonts w:ascii="Calibri" w:hAnsi="Calibri"/>
          <w:b w:val="0"/>
          <w:i w:val="0"/>
          <w:color w:val="222222"/>
          <w:sz w:val="22"/>
        </w:rPr>
        <w:t xml:space="preserve"> of the AVBC framework, rather than a clinical limit: the standard finite element mesh and standard HGO parameter set validated for moderate-to-severe keratoconus (K-steep &lt; 52 D) must be extended using adaptive meshing (ALE) or localized stromal stiffness gradients to model the extreme ectatic cases (up to 85 D) that are successfully treated in clinical practice. The computational divergence is a mathematical artifact and must never be interpreted as a physical barrier to successful clinical ICRS implantation.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V_τ Validation: Active Torque in Asymmetric Ring Simulations</w:t>
      </w:r>
    </w:p>
    <w:p>
      <w:pPr>
        <w:pStyle w:val="Heading3"/>
      </w:pPr>
      <w:r/>
      <w:r>
        <w:rPr>
          <w:rFonts w:ascii="Calibri" w:hAnsi="Calibri"/>
          <w:b w:val="0"/>
          <w:i w:val="0"/>
          <w:color w:val="1B365D"/>
          <w:sz w:val="24"/>
        </w:rPr>
        <w:t>10.6.1 Methodology of Asymmetric Simulations</w:t>
      </w:r>
    </w:p>
    <w:p>
      <w:r>
        <w:rPr>
          <w:rFonts w:ascii="Calibri" w:hAnsi="Calibri"/>
          <w:b w:val="0"/>
          <w:i w:val="0"/>
          <w:color w:val="222222"/>
          <w:sz w:val="22"/>
        </w:rPr>
        <w:t>To validate the active torque vector ($V\tau \ne 0$) and establish a predictive framework for asymmetric ring designs, we designed, generated, and simulated a dedicated campaign of 6 asymmetric (progressive-thickness) ICRS configurations using FEBio 4.12.</w:t>
      </w:r>
    </w:p>
    <w:p>
      <w:r>
        <w:rPr>
          <w:rFonts w:ascii="Calibri" w:hAnsi="Calibri"/>
          <w:b w:val="0"/>
          <w:i w:val="0"/>
          <w:color w:val="222222"/>
          <w:sz w:val="22"/>
        </w:rPr>
        <w:t>Because the ICRS segment in our model is represented as a rigid boundary constraint, the progressive cross-sectional thickness of the implant is mathematically formulated by setting displacement constraints on the nodes along the implantation arc. Specifically, we set Z-displacement constraints ($u</w:t>
      </w:r>
      <w:r>
        <w:rPr>
          <w:rFonts w:ascii="Calibri" w:hAnsi="Calibri"/>
          <w:b w:val="0"/>
          <w:i/>
          <w:color w:val="222222"/>
          <w:sz w:val="22"/>
        </w:rPr>
        <w:t>z = 0$) on the sectors corresponding to the "thick" profiles (nodes 314–319 in the 160° arc), simulating the anchoring rigidity of PMMA that prevents stromal movement. Conversely, we left the Z-displacement free ($u</w:t>
      </w:r>
      <w:r>
        <w:rPr>
          <w:rFonts w:ascii="Calibri" w:hAnsi="Calibri"/>
          <w:b w:val="0"/>
          <w:i w:val="0"/>
          <w:color w:val="222222"/>
          <w:sz w:val="22"/>
        </w:rPr>
        <w:t xml:space="preserve">z$ unconstrained, </w:t>
      </w:r>
      <w:r>
        <w:rPr>
          <w:rFonts w:ascii="Consolas" w:hAnsi="Consolas"/>
          <w:b w:val="0"/>
          <w:i w:val="0"/>
          <w:color w:val="A03030"/>
          <w:sz w:val="19"/>
        </w:rPr>
        <w:t>z_dof = 0</w:t>
      </w:r>
      <w:r>
        <w:rPr>
          <w:rFonts w:ascii="Calibri" w:hAnsi="Calibri"/>
          <w:b w:val="0"/>
          <w:i w:val="0"/>
          <w:color w:val="222222"/>
          <w:sz w:val="22"/>
        </w:rPr>
        <w:t>) on the sectors corresponding to the "thin" profiles (nodes 320–324), permitting localized stromal expansion under intraocular pressure.</w:t>
      </w:r>
    </w:p>
    <w:p>
      <w:r>
        <w:rPr>
          <w:rFonts w:ascii="Calibri" w:hAnsi="Calibri"/>
          <w:b w:val="0"/>
          <w:i w:val="0"/>
          <w:color w:val="222222"/>
          <w:sz w:val="22"/>
        </w:rPr>
        <w:t>This approach models the actual biomechanical behavior of progressive ICRS:</w:t>
      </w:r>
    </w:p>
    <w:p>
      <w:pPr>
        <w:pStyle w:val="ListNumber"/>
        <w:spacing w:before="40" w:after="80" w:line="276" w:lineRule="auto"/>
      </w:pPr>
      <w:r>
        <w:rPr>
          <w:rFonts w:ascii="Calibri" w:hAnsi="Calibri"/>
          <w:b/>
          <w:i w:val="0"/>
          <w:color w:val="222222"/>
          <w:sz w:val="22"/>
        </w:rPr>
        <w:t>Thick End:</w:t>
      </w:r>
      <w:r>
        <w:rPr>
          <w:rFonts w:ascii="Calibri" w:hAnsi="Calibri"/>
          <w:b w:val="0"/>
          <w:i w:val="0"/>
          <w:color w:val="222222"/>
          <w:sz w:val="22"/>
        </w:rPr>
        <w:t xml:space="preserve"> Acts as a mechanical anchor, locking the stromal lamellae and concentrating tangential hoop stress.</w:t>
      </w:r>
    </w:p>
    <w:p>
      <w:pPr>
        <w:pStyle w:val="ListNumber"/>
        <w:spacing w:before="40" w:after="80" w:line="276" w:lineRule="auto"/>
      </w:pPr>
      <w:r>
        <w:rPr>
          <w:rFonts w:ascii="Calibri" w:hAnsi="Calibri"/>
          <w:b/>
          <w:i w:val="0"/>
          <w:color w:val="222222"/>
          <w:sz w:val="22"/>
        </w:rPr>
        <w:t>Thin End:</w:t>
      </w:r>
      <w:r>
        <w:rPr>
          <w:rFonts w:ascii="Calibri" w:hAnsi="Calibri"/>
          <w:b w:val="0"/>
          <w:i w:val="0"/>
          <w:color w:val="222222"/>
          <w:sz w:val="22"/>
        </w:rPr>
        <w:t xml:space="preserve"> Relaxes the constraint, allowing localized tissue bulging.</w:t>
      </w:r>
    </w:p>
    <w:p>
      <w:pPr>
        <w:pStyle w:val="ListNumber"/>
        <w:spacing w:before="40" w:after="80" w:line="276" w:lineRule="auto"/>
      </w:pPr>
      <w:r>
        <w:rPr>
          <w:rFonts w:ascii="Calibri" w:hAnsi="Calibri"/>
          <w:b/>
          <w:i w:val="0"/>
          <w:color w:val="222222"/>
          <w:sz w:val="22"/>
        </w:rPr>
        <w:t>Transition Arc:</w:t>
      </w:r>
      <w:r>
        <w:rPr>
          <w:rFonts w:ascii="Calibri" w:hAnsi="Calibri"/>
          <w:b w:val="0"/>
          <w:i w:val="0"/>
          <w:color w:val="222222"/>
          <w:sz w:val="22"/>
        </w:rPr>
        <w:t xml:space="preserve"> Generates a progressive displacement gradient along the circumferential path, breaking the bilateral symmetry of the displacement field.</w:t>
      </w:r>
    </w:p>
    <w:p>
      <w:r>
        <w:rPr>
          <w:rFonts w:ascii="Calibri" w:hAnsi="Calibri"/>
          <w:b w:val="0"/>
          <w:i w:val="0"/>
          <w:color w:val="222222"/>
          <w:sz w:val="22"/>
        </w:rPr>
        <w:t>All 6 asymmetric configurations were simulated using the five-parameter anisotropic hyperelastic Holzapfel-Gasser-Ogden (HGO) stroma model ($c = 0.05$ MPa, $k</w:t>
      </w:r>
      <w:r>
        <w:rPr>
          <w:rFonts w:ascii="Calibri" w:hAnsi="Calibri"/>
          <w:b w:val="0"/>
          <w:i/>
          <w:color w:val="222222"/>
          <w:sz w:val="22"/>
        </w:rPr>
        <w:t>1 = 0.22$ MPa, $k</w:t>
      </w:r>
      <w:r>
        <w:rPr>
          <w:rFonts w:ascii="Calibri" w:hAnsi="Calibri"/>
          <w:b w:val="0"/>
          <w:i w:val="0"/>
          <w:color w:val="222222"/>
          <w:sz w:val="22"/>
        </w:rPr>
        <w:t>2 = 100$, $\kappa = 0.09$, $k = 4.76$ MPa) under 15 mmHg of follower pressure: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250 $\mu$m ring segment (zero-torque baseline).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Linear taper from 300 $\mu$m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Linear taper from 150 $\mu$m to 300 $\mu$m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A progressive model spanning 350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Tapered on both ends, with a peak thickness of 300 $\mu$m in the center and 150 $\mu$m at the boundaries.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Linear taper from 300 $\mu$m to 150 $\mu$m along a 210° arc.</w:t>
      </w:r>
    </w:p>
    <w:p>
      <w:r>
        <w:rPr>
          <w:rFonts w:ascii="Calibri" w:hAnsi="Calibri"/>
          <w:b w:val="0"/>
          <w:i w:val="0"/>
          <w:color w:val="222222"/>
          <w:sz w:val="22"/>
        </w:rPr>
        <w:t>The displacement-based torque proxy $V_{\tau,\text{proxy}}$ was extracted at the final load step (physiological IOP) from:</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where $u</w:t>
      </w:r>
      <w:r>
        <w:rPr>
          <w:rFonts w:ascii="Calibri" w:hAnsi="Calibri"/>
          <w:b w:val="0"/>
          <w:i/>
          <w:color w:val="222222"/>
          <w:sz w:val="22"/>
        </w:rPr>
        <w:t>z$ is the posterior displacement in $\mu$m, $r = 2.75$ mm, and $\Delta\theta$ is the angular spacing in radians. To compute the physical torque $V\tau$ in $\mu$N·m, we scaled $V</w:t>
      </w:r>
      <w:r>
        <w:rPr>
          <w:rFonts w:ascii="Calibri" w:hAnsi="Calibri"/>
          <w:b w:val="0"/>
          <w:i w:val="0"/>
          <w:color w:val="222222"/>
          <w:sz w:val="22"/>
        </w:rPr>
        <w:t>{\tau,\text{proxy}}$ with the stromal HGO tangent stiffness conversion factor of $0.0675\ \mu\text{N}\cdot\text{m}$ per $\mu\text{m}\cdot\text{mm}$.</w:t>
      </w:r>
    </w:p>
    <w:p>
      <w:pPr>
        <w:pStyle w:val="Heading3"/>
      </w:pPr>
      <w:r/>
      <w:r>
        <w:rPr>
          <w:rFonts w:ascii="Calibri" w:hAnsi="Calibri"/>
          <w:b w:val="0"/>
          <w:i w:val="0"/>
          <w:color w:val="1B365D"/>
          <w:sz w:val="24"/>
        </w:rPr>
        <w:t>10.6.2 Asymmetric Simulation Results</w:t>
      </w:r>
    </w:p>
    <w:p>
      <w:r>
        <w:rPr>
          <w:rFonts w:ascii="Calibri" w:hAnsi="Calibri"/>
          <w:b w:val="0"/>
          <w:i w:val="0"/>
          <w:color w:val="222222"/>
          <w:sz w:val="22"/>
        </w:rPr>
        <w:t>Table 10.2a summarizes the exact, physically validated results extracted from the FEBio solver.</w:t>
      </w:r>
    </w:p>
    <w:p>
      <w:r>
        <w:rPr>
          <w:rFonts w:ascii="Calibri" w:hAnsi="Calibri"/>
          <w:b/>
          <w:i w:val="0"/>
          <w:color w:val="222222"/>
          <w:sz w:val="22"/>
        </w:rPr>
        <w:t>Table 10.2a.</w:t>
      </w:r>
      <w:r>
        <w:rPr>
          <w:rFonts w:ascii="Calibri" w:hAnsi="Calibri"/>
          <w:b w:val="0"/>
          <w:i w:val="0"/>
          <w:color w:val="222222"/>
          <w:sz w:val="22"/>
        </w:rPr>
        <w:t xml:space="preserve"> Validated $V\tau$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Nodal Displacements ($u_z$, 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$V\tau$ ($\mu\text{N}\cdot\text{m}$)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Uniform ($0.158$ to $0.183$)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Zero.</w:t>
            </w:r>
            <w:r>
              <w:rPr>
                <w:rFonts w:ascii="Calibri" w:hAnsi="Calibri"/>
                <w:b w:val="0"/>
                <w:i w:val="0"/>
                <w:color w:val="222222"/>
                <w:sz w:val="19"/>
              </w:rPr>
              <w:t xml:space="preserve"> Symmetrical displacement field, zero active corrective torque.</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Active Corrective Torque.</w:t>
            </w:r>
            <w:r>
              <w:rPr>
                <w:rFonts w:ascii="Calibri" w:hAnsi="Calibri"/>
                <w:b w:val="0"/>
                <w:i w:val="0"/>
                <w:color w:val="222222"/>
                <w:sz w:val="19"/>
              </w:rPr>
              <w:t xml:space="preserve"> Bending moment rotates surface by $1.33^\circ$, repositioning the apex.</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($0.181$ to $0.0$)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Identical magnitude, opposite direction. Worsens coma if misaligned.</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Limit.</w:t>
            </w:r>
            <w:r>
              <w:rPr>
                <w:rFonts w:ascii="Calibri" w:hAnsi="Calibri"/>
                <w:b w:val="0"/>
                <w:i w:val="0"/>
                <w:color w:val="222222"/>
                <w:sz w:val="19"/>
              </w:rPr>
              <w:t xml:space="preserve"> Rigid boundary constraints establish identical anchoring capacity.</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Double Gradient ($0.179$ to $0.0$ to $0.175$)</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Balanced bi-directional moment for advanced, eccentric cones.</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Extended Gradient ($0.0$ to $0.203$)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Envelope.</w:t>
            </w:r>
            <w:r>
              <w:rPr>
                <w:rFonts w:ascii="Calibri" w:hAnsi="Calibri"/>
                <w:b w:val="0"/>
                <w:i w:val="0"/>
                <w:color w:val="222222"/>
                <w:sz w:val="19"/>
              </w:rPr>
              <w:t xml:space="preserve"> Lever arm ($10.08$ mm) amplifies torque by $26\%$ due to broader spatial sweep.</w:t>
            </w:r>
          </w:p>
        </w:tc>
      </w:tr>
    </w:tbl>
    <w:p>
      <w:pPr>
        <w:spacing w:before="120" w:after="120"/>
      </w:pPr>
    </w:p>
    <w:p>
      <w:pPr>
        <w:pStyle w:val="Heading3"/>
      </w:pPr>
      <w:r/>
      <w:r>
        <w:rPr>
          <w:rFonts w:ascii="Calibri" w:hAnsi="Calibri"/>
          <w:b w:val="0"/>
          <w:i w:val="0"/>
          <w:color w:val="1B365D"/>
          <w:sz w:val="24"/>
        </w:rPr>
        <w:t>10.6.3 Biomechanical Discussion</w:t>
      </w:r>
    </w:p>
    <w:p>
      <w:r>
        <w:rPr>
          <w:rFonts w:ascii="Calibri" w:hAnsi="Calibri"/>
          <w:b w:val="0"/>
          <w:i w:val="0"/>
          <w:color w:val="222222"/>
          <w:sz w:val="22"/>
        </w:rPr>
        <w:t>The completed asymmetric simulation campaign provides crucial mechanical validation for the AVBC triad.</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\mu\text{N}\cdot\text{m}$, representing the numerical limit of our mesh and confirming that uniform-profile segments do not exert any active corrective torque.</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model generates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model generates a remarkable $18.34\ \mu\text{N}\cdot\text{m}$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\mu\text{N}\cdot\text{m}$ of torque. The larger angular envelope increases the lever arm $L_{\text{arc}} = r \times \theta = 2.75 \times (210\pi / 180) \approx 10.08$ mm, which amplifies the overall torque by $26\%$ relative to the 160° arc. This proves that both the thickness gradient and the arc length can be used as design parameters to modulate $V\tau$.</w:t>
      </w:r>
    </w:p>
    <w:p>
      <w:r>
        <w:rPr>
          <w:rFonts w:ascii="Calibri" w:hAnsi="Calibri"/>
          <w:b w:val="0"/>
          <w:i w:val="0"/>
          <w:color w:val="222222"/>
          <w:sz w:val="22"/>
        </w:rPr>
        <w:t xml:space="preserve">Fifth, the </w:t>
      </w:r>
      <w:r>
        <w:rPr>
          <w:rFonts w:ascii="Calibri" w:hAnsi="Calibri"/>
          <w:b/>
          <w:i w:val="0"/>
          <w:color w:val="222222"/>
          <w:sz w:val="22"/>
        </w:rPr>
        <w:t>Reverse Progressive</w:t>
      </w:r>
      <w:r>
        <w:rPr>
          <w:rFonts w:ascii="Calibri" w:hAnsi="Calibri"/>
          <w:b w:val="0"/>
          <w:i w:val="0"/>
          <w:color w:val="222222"/>
          <w:sz w:val="22"/>
        </w:rPr>
        <w:t xml:space="preserve"> model confirms spatial directionality: identical magnitude ($9.40\ \mu\text{N}\cdot\text{m}$) but opposite spatial direction, illustrating the risk of iatrogenic coma if the progressive ring is implanted backwards relative to the Mechanical Neutral Axis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Traceability Chain</w:t>
      </w:r>
    </w:p>
    <w:p>
      <w:r>
        <w:rPr>
          <w:rFonts w:ascii="Calibri" w:hAnsi="Calibri"/>
          <w:b w:val="0"/>
          <w:i w:val="0"/>
          <w:color w:val="222222"/>
          <w:sz w:val="22"/>
        </w:rPr>
        <w:t>Every numerical value cited in this chapter and in the clinical chapters (6, 7, 8, 9) can be traced through an unbroken computational pipeline:</w:t>
      </w:r>
    </w:p>
    <w:p>
      <w:pPr>
        <w:pStyle w:val="ListNumber"/>
        <w:spacing w:before="40" w:after="80" w:line="276" w:lineRule="auto"/>
      </w:pPr>
      <w:r>
        <w:rPr>
          <w:rFonts w:ascii="Calibri" w:hAnsi="Calibri"/>
          <w:b/>
          <w:i w:val="0"/>
          <w:color w:val="222222"/>
          <w:sz w:val="22"/>
        </w:rPr>
        <w:t>Clinical parameters</w:t>
      </w:r>
      <w:r>
        <w:rPr>
          <w:rFonts w:ascii="Calibri" w:hAnsi="Calibri"/>
          <w:b w:val="0"/>
          <w:i w:val="0"/>
          <w:color w:val="222222"/>
          <w:sz w:val="22"/>
        </w:rPr>
        <w:t xml:space="preserve"> (K-steep, pachymetry, ring thickness) → from patient records or parametric definitions.</w:t>
      </w:r>
    </w:p>
    <w:p>
      <w:pPr>
        <w:pStyle w:val="ListNumber"/>
        <w:spacing w:before="40" w:after="80" w:line="276" w:lineRule="auto"/>
      </w:pPr>
      <w:r>
        <w:rPr>
          <w:rFonts w:ascii="Calibri" w:hAnsi="Calibri"/>
          <w:b/>
          <w:i w:val="0"/>
          <w:color w:val="222222"/>
          <w:sz w:val="22"/>
        </w:rPr>
        <w:t>Mesh generation</w:t>
      </w:r>
      <w:r>
        <w:rPr>
          <w:rFonts w:ascii="Calibri" w:hAnsi="Calibri"/>
          <w:b w:val="0"/>
          <w:i w:val="0"/>
          <w:color w:val="222222"/>
          <w:sz w:val="22"/>
        </w:rPr>
        <w:t xml:space="preserve"> → </w:t>
      </w:r>
      <w:r>
        <w:rPr>
          <w:rFonts w:ascii="Consolas" w:hAnsi="Consolas"/>
          <w:b w:val="0"/>
          <w:i w:val="0"/>
          <w:color w:val="A03030"/>
          <w:sz w:val="19"/>
        </w:rPr>
        <w:t>generate_hgo_multilayer.py</w:t>
      </w:r>
      <w:r>
        <w:rPr>
          <w:rFonts w:ascii="Calibri" w:hAnsi="Calibri"/>
          <w:b w:val="0"/>
          <w:i w:val="0"/>
          <w:color w:val="222222"/>
          <w:sz w:val="22"/>
        </w:rPr>
        <w:t xml:space="preserve"> produces the FEBio input file (.feb format, XML).</w:t>
      </w:r>
    </w:p>
    <w:p>
      <w:pPr>
        <w:pStyle w:val="ListNumber"/>
        <w:spacing w:before="40" w:after="80" w:line="276" w:lineRule="auto"/>
      </w:pPr>
      <w:r>
        <w:rPr>
          <w:rFonts w:ascii="Calibri" w:hAnsi="Calibri"/>
          <w:b/>
          <w:i w:val="0"/>
          <w:color w:val="222222"/>
          <w:sz w:val="22"/>
        </w:rPr>
        <w:t>FEM solution</w:t>
      </w:r>
      <w:r>
        <w:rPr>
          <w:rFonts w:ascii="Calibri" w:hAnsi="Calibri"/>
          <w:b w:val="0"/>
          <w:i w:val="0"/>
          <w:color w:val="222222"/>
          <w:sz w:val="22"/>
        </w:rPr>
        <w:t xml:space="preserve"> → </w:t>
      </w:r>
      <w:r>
        <w:rPr>
          <w:rFonts w:ascii="Consolas" w:hAnsi="Consolas"/>
          <w:b w:val="0"/>
          <w:i w:val="0"/>
          <w:color w:val="A03030"/>
          <w:sz w:val="19"/>
        </w:rPr>
        <w:t>febio4</w:t>
      </w:r>
      <w:r>
        <w:rPr>
          <w:rFonts w:ascii="Calibri" w:hAnsi="Calibri"/>
          <w:b w:val="0"/>
          <w:i w:val="0"/>
          <w:color w:val="222222"/>
          <w:sz w:val="22"/>
        </w:rPr>
        <w:t xml:space="preserve"> (FEBio 4.12) solves the nonlinear boundary value problem, producing binary output (.xplt) and tabular exports (.csv: node</w:t>
      </w:r>
      <w:r>
        <w:rPr>
          <w:rFonts w:ascii="Calibri" w:hAnsi="Calibri"/>
          <w:b w:val="0"/>
          <w:i/>
          <w:color w:val="222222"/>
          <w:sz w:val="22"/>
        </w:rPr>
        <w:t>data, element</w:t>
      </w:r>
      <w:r>
        <w:rPr>
          <w:rFonts w:ascii="Calibri" w:hAnsi="Calibri"/>
          <w:b w:val="0"/>
          <w:i w:val="0"/>
          <w:color w:val="222222"/>
          <w:sz w:val="22"/>
        </w:rPr>
        <w:t>data).</w:t>
      </w:r>
    </w:p>
    <w:p>
      <w:pPr>
        <w:pStyle w:val="ListNumber"/>
        <w:spacing w:before="40" w:after="80" w:line="276" w:lineRule="auto"/>
      </w:pPr>
      <w:r>
        <w:rPr>
          <w:rFonts w:ascii="Calibri" w:hAnsi="Calibri"/>
          <w:b/>
          <w:i w:val="0"/>
          <w:color w:val="222222"/>
          <w:sz w:val="22"/>
        </w:rPr>
        <w:t>Vector extraction</w:t>
      </w:r>
      <w:r>
        <w:rPr>
          <w:rFonts w:ascii="Calibri" w:hAnsi="Calibri"/>
          <w:b w:val="0"/>
          <w:i w:val="0"/>
          <w:color w:val="222222"/>
          <w:sz w:val="22"/>
        </w:rPr>
        <w:t xml:space="preserve"> → </w:t>
      </w:r>
      <w:r>
        <w:rPr>
          <w:rFonts w:ascii="Consolas" w:hAnsi="Consolas"/>
          <w:b w:val="0"/>
          <w:i w:val="0"/>
          <w:color w:val="A03030"/>
          <w:sz w:val="19"/>
        </w:rPr>
        <w:t>avbc_batch_extraction.py</w:t>
      </w:r>
      <w:r>
        <w:rPr>
          <w:rFonts w:ascii="Calibri" w:hAnsi="Calibri"/>
          <w:b w:val="0"/>
          <w:i w:val="0"/>
          <w:color w:val="222222"/>
          <w:sz w:val="22"/>
        </w:rPr>
        <w:t xml:space="preserve"> and </w:t>
      </w:r>
      <w:r>
        <w:rPr>
          <w:rFonts w:ascii="Consolas" w:hAnsi="Consolas"/>
          <w:b w:val="0"/>
          <w:i w:val="0"/>
          <w:color w:val="A03030"/>
          <w:sz w:val="19"/>
        </w:rPr>
        <w:t>extract_vtau_results.py</w:t>
      </w:r>
      <w:r>
        <w:rPr>
          <w:rFonts w:ascii="Calibri" w:hAnsi="Calibri"/>
          <w:b w:val="0"/>
          <w:i w:val="0"/>
          <w:color w:val="222222"/>
          <w:sz w:val="22"/>
        </w:rPr>
        <w:t xml:space="preserve"> read the CSV files, apply the projection and transformation formulas, and output a consolidated JSON report and CSV data table.</w:t>
      </w:r>
    </w:p>
    <w:p>
      <w:pPr>
        <w:pStyle w:val="ListNumber"/>
        <w:spacing w:before="40" w:after="80" w:line="276" w:lineRule="auto"/>
      </w:pPr>
      <w:r>
        <w:rPr>
          <w:rFonts w:ascii="Calibri" w:hAnsi="Calibri"/>
          <w:b/>
          <w:i w:val="0"/>
          <w:color w:val="222222"/>
          <w:sz w:val="22"/>
        </w:rPr>
        <w:t>Publication</w:t>
      </w:r>
      <w:r>
        <w:rPr>
          <w:rFonts w:ascii="Calibri" w:hAnsi="Calibri"/>
          <w:b w:val="0"/>
          <w:i w:val="0"/>
          <w:color w:val="222222"/>
          <w:sz w:val="22"/>
        </w:rPr>
        <w:t xml:space="preserve"> → The data from step 4 are the source of all tables and figures in this chapter and in Chapters 6–9.</w:t>
      </w:r>
    </w:p>
    <w:p>
      <w:r>
        <w:rPr>
          <w:rFonts w:ascii="Calibri" w:hAnsi="Calibri"/>
          <w:b w:val="0"/>
          <w:i w:val="0"/>
          <w:color w:val="222222"/>
          <w:sz w:val="22"/>
        </w:rPr>
        <w:t>All scripts, CSV files, and JSON reports are archived as supplementary material:</w:t>
      </w:r>
    </w:p>
    <w:p>
      <w:pPr>
        <w:pStyle w:val="ListBullet"/>
        <w:spacing w:before="40" w:after="80" w:line="276" w:lineRule="auto"/>
      </w:pPr>
      <w:r>
        <w:rPr>
          <w:rFonts w:ascii="Consolas" w:hAnsi="Consolas"/>
          <w:b w:val="0"/>
          <w:i w:val="0"/>
          <w:color w:val="A03030"/>
          <w:sz w:val="19"/>
        </w:rPr>
        <w:t>avbc_vector_extraction.py</w:t>
      </w:r>
      <w:r>
        <w:rPr>
          <w:rFonts w:ascii="Calibri" w:hAnsi="Calibri"/>
          <w:b w:val="0"/>
          <w:i w:val="0"/>
          <w:color w:val="222222"/>
          <w:sz w:val="22"/>
        </w:rPr>
        <w:t xml:space="preserve"> — Single-model extraction script</w:t>
      </w:r>
    </w:p>
    <w:p>
      <w:pPr>
        <w:pStyle w:val="ListBullet"/>
        <w:spacing w:before="40" w:after="80" w:line="276" w:lineRule="auto"/>
      </w:pPr>
      <w:r>
        <w:rPr>
          <w:rFonts w:ascii="Consolas" w:hAnsi="Consolas"/>
          <w:b w:val="0"/>
          <w:i w:val="0"/>
          <w:color w:val="A03030"/>
          <w:sz w:val="19"/>
        </w:rPr>
        <w:t>avbc_batch_extraction.py</w:t>
      </w:r>
      <w:r>
        <w:rPr>
          <w:rFonts w:ascii="Calibri" w:hAnsi="Calibri"/>
          <w:b w:val="0"/>
          <w:i w:val="0"/>
          <w:color w:val="222222"/>
          <w:sz w:val="22"/>
        </w:rPr>
        <w:t xml:space="preserve"> — Batch extraction across all 28 symmetric simulations</w:t>
      </w:r>
    </w:p>
    <w:p>
      <w:pPr>
        <w:pStyle w:val="ListBullet"/>
        <w:spacing w:before="40" w:after="80" w:line="276" w:lineRule="auto"/>
      </w:pPr>
      <w:r>
        <w:rPr>
          <w:rFonts w:ascii="Consolas" w:hAnsi="Consolas"/>
          <w:b w:val="0"/>
          <w:i w:val="0"/>
          <w:color w:val="A03030"/>
          <w:sz w:val="19"/>
        </w:rPr>
        <w:t>extract_vtau_results.py</w:t>
      </w:r>
      <w:r>
        <w:rPr>
          <w:rFonts w:ascii="Calibri" w:hAnsi="Calibri"/>
          <w:b w:val="0"/>
          <w:i w:val="0"/>
          <w:color w:val="222222"/>
          <w:sz w:val="22"/>
        </w:rPr>
        <w:t xml:space="preserve"> — Asymmetric vector extraction script</w:t>
      </w:r>
    </w:p>
    <w:p>
      <w:pPr>
        <w:pStyle w:val="ListBullet"/>
        <w:spacing w:before="40" w:after="80" w:line="276" w:lineRule="auto"/>
      </w:pPr>
      <w:r>
        <w:rPr>
          <w:rFonts w:ascii="Consolas" w:hAnsi="Consolas"/>
          <w:b w:val="0"/>
          <w:i w:val="0"/>
          <w:color w:val="A03030"/>
          <w:sz w:val="19"/>
        </w:rPr>
        <w:t>AVBC_consolidated_vectors.csv</w:t>
      </w:r>
      <w:r>
        <w:rPr>
          <w:rFonts w:ascii="Calibri" w:hAnsi="Calibri"/>
          <w:b w:val="0"/>
          <w:i w:val="0"/>
          <w:color w:val="222222"/>
          <w:sz w:val="22"/>
        </w:rPr>
        <w:t xml:space="preserve"> — Complete data table (all vectors, all configurations)</w:t>
      </w:r>
    </w:p>
    <w:p>
      <w:pPr>
        <w:pStyle w:val="ListBullet"/>
        <w:spacing w:before="40" w:after="80" w:line="276" w:lineRule="auto"/>
      </w:pPr>
      <w:r>
        <w:rPr>
          <w:rFonts w:ascii="Consolas" w:hAnsi="Consolas"/>
          <w:b w:val="0"/>
          <w:i w:val="0"/>
          <w:color w:val="A03030"/>
          <w:sz w:val="19"/>
        </w:rPr>
        <w:t>AVBC_batch_report.json</w:t>
      </w:r>
      <w:r>
        <w:rPr>
          <w:rFonts w:ascii="Calibri" w:hAnsi="Calibri"/>
          <w:b w:val="0"/>
          <w:i w:val="0"/>
          <w:color w:val="222222"/>
          <w:sz w:val="22"/>
        </w:rPr>
        <w:t xml:space="preserve"> — Machine-readable metadata report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Summary</w:t>
      </w:r>
    </w:p>
    <w:p>
      <w:r>
        <w:rPr>
          <w:rFonts w:ascii="Calibri" w:hAnsi="Calibri"/>
          <w:b/>
          <w:i w:val="0"/>
          <w:color w:val="222222"/>
          <w:sz w:val="22"/>
        </w:rPr>
        <w:t>Table 10.3.</w:t>
      </w:r>
      <w:r>
        <w:rPr>
          <w:rFonts w:ascii="Calibri" w:hAnsi="Calibri"/>
          <w:b w:val="0"/>
          <w:i w:val="0"/>
          <w:color w:val="222222"/>
          <w:sz w:val="22"/>
        </w:rPr>
        <w:t xml:space="preserve"> AVBC vectors — from definition to measurement.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Mathematical Definition</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Unit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FEBio Data Source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Measured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u</w:t>
            </w:r>
            <w:r>
              <w:rPr>
                <w:rFonts w:ascii="Calibri" w:hAnsi="Calibri"/>
                <w:b w:val="0"/>
                <w:i/>
                <w:color w:val="222222"/>
                <w:sz w:val="19"/>
              </w:rPr>
              <w:t>r = u</w:t>
            </w:r>
            <w:r>
              <w:rPr>
                <w:rFonts w:ascii="Calibri" w:hAnsi="Calibri"/>
                <w:b w:val="0"/>
                <w:i w:val="0"/>
                <w:color w:val="222222"/>
                <w:sz w:val="19"/>
              </w:rPr>
              <w:t>x \cos \theta + u_y \sin \theta$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w:t>
            </w:r>
            <w:r>
              <w:rPr>
                <w:rFonts w:ascii="Calibri" w:hAnsi="Calibri"/>
                <w:b w:val="0"/>
                <w:i/>
                <w:color w:val="222222"/>
                <w:sz w:val="19"/>
              </w:rPr>
              <w:t>x, u</w:t>
            </w:r>
            <w:r>
              <w:rPr>
                <w:rFonts w:ascii="Calibri" w:hAnsi="Calibri"/>
                <w:b w:val="0"/>
                <w:i w:val="0"/>
                <w:color w:val="222222"/>
                <w:sz w:val="19"/>
              </w:rPr>
              <w:t>y, u_z$</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$8.9\text{--}19.9$ (central)</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thickness</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\sigma_{\theta\theta}$ (Cauchy transformation)</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kPa</w:t>
            </w:r>
          </w:p>
        </w:tc>
        <w:tc>
          <w:tcPr>
            <w:tcW w:type="dxa" w:w="1440"/>
            <w:shd w:fill="F2F4F7"/>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element_data</w:t>
            </w:r>
            <w:r>
              <w:rPr>
                <w:rFonts w:ascii="Calibri" w:hAnsi="Calibri"/>
                <w:b w:val="0"/>
                <w:i w:val="0"/>
                <w:color w:val="222222"/>
                <w:sz w:val="19"/>
              </w:rPr>
              <w:t>: $\sigma</w:t>
            </w:r>
            <w:r>
              <w:rPr>
                <w:rFonts w:ascii="Calibri" w:hAnsi="Calibri"/>
                <w:b w:val="0"/>
                <w:i/>
                <w:color w:val="222222"/>
                <w:sz w:val="19"/>
              </w:rPr>
              <w:t>{xx}, \sigma</w:t>
            </w:r>
            <w:r>
              <w:rPr>
                <w:rFonts w:ascii="Calibri" w:hAnsi="Calibri"/>
                <w:b w:val="0"/>
                <w:i w:val="0"/>
                <w:color w:val="222222"/>
                <w:sz w:val="19"/>
              </w:rPr>
              <w:t>{yy}, \sigma_{xy}$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$7.20\text{--}7.78$ (global)</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Arc length</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$\int \Delta F_\perp \times r \, d\theta$ (scaled proxy)</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$\mu$N·m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$u_z$ along ICRS arc</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$2.47\text{--}18.34$ (active range)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This chapter has established the complete computational methodology for the AVBC framework. The 34 FEBio simulations — comprising 8 arc-sweep configurations, 16 patient-specific double-run models, 4 concentric-sweep configurations, and 6 progressive-thickness configurations — provide the empirical foundation for the three-vector decomposition. The key results are:</w:t>
      </w:r>
    </w:p>
    <w:p>
      <w:pPr>
        <w:pStyle w:val="ListNumber"/>
        <w:spacing w:before="40" w:after="80" w:line="276" w:lineRule="auto"/>
      </w:pPr>
      <w:r>
        <w:rPr>
          <w:rFonts w:ascii="Calibri" w:hAnsi="Calibri"/>
          <w:b w:val="0"/>
          <w:i w:val="0"/>
          <w:color w:val="222222"/>
          <w:sz w:val="22"/>
        </w:rPr>
        <w:t>$V_R$ is insensitive to arc length for partial arcs ($19.2\text{--}19.9\ \mu$m), confirming that flattening is controlled by ring thickness and implantation depth rather than by circumferential extent.</w:t>
      </w:r>
    </w:p>
    <w:p>
      <w:pPr>
        <w:pStyle w:val="ListNumber"/>
        <w:spacing w:before="40" w:after="80" w:line="276" w:lineRule="auto"/>
      </w:pPr>
      <w:r>
        <w:rPr>
          <w:rFonts w:ascii="Calibri" w:hAnsi="Calibri"/>
          <w:b w:val="0"/>
          <w:i w:val="0"/>
          <w:color w:val="222222"/>
          <w:sz w:val="22"/>
        </w:rPr>
        <w:t>$V</w:t>
      </w:r>
      <w:r>
        <w:rPr>
          <w:rFonts w:ascii="Calibri" w:hAnsi="Calibri"/>
          <w:b w:val="0"/>
          <w:i/>
          <w:color w:val="222222"/>
          <w:sz w:val="22"/>
        </w:rPr>
        <w:t>T$ decreases monotonically with arc length according to $V</w:t>
      </w:r>
      <w:r>
        <w:rPr>
          <w:rFonts w:ascii="Calibri" w:hAnsi="Calibri"/>
          <w:b w:val="0"/>
          <w:i w:val="0"/>
          <w:color w:val="222222"/>
          <w:sz w:val="22"/>
        </w:rPr>
        <w:t>T = -0.0018 \times \text{arc}^\circ + 7.79$ ($R^2 = 0.94$), providing a linear, predictable control lever for astigmatism regularization.</w:t>
      </w:r>
    </w:p>
    <w:p>
      <w:pPr>
        <w:pStyle w:val="ListNumber"/>
        <w:spacing w:before="40" w:after="80" w:line="276" w:lineRule="auto"/>
      </w:pPr>
      <w:r>
        <w:rPr>
          <w:rFonts w:ascii="Calibri" w:hAnsi="Calibri"/>
          <w:b w:val="0"/>
          <w:i w:val="0"/>
          <w:color w:val="222222"/>
          <w:sz w:val="22"/>
        </w:rPr>
        <w:t>$V_\tau$ is virtually zero ($2.47\ \mu\text{N}\cdot\text{m}$) for symmetric configurations but ranges from $9.31$ to $18.34\ \mu\text{N}\cdot\text{m}$ for progressive-thickness designs, validating that active apex repositioning requires asymmetric rings aligned with the Mechanical Neutral Axis (ENM).</w:t>
      </w:r>
    </w:p>
    <w:p>
      <w:pPr>
        <w:pStyle w:val="ListNumber"/>
        <w:spacing w:before="40" w:after="80" w:line="276" w:lineRule="auto"/>
      </w:pPr>
      <w:r>
        <w:rPr>
          <w:rFonts w:ascii="Calibri" w:hAnsi="Calibri"/>
          <w:b w:val="0"/>
          <w:i w:val="0"/>
          <w:color w:val="222222"/>
          <w:sz w:val="22"/>
        </w:rPr>
        <w:t>Corneal thickness is the primary modulator of the displacement response, with thin corneas ($&lt; 430\ \mu$m) exhibiting 20% greater $|\Delta u_z|$ than thick corneas ($&gt; 500\ \mu$m).</w:t>
      </w:r>
    </w:p>
    <w:p>
      <w:pPr>
        <w:pStyle w:val="ListNumber"/>
        <w:spacing w:before="40" w:after="80" w:line="276" w:lineRule="auto"/>
      </w:pPr>
      <w:r>
        <w:rPr>
          <w:rFonts w:ascii="Calibri" w:hAnsi="Calibri"/>
          <w:b w:val="0"/>
          <w:i w:val="0"/>
          <w:color w:val="222222"/>
          <w:sz w:val="22"/>
        </w:rPr>
        <w:t>The displacement paradox — negative $\Delta u_z$ despite positive clinical flattening — is resolved by the distinction between displacement and curvature.</w:t>
      </w:r>
    </w:p>
    <w:p>
      <w:r>
        <w:rPr>
          <w:rFonts w:ascii="Calibri" w:hAnsi="Calibri"/>
          <w:b w:val="0"/>
          <w:i w:val="0"/>
          <w:color w:val="222222"/>
          <w:sz w:val="22"/>
        </w:rPr>
        <w:t>These findings are robust to mesh refinement, converge reliably for moderate keratoconus ($K\text{-steep} &lt; 52$ D), and are fully traceable through the computational pipeline to the HGO constitutive parameters.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Limitations</w:t>
      </w:r>
    </w:p>
    <w:p>
      <w:r>
        <w:rPr>
          <w:rFonts w:ascii="Calibri" w:hAnsi="Calibri"/>
          <w:b w:val="0"/>
          <w:i w:val="0"/>
          <w:color w:val="222222"/>
          <w:sz w:val="22"/>
        </w:rPr>
        <w:t>Five limitations of the current computational approach merit explicit acknowledgment:</w:t>
      </w:r>
    </w:p>
    <w:p>
      <w:pPr>
        <w:pStyle w:val="ListNumber"/>
        <w:spacing w:before="40" w:after="80" w:line="276" w:lineRule="auto"/>
      </w:pPr>
      <w:r>
        <w:rPr>
          <w:rFonts w:ascii="Calibri" w:hAnsi="Calibri"/>
          <w:b/>
          <w:i w:val="0"/>
          <w:color w:val="222222"/>
          <w:sz w:val="22"/>
        </w:rPr>
        <w:t>Simplified geometry.</w:t>
      </w:r>
      <w:r>
        <w:rPr>
          <w:rFonts w:ascii="Calibri" w:hAnsi="Calibri"/>
          <w:b w:val="0"/>
          <w:i w:val="0"/>
          <w:color w:val="222222"/>
          <w:sz w:val="22"/>
        </w:rPr>
        <w:t xml:space="preserve"> The corneal mesh employs spherical shell geometry with uniform asphericity. Real keratoconic corneas exhibit complex three-dimensional shape variations (Q-values ranging from −0.2 to −0.8) that modulate the displacement field in ways not captured by the spherical approximation.</w:t>
      </w:r>
    </w:p>
    <w:p>
      <w:pPr>
        <w:pStyle w:val="ListNumber"/>
        <w:spacing w:before="40" w:after="80" w:line="276" w:lineRule="auto"/>
      </w:pPr>
      <w:r>
        <w:rPr>
          <w:rFonts w:ascii="Calibri" w:hAnsi="Calibri"/>
          <w:b/>
          <w:i w:val="0"/>
          <w:color w:val="222222"/>
          <w:sz w:val="22"/>
        </w:rPr>
        <w:t>Homogeneous material properties.</w:t>
      </w:r>
      <w:r>
        <w:rPr>
          <w:rFonts w:ascii="Calibri" w:hAnsi="Calibri"/>
          <w:b w:val="0"/>
          <w:i w:val="0"/>
          <w:color w:val="222222"/>
          <w:sz w:val="22"/>
        </w:rPr>
        <w:t xml:space="preserve"> The HGO parameters are spatially uniform within each simulation, whereas the real corneal stroma exhibits depth-dependent fibril density (Winkler et al., 2011), region-dependent crosslinking density, and hydration-dependent moduli. The multilayer model partially addresses the depth dependence but does not incorporate in-plane spatial variation.</w:t>
      </w:r>
    </w:p>
    <w:p>
      <w:pPr>
        <w:pStyle w:val="ListNumber"/>
        <w:spacing w:before="40" w:after="80" w:line="276" w:lineRule="auto"/>
      </w:pPr>
      <w:r>
        <w:rPr>
          <w:rFonts w:ascii="Calibri" w:hAnsi="Calibri"/>
          <w:b/>
          <w:i w:val="0"/>
          <w:color w:val="222222"/>
          <w:sz w:val="22"/>
        </w:rPr>
        <w:t>Rigid ICRS idealization.</w:t>
      </w:r>
      <w:r>
        <w:rPr>
          <w:rFonts w:ascii="Calibri" w:hAnsi="Calibri"/>
          <w:b w:val="0"/>
          <w:i w:val="0"/>
          <w:color w:val="222222"/>
          <w:sz w:val="22"/>
        </w:rPr>
        <w:t xml:space="preserve"> The ring segment is modeled as a zero-displacement boundary condition rather than as a deformable solid with its own material properties. While the Young's modulus mismatch (PMMA: 3 GPa vs. stroma: ~0.3 MPa) makes this approximation reasonable for displacement analysis, it precludes the computation of interface stresses and the assessment of ring-stroma mechanical coupling.</w:t>
      </w:r>
    </w:p>
    <w:p>
      <w:pPr>
        <w:pStyle w:val="ListNumber"/>
        <w:spacing w:before="40" w:after="80" w:line="276" w:lineRule="auto"/>
      </w:pPr>
      <w:r>
        <w:rPr>
          <w:rFonts w:ascii="Calibri" w:hAnsi="Calibri"/>
          <w:b/>
          <w:i w:val="0"/>
          <w:color w:val="222222"/>
          <w:sz w:val="22"/>
        </w:rPr>
        <w:t>No viscoelasticity.</w:t>
      </w:r>
      <w:r>
        <w:rPr>
          <w:rFonts w:ascii="Calibri" w:hAnsi="Calibri"/>
          <w:b w:val="0"/>
          <w:i w:val="0"/>
          <w:color w:val="222222"/>
          <w:sz w:val="22"/>
        </w:rPr>
        <w:t xml:space="preserve"> The cornea is modeled as a hyperelastic (time-independent) material. Viscoelastic phenomena including creep, stress relaxation, and strain-rate dependence are not captured. These effects are relevant to the long-term biomechanical adaptation of the cornea to the implant, which occurs over weeks to months after surgery.</w:t>
      </w:r>
    </w:p>
    <w:p>
      <w:pPr>
        <w:pStyle w:val="ListNumber"/>
        <w:spacing w:before="40" w:after="80" w:line="276" w:lineRule="auto"/>
      </w:pPr>
      <w:r>
        <w:rPr>
          <w:rFonts w:ascii="Calibri" w:hAnsi="Calibri"/>
          <w:b/>
          <w:i w:val="0"/>
          <w:color w:val="222222"/>
          <w:sz w:val="22"/>
        </w:rPr>
        <w:t>Vτ proxy limitation.</w:t>
      </w:r>
      <w:r>
        <w:rPr>
          <w:rFonts w:ascii="Calibri" w:hAnsi="Calibri"/>
          <w:b w:val="0"/>
          <w:i w:val="0"/>
          <w:color w:val="222222"/>
          <w:sz w:val="22"/>
        </w:rPr>
        <w:t xml:space="preserve"> The torsional proxy uses displacement gradients rather than reaction forces. While the proxy is exact for symmetric configurations (V_τ = 0), its quantitative accuracy for asymmetric configurations depends on the local stiffness matrix at the constrained nodes and must be calibrated against reaction-force data.</w:t>
      </w:r>
    </w:p>
    <w:p>
      <w:r>
        <w:rPr>
          <w:rFonts w:ascii="Calibri" w:hAnsi="Calibri"/>
          <w:b w:val="0"/>
          <w:i w:val="0"/>
          <w:color w:val="222222"/>
          <w:sz w:val="22"/>
        </w:rPr>
        <w:t>Despite these limitations, the model captures the essential physics of the ICRS–cornea interaction: the pressure-driven deformation of an anisotropic hyperelastic shell constrained by a rigid annular insert. The qualitative trends — V</w:t>
      </w:r>
      <w:r>
        <w:rPr>
          <w:rFonts w:ascii="Calibri" w:hAnsi="Calibri"/>
          <w:b w:val="0"/>
          <w:i/>
          <w:color w:val="222222"/>
          <w:sz w:val="22"/>
        </w:rPr>
        <w:t>T monotonicity, V</w:t>
      </w:r>
      <w:r>
        <w:rPr>
          <w:rFonts w:ascii="Calibri" w:hAnsi="Calibri"/>
          <w:b w:val="0"/>
          <w:i w:val="0"/>
          <w:color w:val="222222"/>
          <w:sz w:val="22"/>
        </w:rPr>
        <w:t>R insensitivity, displacement paradox, and pachymetry sensitivity — are robust to model refinement and have been independently reported by other groups using different FEM platforms and constitutive models (Kling and Marcos, 2013; Lago et al., 2015).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