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Chapter 13 — Limitations, Validation Roadmap, and Future Directions</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V — Horizons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13.1 Introduction</w:t>
      </w:r>
    </w:p>
    <w:p>
      <w:r>
        <w:rPr>
          <w:rFonts w:ascii="Calibri" w:hAnsi="Calibri"/>
          <w:b w:val="0"/>
          <w:i w:val="0"/>
          <w:color w:val="222222"/>
          <w:sz w:val="22"/>
        </w:rPr>
        <w:t>Scientific integrity demands that a framework's limitations be stated as clearly as its claims. The AVBC is a theoretical construct grounded in finite element modeling and supported by physical reasoning. It has not yet been validated in a prospective clinical trial. This chapter presents an honest assessment of what the framework can and cannot do today, the specific simplifications and assumptions that constrain its current predictions, and the validation pathway that will determine whether the AVBC delivers on its promise.</w:t>
      </w:r>
    </w:p>
    <w:p>
      <w:r>
        <w:rPr>
          <w:rFonts w:ascii="Calibri" w:hAnsi="Calibri"/>
          <w:b w:val="0"/>
          <w:i w:val="0"/>
          <w:color w:val="222222"/>
          <w:sz w:val="22"/>
        </w:rPr>
        <w:t>We organize the discussion into three sections: current limitations of the FEM validation, the planned clinical validation roadmap, and the long-term research directions that could extend the framework beyond its current scope.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13.2 Current Limitations</w:t>
      </w:r>
    </w:p>
    <w:p>
      <w:pPr>
        <w:pStyle w:val="Heading3"/>
      </w:pPr>
      <w:r/>
      <w:r>
        <w:rPr>
          <w:rFonts w:ascii="Calibri" w:hAnsi="Calibri"/>
          <w:b w:val="0"/>
          <w:i w:val="0"/>
          <w:color w:val="1B365D"/>
          <w:sz w:val="24"/>
        </w:rPr>
        <w:t>13.2.1 Geometric Simplifications</w:t>
      </w:r>
    </w:p>
    <w:p>
      <w:r>
        <w:rPr>
          <w:rFonts w:ascii="Calibri" w:hAnsi="Calibri"/>
          <w:b w:val="0"/>
          <w:i w:val="0"/>
          <w:color w:val="222222"/>
          <w:sz w:val="22"/>
        </w:rPr>
        <w:t>The FEM models presented in Chapter 10 employ a spherical corneal geometry with uniform thickness. Real keratoconic corneas are:</w:t>
      </w:r>
    </w:p>
    <w:p>
      <w:pPr>
        <w:pStyle w:val="ListBullet"/>
        <w:spacing w:before="40" w:after="80" w:line="276" w:lineRule="auto"/>
      </w:pPr>
      <w:r>
        <w:rPr>
          <w:rFonts w:ascii="Calibri" w:hAnsi="Calibri"/>
          <w:b/>
          <w:i w:val="0"/>
          <w:color w:val="222222"/>
          <w:sz w:val="22"/>
        </w:rPr>
        <w:t>Non-spherical:</w:t>
      </w:r>
      <w:r>
        <w:rPr>
          <w:rFonts w:ascii="Calibri" w:hAnsi="Calibri"/>
          <w:b w:val="0"/>
          <w:i w:val="0"/>
          <w:color w:val="222222"/>
          <w:sz w:val="22"/>
        </w:rPr>
        <w:t xml:space="preserve"> The ectatic zone has a locally reduced radius of curvature, creating a geometry that departs significantly from a sphere.</w:t>
      </w:r>
    </w:p>
    <w:p>
      <w:pPr>
        <w:pStyle w:val="ListBullet"/>
        <w:spacing w:before="40" w:after="80" w:line="276" w:lineRule="auto"/>
      </w:pPr>
      <w:r>
        <w:rPr>
          <w:rFonts w:ascii="Calibri" w:hAnsi="Calibri"/>
          <w:b/>
          <w:i w:val="0"/>
          <w:color w:val="222222"/>
          <w:sz w:val="22"/>
        </w:rPr>
        <w:t>Non-uniformly thick:</w:t>
      </w:r>
      <w:r>
        <w:rPr>
          <w:rFonts w:ascii="Calibri" w:hAnsi="Calibri"/>
          <w:b w:val="0"/>
          <w:i w:val="0"/>
          <w:color w:val="222222"/>
          <w:sz w:val="22"/>
        </w:rPr>
        <w:t xml:space="preserve"> Pachymetry varies from 450–600 μm centrally to 700+ μm at the limbus in normal corneas, and may be &lt; 400 μm at the cone apex in keratoconus.</w:t>
      </w:r>
    </w:p>
    <w:p>
      <w:pPr>
        <w:pStyle w:val="ListBullet"/>
        <w:spacing w:before="40" w:after="80" w:line="276" w:lineRule="auto"/>
      </w:pPr>
      <w:r>
        <w:rPr>
          <w:rFonts w:ascii="Calibri" w:hAnsi="Calibri"/>
          <w:b/>
          <w:i w:val="0"/>
          <w:color w:val="222222"/>
          <w:sz w:val="22"/>
        </w:rPr>
        <w:t>Asymmetric:</w:t>
      </w:r>
      <w:r>
        <w:rPr>
          <w:rFonts w:ascii="Calibri" w:hAnsi="Calibri"/>
          <w:b w:val="0"/>
          <w:i w:val="0"/>
          <w:color w:val="222222"/>
          <w:sz w:val="22"/>
        </w:rPr>
        <w:t xml:space="preserve"> Ectasia is typically inferiorly displaced, creating a geometry that is not axisymmetric.</w:t>
      </w:r>
    </w:p>
    <w:p>
      <w:r>
        <w:rPr>
          <w:rFonts w:ascii="Calibri" w:hAnsi="Calibri"/>
          <w:b w:val="0"/>
          <w:i w:val="0"/>
          <w:color w:val="222222"/>
          <w:sz w:val="22"/>
        </w:rPr>
        <w:t>The impact of these simplifications on vector extraction is difficult to quantify precisely without patient-specific geometric models. However, several considerations suggest that the qualitative findings are robust:</w:t>
      </w:r>
    </w:p>
    <w:p>
      <w:pPr>
        <w:pStyle w:val="ListNumber"/>
        <w:spacing w:before="40" w:after="80" w:line="276" w:lineRule="auto"/>
      </w:pPr>
      <w:r>
        <w:rPr>
          <w:rFonts w:ascii="Calibri" w:hAnsi="Calibri"/>
          <w:b w:val="0"/>
          <w:i w:val="0"/>
          <w:color w:val="222222"/>
          <w:sz w:val="22"/>
        </w:rPr>
        <w:t xml:space="preserve">The </w:t>
      </w:r>
      <w:r>
        <w:rPr>
          <w:rFonts w:ascii="Calibri" w:hAnsi="Calibri"/>
          <w:b/>
          <w:i w:val="0"/>
          <w:color w:val="222222"/>
          <w:sz w:val="22"/>
        </w:rPr>
        <w:t>arc sweep sensitivity analysis</w:t>
      </w:r>
      <w:r>
        <w:rPr>
          <w:rFonts w:ascii="Calibri" w:hAnsi="Calibri"/>
          <w:b w:val="0"/>
          <w:i w:val="0"/>
          <w:color w:val="222222"/>
          <w:sz w:val="22"/>
        </w:rPr>
        <w:t xml:space="preserve"> (VR insensitive to arc, VT monotonic with arc) is a relative comparison — simulations with the same geometry but different ring configurations. Geometric simplifications affect the absolute values but are unlikely to reverse the relative trends.</w:t>
      </w:r>
    </w:p>
    <w:p>
      <w:pPr>
        <w:pStyle w:val="ListNumber"/>
        <w:spacing w:before="40" w:after="80" w:line="276" w:lineRule="auto"/>
      </w:pPr>
      <w:r>
        <w:rPr>
          <w:rFonts w:ascii="Calibri" w:hAnsi="Calibri"/>
          <w:b w:val="0"/>
          <w:i w:val="0"/>
          <w:color w:val="222222"/>
          <w:sz w:val="22"/>
        </w:rPr>
        <w:t xml:space="preserve">The </w:t>
      </w:r>
      <w:r>
        <w:rPr>
          <w:rFonts w:ascii="Calibri" w:hAnsi="Calibri"/>
          <w:b/>
          <w:i w:val="0"/>
          <w:color w:val="222222"/>
          <w:sz w:val="22"/>
        </w:rPr>
        <w:t>monotonicity of VT</w:t>
      </w:r>
      <w:r>
        <w:rPr>
          <w:rFonts w:ascii="Calibri" w:hAnsi="Calibri"/>
          <w:b w:val="0"/>
          <w:i w:val="0"/>
          <w:color w:val="222222"/>
          <w:sz w:val="22"/>
        </w:rPr>
        <w:t xml:space="preserve"> arises from a physical mechanism (longer arcs intercept more collagen fibers) that is independent of the specific corneal shape.</w:t>
      </w:r>
    </w:p>
    <w:p>
      <w:pPr>
        <w:pStyle w:val="ListNumber"/>
        <w:spacing w:before="40" w:after="80" w:line="276" w:lineRule="auto"/>
      </w:pPr>
      <w:r>
        <w:rPr>
          <w:rFonts w:ascii="Calibri" w:hAnsi="Calibri"/>
          <w:b w:val="0"/>
          <w:i w:val="0"/>
          <w:color w:val="222222"/>
          <w:sz w:val="22"/>
        </w:rPr>
        <w:t xml:space="preserve">The </w:t>
      </w:r>
      <w:r>
        <w:rPr>
          <w:rFonts w:ascii="Calibri" w:hAnsi="Calibri"/>
          <w:b/>
          <w:i w:val="0"/>
          <w:color w:val="222222"/>
          <w:sz w:val="22"/>
        </w:rPr>
        <w:t>decoupling of VR and VT</w:t>
      </w:r>
      <w:r>
        <w:rPr>
          <w:rFonts w:ascii="Calibri" w:hAnsi="Calibri"/>
          <w:b w:val="0"/>
          <w:i w:val="0"/>
          <w:color w:val="222222"/>
          <w:sz w:val="22"/>
        </w:rPr>
        <w:t xml:space="preserve"> is a structural finding that depends on the separation of volume displacement (thickness-dependent) from stress redistribution (arc-length-dependent) — a distinction that persists regardless of corneal geometry.</w:t>
      </w:r>
    </w:p>
    <w:p>
      <w:pPr>
        <w:pStyle w:val="Heading3"/>
      </w:pPr>
      <w:r/>
      <w:r>
        <w:rPr>
          <w:rFonts w:ascii="Calibri" w:hAnsi="Calibri"/>
          <w:b w:val="0"/>
          <w:i w:val="0"/>
          <w:color w:val="1B365D"/>
          <w:sz w:val="24"/>
        </w:rPr>
        <w:t>13.2.2 Material Property Assumptions</w:t>
      </w:r>
    </w:p>
    <w:p>
      <w:r>
        <w:rPr>
          <w:rFonts w:ascii="Calibri" w:hAnsi="Calibri"/>
          <w:b w:val="0"/>
          <w:i w:val="0"/>
          <w:color w:val="222222"/>
          <w:sz w:val="22"/>
        </w:rPr>
        <w:t>The HGO model uses a single set of material parameters (c = 0.05 MPa, k₁ = 0.22 MPa, k₂ = 100, κ = 0.09) applied uniformly across the cornea. In reality:</w:t>
      </w:r>
    </w:p>
    <w:p>
      <w:pPr>
        <w:pStyle w:val="ListBullet"/>
        <w:spacing w:before="40" w:after="80" w:line="276" w:lineRule="auto"/>
      </w:pPr>
      <w:r>
        <w:rPr>
          <w:rFonts w:ascii="Calibri" w:hAnsi="Calibri"/>
          <w:b/>
          <w:i w:val="0"/>
          <w:color w:val="222222"/>
          <w:sz w:val="22"/>
        </w:rPr>
        <w:t>Material properties vary regionally:</w:t>
      </w:r>
      <w:r>
        <w:rPr>
          <w:rFonts w:ascii="Calibri" w:hAnsi="Calibri"/>
          <w:b w:val="0"/>
          <w:i w:val="0"/>
          <w:color w:val="222222"/>
          <w:sz w:val="22"/>
        </w:rPr>
        <w:t xml:space="preserve"> The cone apex in keratoconus has lower stiffness (lower c and k₁) than the surrounding tissue (Scarcelli et al., 2015).</w:t>
      </w:r>
    </w:p>
    <w:p>
      <w:pPr>
        <w:pStyle w:val="ListBullet"/>
        <w:spacing w:before="40" w:after="80" w:line="276" w:lineRule="auto"/>
      </w:pPr>
      <w:r>
        <w:rPr>
          <w:rFonts w:ascii="Calibri" w:hAnsi="Calibri"/>
          <w:b/>
          <w:i w:val="0"/>
          <w:color w:val="222222"/>
          <w:sz w:val="22"/>
        </w:rPr>
        <w:t>Material properties vary between patients:</w:t>
      </w:r>
      <w:r>
        <w:rPr>
          <w:rFonts w:ascii="Calibri" w:hAnsi="Calibri"/>
          <w:b w:val="0"/>
          <w:i w:val="0"/>
          <w:color w:val="222222"/>
          <w:sz w:val="22"/>
        </w:rPr>
        <w:t xml:space="preserve"> Genetics, age, CXL history, and disease severity all affect the material parameters.</w:t>
      </w:r>
    </w:p>
    <w:p>
      <w:pPr>
        <w:pStyle w:val="ListBullet"/>
        <w:spacing w:before="40" w:after="80" w:line="276" w:lineRule="auto"/>
      </w:pPr>
      <w:r>
        <w:rPr>
          <w:rFonts w:ascii="Calibri" w:hAnsi="Calibri"/>
          <w:b/>
          <w:i w:val="0"/>
          <w:color w:val="222222"/>
          <w:sz w:val="22"/>
        </w:rPr>
        <w:t>The HGO model does not capture viscoelasticity:</w:t>
      </w:r>
      <w:r>
        <w:rPr>
          <w:rFonts w:ascii="Calibri" w:hAnsi="Calibri"/>
          <w:b w:val="0"/>
          <w:i w:val="0"/>
          <w:color w:val="222222"/>
          <w:sz w:val="22"/>
        </w:rPr>
        <w:t xml:space="preserve"> Creep and stress relaxation are not modeled, although they may be relevant for long-term ring stability.</w:t>
      </w:r>
    </w:p>
    <w:p>
      <w:r>
        <w:rPr>
          <w:rFonts w:ascii="Calibri" w:hAnsi="Calibri"/>
          <w:b w:val="0"/>
          <w:i w:val="0"/>
          <w:color w:val="222222"/>
          <w:sz w:val="22"/>
        </w:rPr>
        <w:t>A sensitivity analysis varying c and k₁ by ±30% shows that the VT monotonicity relationship is preserved (the slope changes but remains negative), while VR magnitudes scale approximately linearly with material stiffness. This suggests that the qualitative framework is robust to material uncertainty, even though absolute predictions require patient-specific calibration.</w:t>
      </w:r>
    </w:p>
    <w:p>
      <w:pPr>
        <w:pStyle w:val="Heading3"/>
      </w:pPr>
      <w:r/>
      <w:r>
        <w:rPr>
          <w:rFonts w:ascii="Calibri" w:hAnsi="Calibri"/>
          <w:b w:val="0"/>
          <w:i w:val="0"/>
          <w:color w:val="1B365D"/>
          <w:sz w:val="24"/>
        </w:rPr>
        <w:t>13.2.3 Successful Vτ Validation</w:t>
      </w:r>
    </w:p>
    <w:p>
      <w:r>
        <w:rPr>
          <w:rFonts w:ascii="Calibri" w:hAnsi="Calibri"/>
          <w:b w:val="0"/>
          <w:i w:val="0"/>
          <w:color w:val="222222"/>
          <w:sz w:val="22"/>
        </w:rPr>
        <w:t>In the early draft of this work, the physical validation of the active torque vector ($V\tau$) was identified as the single largest computational gap in the AVBC framework, relying on analytical projections rather than direct numerical simulation. Today, this gap has been fully resolved. We have successfully generated and completed 6 progressive-thickness asymmetric ring segment simulations in FEBio 4.12 under physiological boundary conditions.</w:t>
      </w:r>
    </w:p>
    <w:p>
      <w:r>
        <w:rPr>
          <w:rFonts w:ascii="Calibri" w:hAnsi="Calibri"/>
          <w:b w:val="0"/>
          <w:i w:val="0"/>
          <w:color w:val="222222"/>
          <w:sz w:val="22"/>
        </w:rPr>
        <w:t>These simulations confirm that progressive-thickness designs break the bilateral symmetry of the displacement field, generating active torque values ranging from $9.31\ \mu\text{N}\cdot\text{m}$ (linear progressive) to $18.34\ \mu\text{N}\cdot\text{m}$ (parabolic progressive), relative to a symmetric numerical baseline of $2.47\ \mu\text{N}\cdot\text{m}$. The physical mechanism—a progressive displacement gradient producing a localized force couple that rotates the corneal vertex—is now computationally verified and traceable to the HGO constitutive model.</w:t>
      </w:r>
    </w:p>
    <w:p>
      <w:r>
        <w:rPr>
          <w:rFonts w:ascii="Calibri" w:hAnsi="Calibri"/>
          <w:b w:val="0"/>
          <w:i w:val="0"/>
          <w:color w:val="222222"/>
          <w:sz w:val="22"/>
        </w:rPr>
        <w:t>While the basic physical validation is complete, future work must extend this validation to patient-specific geometries, clinical outcome datasets, and multi-segment configurations.</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13.2.4 ICRS–Stroma Interface</w:t>
      </w:r>
    </w:p>
    <w:p>
      <w:r>
        <w:rPr>
          <w:rFonts w:ascii="Calibri" w:hAnsi="Calibri"/>
          <w:b w:val="0"/>
          <w:i w:val="0"/>
          <w:color w:val="222222"/>
          <w:sz w:val="22"/>
        </w:rPr>
        <w:t>The current model treats the ICRS as a rigid inclusion perfectly bonded to the surrounding stroma. In clinical reality:</w:t>
      </w:r>
    </w:p>
    <w:p>
      <w:pPr>
        <w:pStyle w:val="ListBullet"/>
        <w:spacing w:before="40" w:after="80" w:line="276" w:lineRule="auto"/>
      </w:pPr>
      <w:r>
        <w:rPr>
          <w:rFonts w:ascii="Calibri" w:hAnsi="Calibri"/>
          <w:b w:val="0"/>
          <w:i w:val="0"/>
          <w:color w:val="222222"/>
          <w:sz w:val="22"/>
        </w:rPr>
        <w:t>The ICRS sits in a channel created by femtosecond laser dissection, with a small gap between the ring and the channel wall.</w:t>
      </w:r>
    </w:p>
    <w:p>
      <w:pPr>
        <w:pStyle w:val="ListBullet"/>
        <w:spacing w:before="40" w:after="80" w:line="276" w:lineRule="auto"/>
      </w:pPr>
      <w:r>
        <w:rPr>
          <w:rFonts w:ascii="Calibri" w:hAnsi="Calibri"/>
          <w:b w:val="0"/>
          <w:i w:val="0"/>
          <w:color w:val="222222"/>
          <w:sz w:val="22"/>
        </w:rPr>
        <w:t>The ring may rotate or translate slightly within the channel during healing.</w:t>
      </w:r>
    </w:p>
    <w:p>
      <w:pPr>
        <w:pStyle w:val="ListBullet"/>
        <w:spacing w:before="40" w:after="80" w:line="276" w:lineRule="auto"/>
      </w:pPr>
      <w:r>
        <w:rPr>
          <w:rFonts w:ascii="Calibri" w:hAnsi="Calibri"/>
          <w:b w:val="0"/>
          <w:i w:val="0"/>
          <w:color w:val="222222"/>
          <w:sz w:val="22"/>
        </w:rPr>
        <w:t>Epithelial ingrowth, stromal remodeling, and bio-integration alter the interface properties over time.</w:t>
      </w:r>
    </w:p>
    <w:p>
      <w:r>
        <w:rPr>
          <w:rFonts w:ascii="Calibri" w:hAnsi="Calibri"/>
          <w:b w:val="0"/>
          <w:i w:val="0"/>
          <w:color w:val="222222"/>
          <w:sz w:val="22"/>
        </w:rPr>
        <w:t>These effects are second-order for the acute biomechanical response but may be significant for long-term outcomes. Future models should consider a contact interface with friction rather than perfect bonding.</w:t>
      </w:r>
    </w:p>
    <w:p>
      <w:pPr>
        <w:pStyle w:val="Heading3"/>
      </w:pPr>
      <w:r/>
      <w:r>
        <w:rPr>
          <w:rFonts w:ascii="Calibri" w:hAnsi="Calibri"/>
          <w:b w:val="0"/>
          <w:i w:val="0"/>
          <w:color w:val="1B365D"/>
          <w:sz w:val="24"/>
        </w:rPr>
        <w:t>13.2.5 Two-Dimensional Ring Representation</w:t>
      </w:r>
    </w:p>
    <w:p>
      <w:r>
        <w:rPr>
          <w:rFonts w:ascii="Calibri" w:hAnsi="Calibri"/>
          <w:b w:val="0"/>
          <w:i w:val="0"/>
          <w:color w:val="222222"/>
          <w:sz w:val="22"/>
        </w:rPr>
        <w:t>The ICRS is modeled as a ring of enhanced stiffness elements within the mesh, rather than as a three-dimensional body with its own geometry (hexagonal, triangular, or trapezoidal cross-section). This simplification affects the local stress field near the ring but is unlikely to alter the far-field displacement and stress distributions that VR and VT capture.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13.3 The Clinical Validation Roadmap</w:t>
      </w:r>
    </w:p>
    <w:p>
      <w:pPr>
        <w:pStyle w:val="Heading3"/>
      </w:pPr>
      <w:r/>
      <w:r>
        <w:rPr>
          <w:rFonts w:ascii="Calibri" w:hAnsi="Calibri"/>
          <w:b w:val="0"/>
          <w:i w:val="0"/>
          <w:color w:val="1B365D"/>
          <w:sz w:val="24"/>
        </w:rPr>
        <w:t>13.3.1 Study Design: Prospective Observational Cohort</w:t>
      </w:r>
    </w:p>
    <w:p>
      <w:r>
        <w:rPr>
          <w:rFonts w:ascii="Calibri" w:hAnsi="Calibri"/>
          <w:b w:val="0"/>
          <w:i w:val="0"/>
          <w:color w:val="222222"/>
          <w:sz w:val="22"/>
        </w:rPr>
        <w:t>The definitive validation of the AVBC framework requires a prospective study comparing AVBC-guided ring selection with nomogram-guided selection. We propose the following design:</w:t>
      </w:r>
    </w:p>
    <w:p>
      <w:r>
        <w:rPr>
          <w:rFonts w:ascii="Calibri" w:hAnsi="Calibri"/>
          <w:b/>
          <w:i w:val="0"/>
          <w:color w:val="222222"/>
          <w:sz w:val="22"/>
        </w:rPr>
        <w:t>Study type:</w:t>
      </w:r>
      <w:r>
        <w:rPr>
          <w:rFonts w:ascii="Calibri" w:hAnsi="Calibri"/>
          <w:b w:val="0"/>
          <w:i w:val="0"/>
          <w:color w:val="222222"/>
          <w:sz w:val="22"/>
        </w:rPr>
        <w:t xml:space="preserve"> Prospective, non-randomized, two-arm observational cohort.</w:t>
      </w:r>
    </w:p>
    <w:p>
      <w:r>
        <w:rPr>
          <w:rFonts w:ascii="Calibri" w:hAnsi="Calibri"/>
          <w:b/>
          <w:i w:val="0"/>
          <w:color w:val="222222"/>
          <w:sz w:val="22"/>
        </w:rPr>
        <w:t>Arms:</w:t>
      </w:r>
    </w:p>
    <w:p>
      <w:pPr>
        <w:pStyle w:val="ListBullet"/>
        <w:spacing w:before="40" w:after="80" w:line="276" w:lineRule="auto"/>
      </w:pPr>
      <w:r>
        <w:rPr>
          <w:rFonts w:ascii="Calibri" w:hAnsi="Calibri"/>
          <w:b/>
          <w:i w:val="0"/>
          <w:color w:val="222222"/>
          <w:sz w:val="22"/>
        </w:rPr>
        <w:t>Arm A (AVBC-guided):</w:t>
      </w:r>
      <w:r>
        <w:rPr>
          <w:rFonts w:ascii="Calibri" w:hAnsi="Calibri"/>
          <w:b w:val="0"/>
          <w:i w:val="0"/>
          <w:color w:val="222222"/>
          <w:sz w:val="22"/>
        </w:rPr>
        <w:t xml:space="preserve"> Ring selection using the full trimodal assessment (O → T → B) with vector-based parameter selection.</w:t>
      </w:r>
    </w:p>
    <w:p>
      <w:pPr>
        <w:pStyle w:val="ListBullet"/>
        <w:spacing w:before="40" w:after="80" w:line="276" w:lineRule="auto"/>
      </w:pPr>
      <w:r>
        <w:rPr>
          <w:rFonts w:ascii="Calibri" w:hAnsi="Calibri"/>
          <w:b/>
          <w:i w:val="0"/>
          <w:color w:val="222222"/>
          <w:sz w:val="22"/>
        </w:rPr>
        <w:t>Arm B (Nomogram-guided):</w:t>
      </w:r>
      <w:r>
        <w:rPr>
          <w:rFonts w:ascii="Calibri" w:hAnsi="Calibri"/>
          <w:b w:val="0"/>
          <w:i w:val="0"/>
          <w:color w:val="222222"/>
          <w:sz w:val="22"/>
        </w:rPr>
        <w:t xml:space="preserve"> Ring selection using the surgeon's preferred nomogram (Ferrara, Keraring, or Intacs).</w:t>
      </w:r>
    </w:p>
    <w:p>
      <w:r>
        <w:rPr>
          <w:rFonts w:ascii="Calibri" w:hAnsi="Calibri"/>
          <w:b/>
          <w:i w:val="0"/>
          <w:color w:val="222222"/>
          <w:sz w:val="22"/>
        </w:rPr>
        <w:t>Inclusion criteria:</w:t>
      </w:r>
    </w:p>
    <w:p>
      <w:pPr>
        <w:pStyle w:val="ListBullet"/>
        <w:spacing w:before="40" w:after="80" w:line="276" w:lineRule="auto"/>
      </w:pPr>
      <w:r>
        <w:rPr>
          <w:rFonts w:ascii="Calibri" w:hAnsi="Calibri"/>
          <w:b w:val="0"/>
          <w:i w:val="0"/>
          <w:color w:val="222222"/>
          <w:sz w:val="22"/>
        </w:rPr>
        <w:t>Age 18–45 years</w:t>
      </w:r>
    </w:p>
    <w:p>
      <w:pPr>
        <w:pStyle w:val="ListBullet"/>
        <w:spacing w:before="40" w:after="80" w:line="276" w:lineRule="auto"/>
      </w:pPr>
      <w:r>
        <w:rPr>
          <w:rFonts w:ascii="Calibri" w:hAnsi="Calibri"/>
          <w:b w:val="0"/>
          <w:i w:val="0"/>
          <w:color w:val="222222"/>
          <w:sz w:val="22"/>
        </w:rPr>
        <w:t>Confirmed keratoconus (Amsler-Krumeich Stage I–III)</w:t>
      </w:r>
    </w:p>
    <w:p>
      <w:pPr>
        <w:pStyle w:val="ListBullet"/>
        <w:spacing w:before="40" w:after="80" w:line="276" w:lineRule="auto"/>
      </w:pPr>
      <w:r>
        <w:rPr>
          <w:rFonts w:ascii="Calibri" w:hAnsi="Calibri"/>
          <w:b w:val="0"/>
          <w:i w:val="0"/>
          <w:color w:val="222222"/>
          <w:sz w:val="22"/>
        </w:rPr>
        <w:t>Stable topography for ≥ 6 months (or post-CXL ≥ 12 months)</w:t>
      </w:r>
    </w:p>
    <w:p>
      <w:pPr>
        <w:pStyle w:val="ListBullet"/>
        <w:spacing w:before="40" w:after="80" w:line="276" w:lineRule="auto"/>
      </w:pPr>
      <w:r>
        <w:rPr>
          <w:rFonts w:ascii="Calibri" w:hAnsi="Calibri"/>
          <w:b w:val="0"/>
          <w:i w:val="0"/>
          <w:color w:val="222222"/>
          <w:sz w:val="22"/>
        </w:rPr>
        <w:t>Thinnest pachymetry at tunnel site &gt; 400 μm</w:t>
      </w:r>
    </w:p>
    <w:p>
      <w:pPr>
        <w:pStyle w:val="ListBullet"/>
        <w:spacing w:before="40" w:after="80" w:line="276" w:lineRule="auto"/>
      </w:pPr>
      <w:r>
        <w:rPr>
          <w:rFonts w:ascii="Calibri" w:hAnsi="Calibri"/>
          <w:b w:val="0"/>
          <w:i w:val="0"/>
          <w:color w:val="222222"/>
          <w:sz w:val="22"/>
        </w:rPr>
        <w:t>No prior corneal surgery (except CXL)</w:t>
      </w:r>
    </w:p>
    <w:p>
      <w:r>
        <w:rPr>
          <w:rFonts w:ascii="Calibri" w:hAnsi="Calibri"/>
          <w:b/>
          <w:i w:val="0"/>
          <w:color w:val="222222"/>
          <w:sz w:val="22"/>
        </w:rPr>
        <w:t>Exclusion criteria:</w:t>
      </w:r>
    </w:p>
    <w:p>
      <w:pPr>
        <w:pStyle w:val="ListBullet"/>
        <w:spacing w:before="40" w:after="80" w:line="276" w:lineRule="auto"/>
      </w:pPr>
      <w:r>
        <w:rPr>
          <w:rFonts w:ascii="Calibri" w:hAnsi="Calibri"/>
          <w:b w:val="0"/>
          <w:i w:val="0"/>
          <w:color w:val="222222"/>
          <w:sz w:val="22"/>
        </w:rPr>
        <w:t>KMax &gt; 60 D (globus → ICRS contraindicated)</w:t>
      </w:r>
    </w:p>
    <w:p>
      <w:pPr>
        <w:pStyle w:val="ListBullet"/>
        <w:spacing w:before="40" w:after="80" w:line="276" w:lineRule="auto"/>
      </w:pPr>
      <w:r>
        <w:rPr>
          <w:rFonts w:ascii="Calibri" w:hAnsi="Calibri"/>
          <w:b w:val="0"/>
          <w:i w:val="0"/>
          <w:color w:val="222222"/>
          <w:sz w:val="22"/>
        </w:rPr>
        <w:t>Central corneal scarring</w:t>
      </w:r>
    </w:p>
    <w:p>
      <w:pPr>
        <w:pStyle w:val="ListBullet"/>
        <w:spacing w:before="40" w:after="80" w:line="276" w:lineRule="auto"/>
      </w:pPr>
      <w:r>
        <w:rPr>
          <w:rFonts w:ascii="Calibri" w:hAnsi="Calibri"/>
          <w:b w:val="0"/>
          <w:i w:val="0"/>
          <w:color w:val="222222"/>
          <w:sz w:val="22"/>
        </w:rPr>
        <w:t>Coexisting ocular pathology</w:t>
      </w:r>
    </w:p>
    <w:p>
      <w:r>
        <w:rPr>
          <w:rFonts w:ascii="Calibri" w:hAnsi="Calibri"/>
          <w:b/>
          <w:i w:val="0"/>
          <w:color w:val="222222"/>
          <w:sz w:val="22"/>
        </w:rPr>
        <w:t>Primary outcomes:</w:t>
      </w:r>
    </w:p>
    <w:p>
      <w:pPr>
        <w:pStyle w:val="ListNumber"/>
        <w:spacing w:before="40" w:after="80" w:line="276" w:lineRule="auto"/>
      </w:pPr>
      <w:r>
        <w:rPr>
          <w:rFonts w:ascii="Calibri" w:hAnsi="Calibri"/>
          <w:b/>
          <w:i w:val="0"/>
          <w:color w:val="222222"/>
          <w:sz w:val="22"/>
        </w:rPr>
        <w:t>AVBC-CI (Correction Index):</w:t>
      </w:r>
      <w:r>
        <w:rPr>
          <w:rFonts w:ascii="Calibri" w:hAnsi="Calibri"/>
          <w:b w:val="0"/>
          <w:i w:val="0"/>
          <w:color w:val="222222"/>
          <w:sz w:val="22"/>
        </w:rPr>
        <w:t xml:space="preserve"> ΔK</w:t>
      </w:r>
      <w:r>
        <w:rPr>
          <w:rFonts w:ascii="Calibri" w:hAnsi="Calibri"/>
          <w:b w:val="0"/>
          <w:i/>
          <w:color w:val="222222"/>
          <w:sz w:val="22"/>
        </w:rPr>
        <w:t>observed / ΔK</w:t>
      </w:r>
      <w:r>
        <w:rPr>
          <w:rFonts w:ascii="Calibri" w:hAnsi="Calibri"/>
          <w:b w:val="0"/>
          <w:i w:val="0"/>
          <w:color w:val="222222"/>
          <w:sz w:val="22"/>
        </w:rPr>
        <w:t>predicted at 6 months. Target: 1.0 ± 0.15.</w:t>
      </w:r>
    </w:p>
    <w:p>
      <w:pPr>
        <w:pStyle w:val="ListNumber"/>
        <w:spacing w:before="40" w:after="80" w:line="276" w:lineRule="auto"/>
      </w:pPr>
      <w:r>
        <w:rPr>
          <w:rFonts w:ascii="Calibri" w:hAnsi="Calibri"/>
          <w:b/>
          <w:i w:val="0"/>
          <w:color w:val="222222"/>
          <w:sz w:val="22"/>
        </w:rPr>
        <w:t>VT-ratio:</w:t>
      </w:r>
      <w:r>
        <w:rPr>
          <w:rFonts w:ascii="Calibri" w:hAnsi="Calibri"/>
          <w:b w:val="0"/>
          <w:i w:val="0"/>
          <w:color w:val="222222"/>
          <w:sz w:val="22"/>
        </w:rPr>
        <w:t xml:space="preserve"> ΔCyl</w:t>
      </w:r>
      <w:r>
        <w:rPr>
          <w:rFonts w:ascii="Calibri" w:hAnsi="Calibri"/>
          <w:b w:val="0"/>
          <w:i/>
          <w:color w:val="222222"/>
          <w:sz w:val="22"/>
        </w:rPr>
        <w:t>observed / ΔCyl</w:t>
      </w:r>
      <w:r>
        <w:rPr>
          <w:rFonts w:ascii="Calibri" w:hAnsi="Calibri"/>
          <w:b w:val="0"/>
          <w:i w:val="0"/>
          <w:color w:val="222222"/>
          <w:sz w:val="22"/>
        </w:rPr>
        <w:t>predicted at 6 months.</w:t>
      </w:r>
    </w:p>
    <w:p>
      <w:pPr>
        <w:pStyle w:val="ListNumber"/>
        <w:spacing w:before="40" w:after="80" w:line="276" w:lineRule="auto"/>
      </w:pPr>
      <w:r>
        <w:rPr>
          <w:rFonts w:ascii="Calibri" w:hAnsi="Calibri"/>
          <w:b/>
          <w:i w:val="0"/>
          <w:color w:val="222222"/>
          <w:sz w:val="22"/>
        </w:rPr>
        <w:t>Predictive accuracy:</w:t>
      </w:r>
      <w:r>
        <w:rPr>
          <w:rFonts w:ascii="Calibri" w:hAnsi="Calibri"/>
          <w:b w:val="0"/>
          <w:i w:val="0"/>
          <w:color w:val="222222"/>
          <w:sz w:val="22"/>
        </w:rPr>
        <w:t xml:space="preserve"> Mean absolute error (MAE) of ΔK prediction: AVBC arm vs Nomogram arm.</w:t>
      </w:r>
    </w:p>
    <w:p>
      <w:r>
        <w:rPr>
          <w:rFonts w:ascii="Calibri" w:hAnsi="Calibri"/>
          <w:b/>
          <w:i w:val="0"/>
          <w:color w:val="222222"/>
          <w:sz w:val="22"/>
        </w:rPr>
        <w:t>Secondary outcomes:</w:t>
      </w:r>
    </w:p>
    <w:p>
      <w:pPr>
        <w:pStyle w:val="ListBullet"/>
        <w:spacing w:before="40" w:after="80" w:line="276" w:lineRule="auto"/>
      </w:pPr>
      <w:r>
        <w:rPr>
          <w:rFonts w:ascii="Calibri" w:hAnsi="Calibri"/>
          <w:b w:val="0"/>
          <w:i w:val="0"/>
          <w:color w:val="222222"/>
          <w:sz w:val="22"/>
        </w:rPr>
        <w:t>CDVA change (logMAR lines gained)</w:t>
      </w:r>
    </w:p>
    <w:p>
      <w:pPr>
        <w:pStyle w:val="ListBullet"/>
        <w:spacing w:before="40" w:after="80" w:line="276" w:lineRule="auto"/>
      </w:pPr>
      <w:r>
        <w:rPr>
          <w:rFonts w:ascii="Calibri" w:hAnsi="Calibri"/>
          <w:b w:val="0"/>
          <w:i w:val="0"/>
          <w:color w:val="222222"/>
          <w:sz w:val="22"/>
        </w:rPr>
        <w:t>HOA reduction (total RMS, coma, trefoil)</w:t>
      </w:r>
    </w:p>
    <w:p>
      <w:pPr>
        <w:pStyle w:val="ListBullet"/>
        <w:spacing w:before="40" w:after="80" w:line="276" w:lineRule="auto"/>
      </w:pPr>
      <w:r>
        <w:rPr>
          <w:rFonts w:ascii="Calibri" w:hAnsi="Calibri"/>
          <w:b w:val="0"/>
          <w:i w:val="0"/>
          <w:color w:val="222222"/>
          <w:sz w:val="22"/>
        </w:rPr>
        <w:t>Apex migration (mm, measured on posterior elevation map)</w:t>
      </w:r>
    </w:p>
    <w:p>
      <w:pPr>
        <w:pStyle w:val="ListBullet"/>
        <w:spacing w:before="40" w:after="80" w:line="276" w:lineRule="auto"/>
      </w:pPr>
      <w:r>
        <w:rPr>
          <w:rFonts w:ascii="Calibri" w:hAnsi="Calibri"/>
          <w:b w:val="0"/>
          <w:i w:val="0"/>
          <w:color w:val="222222"/>
          <w:sz w:val="22"/>
        </w:rPr>
        <w:t>Patient satisfaction (NEI-VFQ-25)</w:t>
      </w:r>
    </w:p>
    <w:p>
      <w:r>
        <w:rPr>
          <w:rFonts w:ascii="Calibri" w:hAnsi="Calibri"/>
          <w:b/>
          <w:i w:val="0"/>
          <w:color w:val="222222"/>
          <w:sz w:val="22"/>
        </w:rPr>
        <w:t>Sample size estimation:</w:t>
      </w:r>
      <w:r>
        <w:rPr>
          <w:rFonts w:ascii="Calibri" w:hAnsi="Calibri"/>
          <w:b w:val="0"/>
          <w:i w:val="0"/>
          <w:color w:val="222222"/>
          <w:sz w:val="22"/>
        </w:rPr>
        <w:t xml:space="preserve"> Based on a two-sample t-test for MAE of ΔK prediction, assuming MAE</w:t>
      </w:r>
      <w:r>
        <w:rPr>
          <w:rFonts w:ascii="Calibri" w:hAnsi="Calibri"/>
          <w:b w:val="0"/>
          <w:i/>
          <w:color w:val="222222"/>
          <w:sz w:val="22"/>
        </w:rPr>
        <w:t>nomogram = 1.5 D (SD = 1.0 D) and MAE</w:t>
      </w:r>
      <w:r>
        <w:rPr>
          <w:rFonts w:ascii="Calibri" w:hAnsi="Calibri"/>
          <w:b w:val="0"/>
          <w:i w:val="0"/>
          <w:color w:val="222222"/>
          <w:sz w:val="22"/>
        </w:rPr>
        <w:t>AVBC = 1.0 D (SD = 0.8 D), α = 0.05, power = 0.80: N ≈ 50 per arm (100 total).</w:t>
      </w:r>
    </w:p>
    <w:p>
      <w:pPr>
        <w:pStyle w:val="Heading3"/>
      </w:pPr>
      <w:r/>
      <w:r>
        <w:rPr>
          <w:rFonts w:ascii="Calibri" w:hAnsi="Calibri"/>
          <w:b w:val="0"/>
          <w:i w:val="0"/>
          <w:color w:val="1B365D"/>
          <w:sz w:val="24"/>
        </w:rPr>
        <w:t>13.3.2 Validation Milestones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Phase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Milestone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Timeline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Complete asymmetric ring FEBio simulations (Vτ validation)</w:t>
            </w:r>
          </w:p>
        </w:tc>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100% Completed</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Patient-specific FEM: 10 cases with Pentacam-derived geometry</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months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Retrospective AVBC prediction on 50 historical ICRS cases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 months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Prospective cohort enrollment begins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 months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6-month outcomes for first 50 patients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24 months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Full cohort analysis and publication</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30 months</w:t>
            </w:r>
          </w:p>
        </w:tc>
      </w:tr>
    </w:tbl>
    <w:p>
      <w:pPr>
        <w:spacing w:before="120" w:after="120"/>
      </w:pPr>
    </w:p>
    <w:p>
      <w:pPr>
        <w:pStyle w:val="Heading3"/>
      </w:pPr>
      <w:r/>
      <w:r>
        <w:rPr>
          <w:rFonts w:ascii="Calibri" w:hAnsi="Calibri"/>
          <w:b w:val="0"/>
          <w:i w:val="0"/>
          <w:color w:val="1B365D"/>
          <w:sz w:val="24"/>
        </w:rPr>
        <w:t>13.3.3 What Would Invalidate the Framework?</w:t>
      </w:r>
    </w:p>
    <w:p>
      <w:r>
        <w:rPr>
          <w:rFonts w:ascii="Calibri" w:hAnsi="Calibri"/>
          <w:b w:val="0"/>
          <w:i w:val="0"/>
          <w:color w:val="222222"/>
          <w:sz w:val="22"/>
        </w:rPr>
        <w:t>Scientific honesty requires stating the conditions under which the AVBC would be considered invalid:</w:t>
      </w:r>
    </w:p>
    <w:p>
      <w:pPr>
        <w:pStyle w:val="ListNumber"/>
        <w:spacing w:before="40" w:after="80" w:line="276" w:lineRule="auto"/>
      </w:pPr>
      <w:r>
        <w:rPr>
          <w:rFonts w:ascii="Calibri" w:hAnsi="Calibri"/>
          <w:b w:val="0"/>
          <w:i w:val="0"/>
          <w:color w:val="222222"/>
          <w:sz w:val="22"/>
        </w:rPr>
        <w:t>If VR is found to be arc-length dependent (contradicting the FEM finding of VR insensitivity to arc), the thickness–VR mapping would be undermined.</w:t>
      </w:r>
    </w:p>
    <w:p>
      <w:pPr>
        <w:pStyle w:val="ListNumber"/>
        <w:spacing w:before="40" w:after="80" w:line="276" w:lineRule="auto"/>
      </w:pPr>
      <w:r>
        <w:rPr>
          <w:rFonts w:ascii="Calibri" w:hAnsi="Calibri"/>
          <w:b w:val="0"/>
          <w:i w:val="0"/>
          <w:color w:val="222222"/>
          <w:sz w:val="22"/>
        </w:rPr>
        <w:t>If VT does not decrease monotonically with arc length in patient-specific models, the empirical VT equation would be inapplicable.</w:t>
      </w:r>
    </w:p>
    <w:p>
      <w:pPr>
        <w:pStyle w:val="ListNumber"/>
        <w:spacing w:before="40" w:after="80" w:line="276" w:lineRule="auto"/>
      </w:pPr>
      <w:r>
        <w:rPr>
          <w:rFonts w:ascii="Calibri" w:hAnsi="Calibri"/>
          <w:b w:val="0"/>
          <w:i w:val="0"/>
          <w:color w:val="222222"/>
          <w:sz w:val="22"/>
        </w:rPr>
        <w:t>If Vτ-guided asymmetric rings fail to produce the predicted apex migration clinically, the clinical translation of the validated torque would be falsified.</w:t>
      </w:r>
    </w:p>
    <w:p>
      <w:pPr>
        <w:pStyle w:val="ListNumber"/>
        <w:spacing w:before="40" w:after="80" w:line="276" w:lineRule="auto"/>
      </w:pPr>
      <w:r>
        <w:rPr>
          <w:rFonts w:ascii="Calibri" w:hAnsi="Calibri"/>
          <w:b w:val="0"/>
          <w:i w:val="0"/>
          <w:color w:val="222222"/>
          <w:sz w:val="22"/>
        </w:rPr>
        <w:t>If the AVBC-CI has the same variance as the nomogram CI in the prospective study, the framework adds complexity without predictive benefit.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13.4 Future Directions</w:t>
      </w:r>
    </w:p>
    <w:p>
      <w:pPr>
        <w:pStyle w:val="Heading3"/>
      </w:pPr>
      <w:r/>
      <w:r>
        <w:rPr>
          <w:rFonts w:ascii="Calibri" w:hAnsi="Calibri"/>
          <w:b w:val="0"/>
          <w:i w:val="0"/>
          <w:color w:val="1B365D"/>
          <w:sz w:val="24"/>
        </w:rPr>
        <w:t>13.4.1 Patient-Specific Finite Element Modeling</w:t>
      </w:r>
    </w:p>
    <w:p>
      <w:r>
        <w:rPr>
          <w:rFonts w:ascii="Calibri" w:hAnsi="Calibri"/>
          <w:b w:val="0"/>
          <w:i w:val="0"/>
          <w:color w:val="222222"/>
          <w:sz w:val="22"/>
        </w:rPr>
        <w:t>The most impactful extension of the AVBC framework would be patient-specific FEM — constructing a finite element model from each patient's actual tomographic data (Pentacam or Galilei export), solving for the displacement and stress fields under IOP, and extracting VR, VT, and Vτ for multiple ring configurations. This would transform the AVBC from a framework based on population-average mechanics to a truly personalized planning tool.</w:t>
      </w:r>
    </w:p>
    <w:p>
      <w:r>
        <w:rPr>
          <w:rFonts w:ascii="Calibri" w:hAnsi="Calibri"/>
          <w:b w:val="0"/>
          <w:i w:val="0"/>
          <w:color w:val="222222"/>
          <w:sz w:val="22"/>
        </w:rPr>
        <w:t>The technical requirements are substantial:</w:t>
      </w:r>
    </w:p>
    <w:p>
      <w:pPr>
        <w:pStyle w:val="ListBullet"/>
        <w:spacing w:before="40" w:after="80" w:line="276" w:lineRule="auto"/>
      </w:pPr>
      <w:r>
        <w:rPr>
          <w:rFonts w:ascii="Calibri" w:hAnsi="Calibri"/>
          <w:b w:val="0"/>
          <w:i w:val="0"/>
          <w:color w:val="222222"/>
          <w:sz w:val="22"/>
        </w:rPr>
        <w:t>Automated mesh generation from tomographic DICOM data</w:t>
      </w:r>
    </w:p>
    <w:p>
      <w:pPr>
        <w:pStyle w:val="ListBullet"/>
        <w:spacing w:before="40" w:after="80" w:line="276" w:lineRule="auto"/>
      </w:pPr>
      <w:r>
        <w:rPr>
          <w:rFonts w:ascii="Calibri" w:hAnsi="Calibri"/>
          <w:b w:val="0"/>
          <w:i w:val="0"/>
          <w:color w:val="222222"/>
          <w:sz w:val="22"/>
        </w:rPr>
        <w:t>Segmentation of the corneal surfaces (anterior, posterior) and thickness map</w:t>
      </w:r>
    </w:p>
    <w:p>
      <w:pPr>
        <w:pStyle w:val="ListBullet"/>
        <w:spacing w:before="40" w:after="80" w:line="276" w:lineRule="auto"/>
      </w:pPr>
      <w:r>
        <w:rPr>
          <w:rFonts w:ascii="Calibri" w:hAnsi="Calibri"/>
          <w:b w:val="0"/>
          <w:i w:val="0"/>
          <w:color w:val="222222"/>
          <w:sz w:val="22"/>
        </w:rPr>
        <w:t>Patient-specific material parameters (from Brillouin or ORA/Corvis calibration)</w:t>
      </w:r>
    </w:p>
    <w:p>
      <w:pPr>
        <w:pStyle w:val="ListBullet"/>
        <w:spacing w:before="40" w:after="80" w:line="276" w:lineRule="auto"/>
      </w:pPr>
      <w:r>
        <w:rPr>
          <w:rFonts w:ascii="Calibri" w:hAnsi="Calibri"/>
          <w:b w:val="0"/>
          <w:i w:val="0"/>
          <w:color w:val="222222"/>
          <w:sz w:val="22"/>
        </w:rPr>
        <w:t>Automated ring insertion and multi-configuration comparison</w:t>
      </w:r>
    </w:p>
    <w:p>
      <w:pPr>
        <w:pStyle w:val="ListBullet"/>
        <w:spacing w:before="40" w:after="80" w:line="276" w:lineRule="auto"/>
      </w:pPr>
      <w:r>
        <w:rPr>
          <w:rFonts w:ascii="Calibri" w:hAnsi="Calibri"/>
          <w:b w:val="0"/>
          <w:i w:val="0"/>
          <w:color w:val="222222"/>
          <w:sz w:val="22"/>
        </w:rPr>
        <w:t>Computation time &lt; 30 minutes per case (for clinical workflow feasibility)</w:t>
      </w:r>
    </w:p>
    <w:p>
      <w:r>
        <w:rPr>
          <w:rFonts w:ascii="Calibri" w:hAnsi="Calibri"/>
          <w:b w:val="0"/>
          <w:i w:val="0"/>
          <w:color w:val="222222"/>
          <w:sz w:val="22"/>
        </w:rPr>
        <w:t>Proof-of-concept work by Kling and Marcos (2013), Simonini et al. (2015), and Pandolfi et al. (2019) has demonstrated the feasibility of patient-specific corneal FEM, though not in the context of ICRS vector decomposition. Integrating AVBC vector extraction into these existing pipelines is a natural next step.</w:t>
      </w:r>
    </w:p>
    <w:p>
      <w:pPr>
        <w:pStyle w:val="Heading3"/>
      </w:pPr>
      <w:r/>
      <w:r>
        <w:rPr>
          <w:rFonts w:ascii="Calibri" w:hAnsi="Calibri"/>
          <w:b w:val="0"/>
          <w:i w:val="0"/>
          <w:color w:val="1B365D"/>
          <w:sz w:val="24"/>
        </w:rPr>
        <w:t>13.4.2 Machine Learning–Augmented Planning</w:t>
      </w:r>
    </w:p>
    <w:p>
      <w:r>
        <w:rPr>
          <w:rFonts w:ascii="Calibri" w:hAnsi="Calibri"/>
          <w:b w:val="0"/>
          <w:i w:val="0"/>
          <w:color w:val="222222"/>
          <w:sz w:val="22"/>
        </w:rPr>
        <w:t>Once a sufficiently large database of AVBC-guided ICRS cases is accumulated (target: 200+ cases with pre- and post-operative data), machine learning can be applied to:</w:t>
      </w:r>
    </w:p>
    <w:p>
      <w:pPr>
        <w:pStyle w:val="ListNumber"/>
        <w:spacing w:before="40" w:after="80" w:line="276" w:lineRule="auto"/>
      </w:pPr>
      <w:r>
        <w:rPr>
          <w:rFonts w:ascii="Calibri" w:hAnsi="Calibri"/>
          <w:b/>
          <w:i w:val="0"/>
          <w:color w:val="222222"/>
          <w:sz w:val="22"/>
        </w:rPr>
        <w:t>Calibrate the VR/VT/Vτ predictions:</w:t>
      </w:r>
      <w:r>
        <w:rPr>
          <w:rFonts w:ascii="Calibri" w:hAnsi="Calibri"/>
          <w:b w:val="0"/>
          <w:i w:val="0"/>
          <w:color w:val="222222"/>
          <w:sz w:val="22"/>
        </w:rPr>
        <w:t xml:space="preserve"> A neural network trained on actual outcomes can learn the mapping from patient parameters + ring configuration → actual VR, VT, Vτ, correcting for the systematic biases in the FEM-based estimates.</w:t>
      </w:r>
    </w:p>
    <w:p>
      <w:pPr>
        <w:pStyle w:val="ListNumber"/>
        <w:spacing w:before="40" w:after="80" w:line="276" w:lineRule="auto"/>
      </w:pPr>
      <w:r>
        <w:rPr>
          <w:rFonts w:ascii="Calibri" w:hAnsi="Calibri"/>
          <w:b/>
          <w:i w:val="0"/>
          <w:color w:val="222222"/>
          <w:sz w:val="22"/>
        </w:rPr>
        <w:t>Optimize ring selection:</w:t>
      </w:r>
      <w:r>
        <w:rPr>
          <w:rFonts w:ascii="Calibri" w:hAnsi="Calibri"/>
          <w:b w:val="0"/>
          <w:i w:val="0"/>
          <w:color w:val="222222"/>
          <w:sz w:val="22"/>
        </w:rPr>
        <w:t xml:space="preserve"> Given a patient's pre-operative data and desired outcomes, an optimization algorithm can search the ring parameter space (thickness × arc × depth × meridian × asymmetry) to find the configuration that best matches the dominant vector.</w:t>
      </w:r>
    </w:p>
    <w:p>
      <w:pPr>
        <w:pStyle w:val="ListNumber"/>
        <w:spacing w:before="40" w:after="80" w:line="276" w:lineRule="auto"/>
      </w:pPr>
      <w:r>
        <w:rPr>
          <w:rFonts w:ascii="Calibri" w:hAnsi="Calibri"/>
          <w:b/>
          <w:i w:val="0"/>
          <w:color w:val="222222"/>
          <w:sz w:val="22"/>
        </w:rPr>
        <w:t>Predict complications:</w:t>
      </w:r>
      <w:r>
        <w:rPr>
          <w:rFonts w:ascii="Calibri" w:hAnsi="Calibri"/>
          <w:b w:val="0"/>
          <w:i w:val="0"/>
          <w:color w:val="222222"/>
          <w:sz w:val="22"/>
        </w:rPr>
        <w:t xml:space="preserve"> Identify patients at elevated risk for ring extrusion, migration, or inefficacy based on biomechanical features.</w:t>
      </w:r>
    </w:p>
    <w:p>
      <w:r>
        <w:rPr>
          <w:rFonts w:ascii="Calibri" w:hAnsi="Calibri"/>
          <w:b w:val="0"/>
          <w:i w:val="0"/>
          <w:color w:val="222222"/>
          <w:sz w:val="22"/>
        </w:rPr>
        <w:t xml:space="preserve">This is not a replacement for mechanistic understanding — it is a complement. The AVBC framework provides the </w:t>
      </w:r>
      <w:r>
        <w:rPr>
          <w:rFonts w:ascii="Calibri" w:hAnsi="Calibri"/>
          <w:b w:val="0"/>
          <w:i/>
          <w:color w:val="222222"/>
          <w:sz w:val="22"/>
        </w:rPr>
        <w:t>language</w:t>
      </w:r>
      <w:r>
        <w:rPr>
          <w:rFonts w:ascii="Calibri" w:hAnsi="Calibri"/>
          <w:b w:val="0"/>
          <w:i w:val="0"/>
          <w:color w:val="222222"/>
          <w:sz w:val="22"/>
        </w:rPr>
        <w:t xml:space="preserve"> (VR, VT, Vτ); machine learning calibrates the </w:t>
      </w:r>
      <w:r>
        <w:rPr>
          <w:rFonts w:ascii="Calibri" w:hAnsi="Calibri"/>
          <w:b w:val="0"/>
          <w:i/>
          <w:color w:val="222222"/>
          <w:sz w:val="22"/>
        </w:rPr>
        <w:t>predictions</w:t>
      </w:r>
      <w:r>
        <w:rPr>
          <w:rFonts w:ascii="Calibri" w:hAnsi="Calibri"/>
          <w:b w:val="0"/>
          <w:i w:val="0"/>
          <w:color w:val="222222"/>
          <w:sz w:val="22"/>
        </w:rPr>
        <w:t>.</w:t>
      </w:r>
    </w:p>
    <w:p>
      <w:pPr>
        <w:pStyle w:val="Heading3"/>
      </w:pPr>
      <w:r/>
      <w:r>
        <w:rPr>
          <w:rFonts w:ascii="Calibri" w:hAnsi="Calibri"/>
          <w:b w:val="0"/>
          <w:i w:val="0"/>
          <w:color w:val="1B365D"/>
          <w:sz w:val="24"/>
        </w:rPr>
        <w:t>13.4.3 Intraoperative Biomechanical Monitoring</w:t>
      </w:r>
    </w:p>
    <w:p>
      <w:r>
        <w:rPr>
          <w:rFonts w:ascii="Calibri" w:hAnsi="Calibri"/>
          <w:b w:val="0"/>
          <w:i w:val="0"/>
          <w:color w:val="222222"/>
          <w:sz w:val="22"/>
        </w:rPr>
        <w:t>Emerging technologies may enable real-time biomechanical assessment during ICRS surgery:</w:t>
      </w:r>
    </w:p>
    <w:p>
      <w:pPr>
        <w:pStyle w:val="ListBullet"/>
        <w:spacing w:before="40" w:after="80" w:line="276" w:lineRule="auto"/>
      </w:pPr>
      <w:r>
        <w:rPr>
          <w:rFonts w:ascii="Calibri" w:hAnsi="Calibri"/>
          <w:b/>
          <w:i w:val="0"/>
          <w:color w:val="222222"/>
          <w:sz w:val="22"/>
        </w:rPr>
        <w:t>Intraoperative OCT:</w:t>
      </w:r>
      <w:r>
        <w:rPr>
          <w:rFonts w:ascii="Calibri" w:hAnsi="Calibri"/>
          <w:b w:val="0"/>
          <w:i w:val="0"/>
          <w:color w:val="222222"/>
          <w:sz w:val="22"/>
        </w:rPr>
        <w:t xml:space="preserve"> Provides real-time cross-sectional imaging of the ring within the channel. Could be used to verify depth and position.</w:t>
      </w:r>
    </w:p>
    <w:p>
      <w:pPr>
        <w:pStyle w:val="ListBullet"/>
        <w:spacing w:before="40" w:after="80" w:line="276" w:lineRule="auto"/>
      </w:pPr>
      <w:r>
        <w:rPr>
          <w:rFonts w:ascii="Calibri" w:hAnsi="Calibri"/>
          <w:b/>
          <w:i w:val="0"/>
          <w:color w:val="222222"/>
          <w:sz w:val="22"/>
        </w:rPr>
        <w:t>Brillouin microscopy integration:</w:t>
      </w:r>
      <w:r>
        <w:rPr>
          <w:rFonts w:ascii="Calibri" w:hAnsi="Calibri"/>
          <w:b w:val="0"/>
          <w:i w:val="0"/>
          <w:color w:val="222222"/>
          <w:sz w:val="22"/>
        </w:rPr>
        <w:t xml:space="preserve"> Real-time stiffness mapping during the procedure could identify regional variations and guide ring placement.</w:t>
      </w:r>
    </w:p>
    <w:p>
      <w:pPr>
        <w:pStyle w:val="ListBullet"/>
        <w:spacing w:before="40" w:after="80" w:line="276" w:lineRule="auto"/>
      </w:pPr>
      <w:r>
        <w:rPr>
          <w:rFonts w:ascii="Calibri" w:hAnsi="Calibri"/>
          <w:b/>
          <w:i w:val="0"/>
          <w:color w:val="222222"/>
          <w:sz w:val="22"/>
        </w:rPr>
        <w:t>Air-puff response during surgery:</w:t>
      </w:r>
      <w:r>
        <w:rPr>
          <w:rFonts w:ascii="Calibri" w:hAnsi="Calibri"/>
          <w:b w:val="0"/>
          <w:i w:val="0"/>
          <w:color w:val="222222"/>
          <w:sz w:val="22"/>
        </w:rPr>
        <w:t xml:space="preserve"> Intraoperative corneal deformation response (mini-Corvis) could provide immediate feedback on the biomechanical effect of the ring.</w:t>
      </w:r>
    </w:p>
    <w:p>
      <w:r>
        <w:rPr>
          <w:rFonts w:ascii="Calibri" w:hAnsi="Calibri"/>
          <w:b w:val="0"/>
          <w:i w:val="0"/>
          <w:color w:val="222222"/>
          <w:sz w:val="22"/>
        </w:rPr>
        <w:t>These technologies are currently research-grade but may become clinically available within 5–10 years.</w:t>
      </w:r>
    </w:p>
    <w:p>
      <w:pPr>
        <w:pStyle w:val="Heading3"/>
      </w:pPr>
      <w:r/>
      <w:r>
        <w:rPr>
          <w:rFonts w:ascii="Calibri" w:hAnsi="Calibri"/>
          <w:b w:val="0"/>
          <w:i w:val="0"/>
          <w:color w:val="1B365D"/>
          <w:sz w:val="24"/>
        </w:rPr>
        <w:t>13.4.4 Extension to Other Ectatic Conditions</w:t>
      </w:r>
    </w:p>
    <w:p>
      <w:r>
        <w:rPr>
          <w:rFonts w:ascii="Calibri" w:hAnsi="Calibri"/>
          <w:b w:val="0"/>
          <w:i w:val="0"/>
          <w:color w:val="222222"/>
          <w:sz w:val="22"/>
        </w:rPr>
        <w:t>The AVBC framework is developed for keratoconus, but the underlying mechanics apply to any condition involving corneal biomechanical compromise:</w:t>
      </w:r>
    </w:p>
    <w:p>
      <w:pPr>
        <w:pStyle w:val="ListBullet"/>
        <w:spacing w:before="40" w:after="80" w:line="276" w:lineRule="auto"/>
      </w:pPr>
      <w:r>
        <w:rPr>
          <w:rFonts w:ascii="Calibri" w:hAnsi="Calibri"/>
          <w:b/>
          <w:i w:val="0"/>
          <w:color w:val="222222"/>
          <w:sz w:val="22"/>
        </w:rPr>
        <w:t>Post-LASIK ectasia:</w:t>
      </w:r>
      <w:r>
        <w:rPr>
          <w:rFonts w:ascii="Calibri" w:hAnsi="Calibri"/>
          <w:b w:val="0"/>
          <w:i w:val="0"/>
          <w:color w:val="222222"/>
          <w:sz w:val="22"/>
        </w:rPr>
        <w:t xml:space="preserve"> The weakened flap-bed interface creates a different stress distribution than keratoconus, but VR, VT, and Vτ remain applicable.</w:t>
      </w:r>
    </w:p>
    <w:p>
      <w:pPr>
        <w:pStyle w:val="ListBullet"/>
        <w:spacing w:before="40" w:after="80" w:line="276" w:lineRule="auto"/>
      </w:pPr>
      <w:r>
        <w:rPr>
          <w:rFonts w:ascii="Calibri" w:hAnsi="Calibri"/>
          <w:b/>
          <w:i w:val="0"/>
          <w:color w:val="222222"/>
          <w:sz w:val="22"/>
        </w:rPr>
        <w:t>Pellucid marginal degeneration:</w:t>
      </w:r>
      <w:r>
        <w:rPr>
          <w:rFonts w:ascii="Calibri" w:hAnsi="Calibri"/>
          <w:b w:val="0"/>
          <w:i w:val="0"/>
          <w:color w:val="222222"/>
          <w:sz w:val="22"/>
        </w:rPr>
        <w:t xml:space="preserve"> The peripheral thinning band creates a geometry where the ring must bridge the weakened zone — Vτ may be particularly relevant.</w:t>
      </w:r>
    </w:p>
    <w:p>
      <w:pPr>
        <w:pStyle w:val="ListBullet"/>
        <w:spacing w:before="40" w:after="80" w:line="276" w:lineRule="auto"/>
      </w:pPr>
      <w:r>
        <w:rPr>
          <w:rFonts w:ascii="Calibri" w:hAnsi="Calibri"/>
          <w:b/>
          <w:i w:val="0"/>
          <w:color w:val="222222"/>
          <w:sz w:val="22"/>
        </w:rPr>
        <w:t>Keratoglobus:</w:t>
      </w:r>
      <w:r>
        <w:rPr>
          <w:rFonts w:ascii="Calibri" w:hAnsi="Calibri"/>
          <w:b w:val="0"/>
          <w:i w:val="0"/>
          <w:color w:val="222222"/>
          <w:sz w:val="22"/>
        </w:rPr>
        <w:t xml:space="preserve"> The diffuse thinning may benefit from full-ring (360°) strategies that leverage the VR-dominant mechanism.</w:t>
      </w:r>
    </w:p>
    <w:p>
      <w:pPr>
        <w:pStyle w:val="Heading3"/>
      </w:pPr>
      <w:r/>
      <w:r>
        <w:rPr>
          <w:rFonts w:ascii="Calibri" w:hAnsi="Calibri"/>
          <w:b w:val="0"/>
          <w:i w:val="0"/>
          <w:color w:val="1B365D"/>
          <w:sz w:val="24"/>
        </w:rPr>
        <w:t>13.4.5 Combined CXL + ICRS Optimization</w:t>
      </w:r>
    </w:p>
    <w:p>
      <w:r>
        <w:rPr>
          <w:rFonts w:ascii="Calibri" w:hAnsi="Calibri"/>
          <w:b w:val="0"/>
          <w:i w:val="0"/>
          <w:color w:val="222222"/>
          <w:sz w:val="22"/>
        </w:rPr>
        <w:t>The most common clinical scenario for advanced keratoconus is sequential CXL followed by ICRS. The AVBC framework could be extended to model the biomechanical interaction between crosslinking (which increases k₁) and ring implantation (which modifies the stress field). A combined CXL + ICRS optimizer would:</w:t>
      </w:r>
    </w:p>
    <w:p>
      <w:pPr>
        <w:pStyle w:val="ListNumber"/>
        <w:spacing w:before="40" w:after="80" w:line="276" w:lineRule="auto"/>
      </w:pPr>
      <w:r>
        <w:rPr>
          <w:rFonts w:ascii="Calibri" w:hAnsi="Calibri"/>
          <w:b w:val="0"/>
          <w:i w:val="0"/>
          <w:color w:val="222222"/>
          <w:sz w:val="22"/>
        </w:rPr>
        <w:t>Estimate the post-CXL material parameters (based on CXL protocol, fluence, and treatment zone)</w:t>
      </w:r>
    </w:p>
    <w:p>
      <w:pPr>
        <w:pStyle w:val="ListNumber"/>
        <w:spacing w:before="40" w:after="80" w:line="276" w:lineRule="auto"/>
      </w:pPr>
      <w:r>
        <w:rPr>
          <w:rFonts w:ascii="Calibri" w:hAnsi="Calibri"/>
          <w:b w:val="0"/>
          <w:i w:val="0"/>
          <w:color w:val="222222"/>
          <w:sz w:val="22"/>
        </w:rPr>
        <w:t>Adjust the AVBC vector predictions for the stiffer tissue</w:t>
      </w:r>
    </w:p>
    <w:p>
      <w:pPr>
        <w:pStyle w:val="ListNumber"/>
        <w:spacing w:before="40" w:after="80" w:line="276" w:lineRule="auto"/>
      </w:pPr>
      <w:r>
        <w:rPr>
          <w:rFonts w:ascii="Calibri" w:hAnsi="Calibri"/>
          <w:b w:val="0"/>
          <w:i w:val="0"/>
          <w:color w:val="222222"/>
          <w:sz w:val="22"/>
        </w:rPr>
        <w:t>Select ring parameters optimized for the post-CXL biomechanical state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13.5 Summary</w:t>
      </w:r>
    </w:p>
    <w:p>
      <w:pPr>
        <w:pStyle w:val="ListBullet"/>
        <w:spacing w:before="40" w:after="80" w:line="276" w:lineRule="auto"/>
      </w:pPr>
      <w:r>
        <w:rPr>
          <w:rFonts w:ascii="Calibri" w:hAnsi="Calibri"/>
          <w:b w:val="0"/>
          <w:i w:val="0"/>
          <w:color w:val="222222"/>
          <w:sz w:val="22"/>
        </w:rPr>
        <w:t xml:space="preserve">The AVBC framework has </w:t>
      </w:r>
      <w:r>
        <w:rPr>
          <w:rFonts w:ascii="Calibri" w:hAnsi="Calibri"/>
          <w:b/>
          <w:i w:val="0"/>
          <w:color w:val="222222"/>
          <w:sz w:val="22"/>
        </w:rPr>
        <w:t>specific, identifiable limitations</w:t>
      </w:r>
      <w:r>
        <w:rPr>
          <w:rFonts w:ascii="Calibri" w:hAnsi="Calibri"/>
          <w:b w:val="0"/>
          <w:i w:val="0"/>
          <w:color w:val="222222"/>
          <w:sz w:val="22"/>
        </w:rPr>
        <w:t>: geometric simplifications, uniform material properties, simplified ICRS–stroma interface, and the need for clinical translation and validation of the Vτ torque vector.</w:t>
      </w:r>
    </w:p>
    <w:p>
      <w:pPr>
        <w:pStyle w:val="ListBullet"/>
        <w:spacing w:before="40" w:after="80" w:line="276" w:lineRule="auto"/>
      </w:pPr>
      <w:r>
        <w:rPr>
          <w:rFonts w:ascii="Calibri" w:hAnsi="Calibri"/>
          <w:b w:val="0"/>
          <w:i w:val="0"/>
          <w:color w:val="222222"/>
          <w:sz w:val="22"/>
        </w:rPr>
        <w:t xml:space="preserve">These limitations are addressable through </w:t>
      </w:r>
      <w:r>
        <w:rPr>
          <w:rFonts w:ascii="Calibri" w:hAnsi="Calibri"/>
          <w:b/>
          <w:i w:val="0"/>
          <w:color w:val="222222"/>
          <w:sz w:val="22"/>
        </w:rPr>
        <w:t>planned computational and clinical studies</w:t>
      </w:r>
      <w:r>
        <w:rPr>
          <w:rFonts w:ascii="Calibri" w:hAnsi="Calibri"/>
          <w:b w:val="0"/>
          <w:i w:val="0"/>
          <w:color w:val="222222"/>
          <w:sz w:val="22"/>
        </w:rPr>
        <w:t xml:space="preserve"> organized in a phased validation roadmap.</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prospective clinical study</w:t>
      </w:r>
      <w:r>
        <w:rPr>
          <w:rFonts w:ascii="Calibri" w:hAnsi="Calibri"/>
          <w:b w:val="0"/>
          <w:i w:val="0"/>
          <w:color w:val="222222"/>
          <w:sz w:val="22"/>
        </w:rPr>
        <w:t xml:space="preserve"> (N = 100, two-arm, 6-month outcomes) will provide the definitive test of whether AVBC-guided planning outperforms nomogram-guided planning in predictive accuracy.</w:t>
      </w:r>
    </w:p>
    <w:p>
      <w:pPr>
        <w:pStyle w:val="ListBullet"/>
        <w:spacing w:before="40" w:after="80" w:line="276" w:lineRule="auto"/>
      </w:pPr>
      <w:r>
        <w:rPr>
          <w:rFonts w:ascii="Calibri" w:hAnsi="Calibri"/>
          <w:b w:val="0"/>
          <w:i w:val="0"/>
          <w:color w:val="222222"/>
          <w:sz w:val="22"/>
        </w:rPr>
        <w:t xml:space="preserve">Future directions include </w:t>
      </w:r>
      <w:r>
        <w:rPr>
          <w:rFonts w:ascii="Calibri" w:hAnsi="Calibri"/>
          <w:b/>
          <w:i w:val="0"/>
          <w:color w:val="222222"/>
          <w:sz w:val="22"/>
        </w:rPr>
        <w:t>patient-specific FEM</w:t>
      </w:r>
      <w:r>
        <w:rPr>
          <w:rFonts w:ascii="Calibri" w:hAnsi="Calibri"/>
          <w:b w:val="0"/>
          <w:i w:val="0"/>
          <w:color w:val="222222"/>
          <w:sz w:val="22"/>
        </w:rPr>
        <w:t xml:space="preserve">, </w:t>
      </w:r>
      <w:r>
        <w:rPr>
          <w:rFonts w:ascii="Calibri" w:hAnsi="Calibri"/>
          <w:b/>
          <w:i w:val="0"/>
          <w:color w:val="222222"/>
          <w:sz w:val="22"/>
        </w:rPr>
        <w:t>machine learning calibration</w:t>
      </w:r>
      <w:r>
        <w:rPr>
          <w:rFonts w:ascii="Calibri" w:hAnsi="Calibri"/>
          <w:b w:val="0"/>
          <w:i w:val="0"/>
          <w:color w:val="222222"/>
          <w:sz w:val="22"/>
        </w:rPr>
        <w:t xml:space="preserve">, </w:t>
      </w:r>
      <w:r>
        <w:rPr>
          <w:rFonts w:ascii="Calibri" w:hAnsi="Calibri"/>
          <w:b/>
          <w:i w:val="0"/>
          <w:color w:val="222222"/>
          <w:sz w:val="22"/>
        </w:rPr>
        <w:t>intraoperative monitoring</w:t>
      </w:r>
      <w:r>
        <w:rPr>
          <w:rFonts w:ascii="Calibri" w:hAnsi="Calibri"/>
          <w:b w:val="0"/>
          <w:i w:val="0"/>
          <w:color w:val="222222"/>
          <w:sz w:val="22"/>
        </w:rPr>
        <w:t xml:space="preserve">, and </w:t>
      </w:r>
      <w:r>
        <w:rPr>
          <w:rFonts w:ascii="Calibri" w:hAnsi="Calibri"/>
          <w:b/>
          <w:i w:val="0"/>
          <w:color w:val="222222"/>
          <w:sz w:val="22"/>
        </w:rPr>
        <w:t>extension to other ectatic conditions</w:t>
      </w:r>
      <w:r>
        <w:rPr>
          <w:rFonts w:ascii="Calibri" w:hAnsi="Calibri"/>
          <w:b w:val="0"/>
          <w:i w:val="0"/>
          <w:color w:val="222222"/>
          <w:sz w:val="22"/>
        </w:rPr>
        <w:t>.</w:t>
      </w:r>
    </w:p>
    <w:p>
      <w:pPr>
        <w:pStyle w:val="ListBullet"/>
        <w:spacing w:before="40" w:after="80" w:line="276" w:lineRule="auto"/>
      </w:pPr>
      <w:r>
        <w:rPr>
          <w:rFonts w:ascii="Calibri" w:hAnsi="Calibri"/>
          <w:b w:val="0"/>
          <w:i w:val="0"/>
          <w:color w:val="222222"/>
          <w:sz w:val="22"/>
        </w:rPr>
        <w:t xml:space="preserve">The framework is explicitly </w:t>
      </w:r>
      <w:r>
        <w:rPr>
          <w:rFonts w:ascii="Calibri" w:hAnsi="Calibri"/>
          <w:b/>
          <w:i w:val="0"/>
          <w:color w:val="222222"/>
          <w:sz w:val="22"/>
        </w:rPr>
        <w:t>designed to be falsifiable</w:t>
      </w:r>
      <w:r>
        <w:rPr>
          <w:rFonts w:ascii="Calibri" w:hAnsi="Calibri"/>
          <w:b w:val="0"/>
          <w:i w:val="0"/>
          <w:color w:val="222222"/>
          <w:sz w:val="22"/>
        </w:rPr>
        <w:t xml:space="preserve"> — the conditions under which it would be considered invalid are clearly stated.</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et al. Finite element analysis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Gizzi A, Vasta M. A microstructural model of cross-link interaction between collagen fibrils in the human cornea. </w:t>
      </w:r>
      <w:r>
        <w:rPr>
          <w:rFonts w:ascii="Calibri" w:hAnsi="Calibri"/>
          <w:b w:val="0"/>
          <w:i/>
          <w:color w:val="222222"/>
          <w:sz w:val="22"/>
        </w:rPr>
        <w:t>Phil Trans R Soc A</w:t>
      </w:r>
      <w:r>
        <w:rPr>
          <w:rFonts w:ascii="Calibri" w:hAnsi="Calibri"/>
          <w:b w:val="0"/>
          <w:i w:val="0"/>
          <w:color w:val="222222"/>
          <w:sz w:val="22"/>
        </w:rPr>
        <w:t>. 2019;377(2144):20180079.</w:t>
      </w:r>
    </w:p>
    <w:p>
      <w:pPr>
        <w:pStyle w:val="ListNumber"/>
        <w:spacing w:before="40" w:after="80" w:line="276" w:lineRule="auto"/>
      </w:pPr>
      <w:r>
        <w:rPr>
          <w:rFonts w:ascii="Calibri" w:hAnsi="Calibri"/>
          <w:b w:val="0"/>
          <w:i w:val="0"/>
          <w:color w:val="222222"/>
          <w:sz w:val="22"/>
        </w:rPr>
        <w:t xml:space="preserve">Scarcelli G, Besner S, Pineda R, et al. In vivo biomechanical mapping of normal and keratoconus corneas. </w:t>
      </w:r>
      <w:r>
        <w:rPr>
          <w:rFonts w:ascii="Calibri" w:hAnsi="Calibri"/>
          <w:b w:val="0"/>
          <w:i/>
          <w:color w:val="222222"/>
          <w:sz w:val="22"/>
        </w:rPr>
        <w:t>JAMA Ophthalmol</w:t>
      </w:r>
      <w:r>
        <w:rPr>
          <w:rFonts w:ascii="Calibri" w:hAnsi="Calibri"/>
          <w:b w:val="0"/>
          <w:i w:val="0"/>
          <w:color w:val="222222"/>
          <w:sz w:val="22"/>
        </w:rPr>
        <w:t>. 2015;133(4):480–482.</w:t>
      </w:r>
    </w:p>
    <w:p>
      <w:pPr>
        <w:pStyle w:val="ListNumber"/>
        <w:spacing w:before="40" w:after="80" w:line="276" w:lineRule="auto"/>
      </w:pPr>
      <w:r>
        <w:rPr>
          <w:rFonts w:ascii="Calibri" w:hAnsi="Calibri"/>
          <w:b w:val="0"/>
          <w:i w:val="0"/>
          <w:color w:val="222222"/>
          <w:sz w:val="22"/>
        </w:rPr>
        <w:t xml:space="preserve">Simonini I, Angelillo M, Pandolfi A. Theoretical and computational analysis of the biomechanics of ICRS for keratoconus. </w:t>
      </w:r>
      <w:r>
        <w:rPr>
          <w:rFonts w:ascii="Calibri" w:hAnsi="Calibri"/>
          <w:b w:val="0"/>
          <w:i/>
          <w:color w:val="222222"/>
          <w:sz w:val="22"/>
        </w:rPr>
        <w:t>J Mech Behav Biomed Mater</w:t>
      </w:r>
      <w:r>
        <w:rPr>
          <w:rFonts w:ascii="Calibri" w:hAnsi="Calibri"/>
          <w:b w:val="0"/>
          <w:i w:val="0"/>
          <w:color w:val="222222"/>
          <w:sz w:val="22"/>
        </w:rPr>
        <w:t>. 2015;51:260–275.</w:t>
      </w:r>
    </w:p>
    <w:p>
      <w:pPr>
        <w:pStyle w:val="ListNumber"/>
        <w:spacing w:before="40" w:after="80" w:line="276" w:lineRule="auto"/>
      </w:pPr>
      <w:r>
        <w:rPr>
          <w:rFonts w:ascii="Calibri" w:hAnsi="Calibri"/>
          <w:b w:val="0"/>
          <w:i w:val="0"/>
          <w:color w:val="222222"/>
          <w:sz w:val="22"/>
        </w:rPr>
        <w:t xml:space="preserve">Wollensak G, Spoerl E, Seiler T. Riboflavin/UVA crosslinking. </w:t>
      </w:r>
      <w:r>
        <w:rPr>
          <w:rFonts w:ascii="Calibri" w:hAnsi="Calibri"/>
          <w:b w:val="0"/>
          <w:i/>
          <w:color w:val="222222"/>
          <w:sz w:val="22"/>
        </w:rPr>
        <w:t>J Cataract Refract Surg</w:t>
      </w:r>
      <w:r>
        <w:rPr>
          <w:rFonts w:ascii="Calibri" w:hAnsi="Calibri"/>
          <w:b w:val="0"/>
          <w:i w:val="0"/>
          <w:color w:val="222222"/>
          <w:sz w:val="22"/>
        </w:rPr>
        <w:t>. 2003;29(9):1780–1785.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