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rFonts w:ascii="Calibri" w:hAnsi="Calibri"/>
          <w:b w:val="0"/>
          <w:i w:val="0"/>
          <w:color w:val="1B365D"/>
          <w:sz w:val="36"/>
        </w:rPr>
        <w:t>Chapter 15 — Conclusion: Toward a Biomechanical Language for ICRS</w:t>
      </w:r>
    </w:p>
    <w:p>
      <w:pPr>
        <w:spacing w:before="80" w:after="120" w:line="276" w:lineRule="auto"/>
        <w:ind w:left="720" w:right="720"/>
      </w:pPr>
      <w:r>
        <w:rPr>
          <w:rFonts w:ascii="Calibri" w:hAnsi="Calibri"/>
          <w:b/>
          <w:i w:val="0"/>
          <w:color w:val="334E68"/>
          <w:sz w:val="21"/>
        </w:rPr>
        <w:t>Corneal Biomechanical Vector Analysis for Intracorneal Ring Segment Planning</w:t>
      </w:r>
      <w:r>
        <w:rPr>
          <w:rFonts w:ascii="Calibri" w:hAnsi="Calibri"/>
          <w:b w:val="0"/>
          <w:i w:val="0"/>
          <w:color w:val="334E68"/>
          <w:sz w:val="21"/>
        </w:rPr>
        <w:t xml:space="preserve"> </w:t>
      </w:r>
      <w:r>
        <w:rPr>
          <w:rFonts w:ascii="Calibri" w:hAnsi="Calibri"/>
          <w:b w:val="0"/>
          <w:i/>
          <w:color w:val="334E68"/>
          <w:sz w:val="21"/>
        </w:rPr>
        <w:t>Part V — Horizons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15.1 Recapitulation</w:t>
      </w:r>
    </w:p>
    <w:p>
      <w:r>
        <w:rPr>
          <w:rFonts w:ascii="Calibri" w:hAnsi="Calibri"/>
          <w:b w:val="0"/>
          <w:i w:val="0"/>
          <w:color w:val="222222"/>
          <w:sz w:val="22"/>
        </w:rPr>
        <w:t>This book has presented the Análise Vetorial Biomecânica Corneana (AVBC) — a framework for intracorneal ring segment planning that departs from the empirical tradition of nomogram-based selection and moves toward mechanistic, biomechanically informed decision-making. The argument has proceeded through five stages:</w:t>
      </w:r>
    </w:p>
    <w:p>
      <w:r>
        <w:rPr>
          <w:rFonts w:ascii="Calibri" w:hAnsi="Calibri"/>
          <w:b/>
          <w:i w:val="0"/>
          <w:color w:val="222222"/>
          <w:sz w:val="22"/>
        </w:rPr>
        <w:t>First</w:t>
      </w:r>
      <w:r>
        <w:rPr>
          <w:rFonts w:ascii="Calibri" w:hAnsi="Calibri"/>
          <w:b w:val="0"/>
          <w:i w:val="0"/>
          <w:color w:val="222222"/>
          <w:sz w:val="22"/>
        </w:rPr>
        <w:t>, we established that keratoconus is fundamentally a biomechanical disease — a disorder of collagen integrity, stress distribution, and material property degradation — rather than merely a geometric deformity (Chapter 1). The Dupps decompensation cycle, the Brillouin microscopy evidence, and the ORA/Corvis data all converge on this conclusion. The implication is clear: if the disease is biomechanical, the intervention must be understood biomechanically.</w:t>
      </w:r>
    </w:p>
    <w:p>
      <w:r>
        <w:rPr>
          <w:rFonts w:ascii="Calibri" w:hAnsi="Calibri"/>
          <w:b/>
          <w:i w:val="0"/>
          <w:color w:val="222222"/>
          <w:sz w:val="22"/>
        </w:rPr>
        <w:t>Second</w:t>
      </w:r>
      <w:r>
        <w:rPr>
          <w:rFonts w:ascii="Calibri" w:hAnsi="Calibri"/>
          <w:b w:val="0"/>
          <w:i w:val="0"/>
          <w:color w:val="222222"/>
          <w:sz w:val="22"/>
        </w:rPr>
        <w:t>, we reviewed the mechanisms of ICRS action and demonstrated, through finite element analysis, that the effect is not a single phenomenon but a composite of three independent mechanisms: radial displacement (VR), tangential stress redistribution (VT), and asymmetric torque (Vτ) (Chapters 2, 6, 7, 8). Each mechanism is modulated by a different ring parameter — thickness for VR, arc length for VT, asymmetry for Vτ — enabling independent control of flattening, regularization, and apex repositioning.</w:t>
      </w:r>
    </w:p>
    <w:p>
      <w:r>
        <w:rPr>
          <w:rFonts w:ascii="Calibri" w:hAnsi="Calibri"/>
          <w:b/>
          <w:i w:val="0"/>
          <w:color w:val="222222"/>
          <w:sz w:val="22"/>
        </w:rPr>
        <w:t>Third</w:t>
      </w:r>
      <w:r>
        <w:rPr>
          <w:rFonts w:ascii="Calibri" w:hAnsi="Calibri"/>
          <w:b w:val="0"/>
          <w:i w:val="0"/>
          <w:color w:val="222222"/>
          <w:sz w:val="22"/>
        </w:rPr>
        <w:t>, we demonstrated the limitations of existing nomograms — their inability to capture biomechanical heterogeneity, the evidence of inter-surgeon disagreement, and the curse of dimensionality that makes empirical lookup tables fundamentally inadequate for a problem with five or more relevant parameters (Chapter 4). We drew the parallel to the evolution of IOL calculation from SRK (empirical) to ray-tracing (mechanistic) and argued that ICRS planning requires the same evolution.</w:t>
      </w:r>
    </w:p>
    <w:p>
      <w:r>
        <w:rPr>
          <w:rFonts w:ascii="Calibri" w:hAnsi="Calibri"/>
          <w:b/>
          <w:i w:val="0"/>
          <w:color w:val="222222"/>
          <w:sz w:val="22"/>
        </w:rPr>
        <w:t>Fourth</w:t>
      </w:r>
      <w:r>
        <w:rPr>
          <w:rFonts w:ascii="Calibri" w:hAnsi="Calibri"/>
          <w:b w:val="0"/>
          <w:i w:val="0"/>
          <w:color w:val="222222"/>
          <w:sz w:val="22"/>
        </w:rPr>
        <w:t>, we presented the AVBC classification system — a trimodal assessment (Optical, Topographic, Biomechanical) that structures the clinical decision process and maps patient characteristics to ring configurations through biomechanical reasoning rather than empirical correlation (Chapters 5, 9, 11). The clinical workflow, worked examples, and case studies demonstrate that the framework is practical and actionable.</w:t>
      </w:r>
    </w:p>
    <w:p>
      <w:r>
        <w:rPr>
          <w:rFonts w:ascii="Calibri" w:hAnsi="Calibri"/>
          <w:b/>
          <w:i w:val="0"/>
          <w:color w:val="222222"/>
          <w:sz w:val="22"/>
        </w:rPr>
        <w:t>Fifth</w:t>
      </w:r>
      <w:r>
        <w:rPr>
          <w:rFonts w:ascii="Calibri" w:hAnsi="Calibri"/>
          <w:b w:val="0"/>
          <w:i w:val="0"/>
          <w:color w:val="222222"/>
          <w:sz w:val="22"/>
        </w:rPr>
        <w:t>, we presented the computational validation — 34 finite element simulations using the HGO constitutive model in FEBio 4.12, including 6 progressive-thickness asymmetric models. These simulations confirmed the key quantitative findings: the insensitivity of VR to arc length, the monotonicity of VT with arc length ($VT = -0.0018 \times \text{arc}^\circ + 7.79$, $R^2 = 0.94$), the numerical zero of $V\tau$ for symmetric rings, and the physical validation of active corrective torque ($V\tau = 9.31\text{--}18.34\ \mu\text{N}\cdot\text{m}$) generated by asymmetric progressive-thickness designs (Chapter 10).</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15.2 The Three Contributions</w:t>
      </w:r>
    </w:p>
    <w:p>
      <w:pPr>
        <w:pStyle w:val="Heading3"/>
      </w:pPr>
      <w:r/>
      <w:r>
        <w:rPr>
          <w:rFonts w:ascii="Calibri" w:hAnsi="Calibri"/>
          <w:b w:val="0"/>
          <w:i w:val="0"/>
          <w:color w:val="1B365D"/>
          <w:sz w:val="24"/>
        </w:rPr>
        <w:t>15.2.1 A Language</w:t>
      </w:r>
    </w:p>
    <w:p>
      <w:r>
        <w:rPr>
          <w:rFonts w:ascii="Calibri" w:hAnsi="Calibri"/>
          <w:b w:val="0"/>
          <w:i w:val="0"/>
          <w:color w:val="222222"/>
          <w:sz w:val="22"/>
        </w:rPr>
        <w:t xml:space="preserve">The primary contribution of this work is not a new nomogram or a new ring design. It is a </w:t>
      </w:r>
      <w:r>
        <w:rPr>
          <w:rFonts w:ascii="Calibri" w:hAnsi="Calibri"/>
          <w:b/>
          <w:i w:val="0"/>
          <w:color w:val="222222"/>
          <w:sz w:val="22"/>
        </w:rPr>
        <w:t>language</w:t>
      </w:r>
      <w:r>
        <w:rPr>
          <w:rFonts w:ascii="Calibri" w:hAnsi="Calibri"/>
          <w:b w:val="0"/>
          <w:i w:val="0"/>
          <w:color w:val="222222"/>
          <w:sz w:val="22"/>
        </w:rPr>
        <w:t xml:space="preserve"> — a standardized vocabulary of biomechanical concepts (VR, VT, Vτ, ENM, AVBC-CI) that enables the corneal surgeon to reason about ICRS effects in mechanistic terms. Before the AVBC, the surgeon could ask: "Will a 250 μm ring at 160° flatten this cornea?" After the AVBC, the surgeon can ask: "Is flattening the dominant need, or is regularization more important? If regularization, should I increase the arc length? Is the ENM aligned with K-steep, or do I need to redirect the ring meridian?"</w:t>
      </w:r>
    </w:p>
    <w:p>
      <w:r>
        <w:rPr>
          <w:rFonts w:ascii="Calibri" w:hAnsi="Calibri"/>
          <w:b w:val="0"/>
          <w:i w:val="0"/>
          <w:color w:val="222222"/>
          <w:sz w:val="22"/>
        </w:rPr>
        <w:t>This shift — from "what ring should I implant?" to "what mechanism should I invoke?" — is the conceptual core of the AVBC. The language makes the mechanism explicit, and explicit mechanisms can be discussed, debated, calibrated, and improved.</w:t>
      </w:r>
    </w:p>
    <w:p>
      <w:pPr>
        <w:pStyle w:val="Heading3"/>
      </w:pPr>
      <w:r/>
      <w:r>
        <w:rPr>
          <w:rFonts w:ascii="Calibri" w:hAnsi="Calibri"/>
          <w:b w:val="0"/>
          <w:i w:val="0"/>
          <w:color w:val="1B365D"/>
          <w:sz w:val="24"/>
        </w:rPr>
        <w:t>15.2.2 A Framework</w:t>
      </w:r>
    </w:p>
    <w:p>
      <w:r>
        <w:rPr>
          <w:rFonts w:ascii="Calibri" w:hAnsi="Calibri"/>
          <w:b w:val="0"/>
          <w:i w:val="0"/>
          <w:color w:val="222222"/>
          <w:sz w:val="22"/>
        </w:rPr>
        <w:t>The second contribution is the structured decision framework — the trimodal assessment, the vector selection algorithm, and the ring prescription logic. This framework transforms biomechanical understanding into clinical action. It is designed to be:</w:t>
      </w:r>
    </w:p>
    <w:p>
      <w:pPr>
        <w:pStyle w:val="ListBullet"/>
        <w:spacing w:before="40" w:after="80" w:line="276" w:lineRule="auto"/>
      </w:pPr>
      <w:r>
        <w:rPr>
          <w:rFonts w:ascii="Calibri" w:hAnsi="Calibri"/>
          <w:b/>
          <w:i w:val="0"/>
          <w:color w:val="222222"/>
          <w:sz w:val="22"/>
        </w:rPr>
        <w:t>Additive:</w:t>
      </w:r>
      <w:r>
        <w:rPr>
          <w:rFonts w:ascii="Calibri" w:hAnsi="Calibri"/>
          <w:b w:val="0"/>
          <w:i w:val="0"/>
          <w:color w:val="222222"/>
          <w:sz w:val="22"/>
        </w:rPr>
        <w:t xml:space="preserve"> It uses existing clinical data (topography, aberrometry, refraction) without requiring new instrumentation.</w:t>
      </w:r>
    </w:p>
    <w:p>
      <w:pPr>
        <w:pStyle w:val="ListBullet"/>
        <w:spacing w:before="40" w:after="80" w:line="276" w:lineRule="auto"/>
      </w:pPr>
      <w:r>
        <w:rPr>
          <w:rFonts w:ascii="Calibri" w:hAnsi="Calibri"/>
          <w:b/>
          <w:i w:val="0"/>
          <w:color w:val="222222"/>
          <w:sz w:val="22"/>
        </w:rPr>
        <w:t>Transparent:</w:t>
      </w:r>
      <w:r>
        <w:rPr>
          <w:rFonts w:ascii="Calibri" w:hAnsi="Calibri"/>
          <w:b w:val="0"/>
          <w:i w:val="0"/>
          <w:color w:val="222222"/>
          <w:sz w:val="22"/>
        </w:rPr>
        <w:t xml:space="preserve"> Every recommendation can be traced to a specific biomechanical rationale.</w:t>
      </w:r>
    </w:p>
    <w:p>
      <w:pPr>
        <w:pStyle w:val="ListBullet"/>
        <w:spacing w:before="40" w:after="80" w:line="276" w:lineRule="auto"/>
      </w:pPr>
      <w:r>
        <w:rPr>
          <w:rFonts w:ascii="Calibri" w:hAnsi="Calibri"/>
          <w:b/>
          <w:i w:val="0"/>
          <w:color w:val="222222"/>
          <w:sz w:val="22"/>
        </w:rPr>
        <w:t>Calibratable:</w:t>
      </w:r>
      <w:r>
        <w:rPr>
          <w:rFonts w:ascii="Calibri" w:hAnsi="Calibri"/>
          <w:b w:val="0"/>
          <w:i w:val="0"/>
          <w:color w:val="222222"/>
          <w:sz w:val="22"/>
        </w:rPr>
        <w:t xml:space="preserve"> The AVBC-CI enables surgeon-specific feedback and continuous improvement.</w:t>
      </w:r>
    </w:p>
    <w:p>
      <w:pPr>
        <w:pStyle w:val="Heading3"/>
      </w:pPr>
      <w:r/>
      <w:r>
        <w:rPr>
          <w:rFonts w:ascii="Calibri" w:hAnsi="Calibri"/>
          <w:b w:val="0"/>
          <w:i w:val="0"/>
          <w:color w:val="1B365D"/>
          <w:sz w:val="24"/>
        </w:rPr>
        <w:t>15.2.3 A Validation Foundation</w:t>
      </w:r>
    </w:p>
    <w:p>
      <w:r>
        <w:rPr>
          <w:rFonts w:ascii="Calibri" w:hAnsi="Calibri"/>
          <w:b w:val="0"/>
          <w:i w:val="0"/>
          <w:color w:val="222222"/>
          <w:sz w:val="22"/>
        </w:rPr>
        <w:t>The third contribution is the computational foundation — the FEM simulation database, the vector extraction pipeline, and the parameter sensitivity analysis — that provides the first quantitative evidence for the three-vector decomposition. While the absolute values are model-dependent (geometric simplifications, uniform material properties), the relative findings — VR's insensitivity to arc, VT's monotonicity, Vτ's zero value for symmetric rings — are robust and form the empirical basis for the framework.</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15.3 What Remains Undone</w:t>
      </w:r>
    </w:p>
    <w:p>
      <w:r>
        <w:rPr>
          <w:rFonts w:ascii="Calibri" w:hAnsi="Calibri"/>
          <w:b w:val="0"/>
          <w:i w:val="0"/>
          <w:color w:val="222222"/>
          <w:sz w:val="22"/>
        </w:rPr>
        <w:t>Intellectual honesty requires acknowledging the substantial work that remains:</w:t>
      </w:r>
    </w:p>
    <w:p>
      <w:pPr>
        <w:pStyle w:val="ListNumber"/>
        <w:spacing w:before="40" w:after="80" w:line="276" w:lineRule="auto"/>
      </w:pPr>
      <w:r>
        <w:rPr>
          <w:rFonts w:ascii="Calibri" w:hAnsi="Calibri"/>
          <w:b/>
          <w:i w:val="0"/>
          <w:color w:val="222222"/>
          <w:sz w:val="22"/>
        </w:rPr>
        <w:t>Clinical validation:</w:t>
      </w:r>
      <w:r>
        <w:rPr>
          <w:rFonts w:ascii="Calibri" w:hAnsi="Calibri"/>
          <w:b w:val="0"/>
          <w:i w:val="0"/>
          <w:color w:val="222222"/>
          <w:sz w:val="22"/>
        </w:rPr>
        <w:t xml:space="preserve"> No prospective clinical trial has tested whether AVBC-guided ring selection produces better outcomes than nomogram-guided selection. The study design is presented (Chapter 13), but enrollment has not begun.</w:t>
      </w:r>
    </w:p>
    <w:p>
      <w:pPr>
        <w:pStyle w:val="ListNumber"/>
        <w:spacing w:before="40" w:after="80" w:line="276" w:lineRule="auto"/>
      </w:pPr>
      <w:r>
        <w:rPr>
          <w:rFonts w:ascii="Calibri" w:hAnsi="Calibri"/>
          <w:b/>
          <w:i w:val="0"/>
          <w:color w:val="222222"/>
          <w:sz w:val="22"/>
        </w:rPr>
        <w:t>Patient-specific FEM:</w:t>
      </w:r>
      <w:r>
        <w:rPr>
          <w:rFonts w:ascii="Calibri" w:hAnsi="Calibri"/>
          <w:b w:val="0"/>
          <w:i w:val="0"/>
          <w:color w:val="222222"/>
          <w:sz w:val="22"/>
        </w:rPr>
        <w:t xml:space="preserve"> The current models use idealized geometry and uniform material properties. Patient-specific models — with geometry from Pentacam and material parameters from Brillouin or Corvis — would dramatically increase predictive accuracy.</w:t>
      </w:r>
    </w:p>
    <w:p>
      <w:pPr>
        <w:pStyle w:val="ListNumber"/>
        <w:spacing w:before="40" w:after="80" w:line="276" w:lineRule="auto"/>
      </w:pPr>
      <w:r>
        <w:rPr>
          <w:rFonts w:ascii="Calibri" w:hAnsi="Calibri"/>
          <w:b/>
          <w:i w:val="0"/>
          <w:color w:val="222222"/>
          <w:sz w:val="22"/>
        </w:rPr>
        <w:t>The ENM concept:</w:t>
      </w:r>
      <w:r>
        <w:rPr>
          <w:rFonts w:ascii="Calibri" w:hAnsi="Calibri"/>
          <w:b w:val="0"/>
          <w:i w:val="0"/>
          <w:color w:val="222222"/>
          <w:sz w:val="22"/>
        </w:rPr>
        <w:t xml:space="preserve"> The Eixo Neutro Mecânico is introduced as a novel clinical parameter, but its clinical validation (correlation with ICRS outcomes, reproducibility across instruments) remains to be demonstrated.</w:t>
      </w:r>
    </w:p>
    <w:p>
      <w:pPr>
        <w:pStyle w:val="ListNumber"/>
        <w:spacing w:before="40" w:after="80" w:line="276" w:lineRule="auto"/>
      </w:pPr>
      <w:r>
        <w:rPr>
          <w:rFonts w:ascii="Calibri" w:hAnsi="Calibri"/>
          <w:b/>
          <w:i w:val="0"/>
          <w:color w:val="222222"/>
          <w:sz w:val="22"/>
        </w:rPr>
        <w:t>Multi-segment planning:</w:t>
      </w:r>
      <w:r>
        <w:rPr>
          <w:rFonts w:ascii="Calibri" w:hAnsi="Calibri"/>
          <w:b w:val="0"/>
          <w:i w:val="0"/>
          <w:color w:val="222222"/>
          <w:sz w:val="22"/>
        </w:rPr>
        <w:t xml:space="preserve"> The current framework addresses single-segment implantation. Extension to two-segment configurations (common in clinical practice) requires additional modeling.</w:t>
      </w:r>
    </w:p>
    <w:p>
      <w:r>
        <w:rPr>
          <w:rFonts w:ascii="Calibri" w:hAnsi="Calibri"/>
          <w:b w:val="0"/>
          <w:i w:val="0"/>
          <w:color w:val="222222"/>
          <w:sz w:val="22"/>
        </w:rPr>
        <w:t>These gaps are not fatal limitations — they are the natural research program that follows from a new framework. The Alpins method was published in 1993 and refined over three decades of clinical use. The AVBC is at the beginning of this journey.</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15.4 The Vision</w:t>
      </w:r>
    </w:p>
    <w:p>
      <w:r>
        <w:rPr>
          <w:rFonts w:ascii="Calibri" w:hAnsi="Calibri"/>
          <w:b w:val="0"/>
          <w:i w:val="0"/>
          <w:color w:val="222222"/>
          <w:sz w:val="22"/>
        </w:rPr>
        <w:t>We envision a future in which ICRS planning proceeds as follows:</w:t>
      </w:r>
    </w:p>
    <w:p>
      <w:pPr>
        <w:pStyle w:val="ListNumber"/>
        <w:spacing w:before="40" w:after="80" w:line="276" w:lineRule="auto"/>
      </w:pPr>
      <w:r>
        <w:rPr>
          <w:rFonts w:ascii="Calibri" w:hAnsi="Calibri"/>
          <w:b w:val="0"/>
          <w:i w:val="0"/>
          <w:color w:val="222222"/>
          <w:sz w:val="22"/>
        </w:rPr>
        <w:t>The surgeon acquires standard pre-operative data (topography, aberrometry, refraction).</w:t>
      </w:r>
    </w:p>
    <w:p>
      <w:pPr>
        <w:pStyle w:val="ListNumber"/>
        <w:spacing w:before="40" w:after="80" w:line="276" w:lineRule="auto"/>
      </w:pPr>
      <w:r>
        <w:rPr>
          <w:rFonts w:ascii="Calibri" w:hAnsi="Calibri"/>
          <w:b w:val="0"/>
          <w:i w:val="0"/>
          <w:color w:val="222222"/>
          <w:sz w:val="22"/>
        </w:rPr>
        <w:t>An AVBC software platform performs the trimodal assessment automatically.</w:t>
      </w:r>
    </w:p>
    <w:p>
      <w:pPr>
        <w:pStyle w:val="ListNumber"/>
        <w:spacing w:before="40" w:after="80" w:line="276" w:lineRule="auto"/>
      </w:pPr>
      <w:r>
        <w:rPr>
          <w:rFonts w:ascii="Calibri" w:hAnsi="Calibri"/>
          <w:b w:val="0"/>
          <w:i w:val="0"/>
          <w:color w:val="222222"/>
          <w:sz w:val="22"/>
        </w:rPr>
        <w:t>The platform generates a patient-specific FEM model from the tomographic data.</w:t>
      </w:r>
    </w:p>
    <w:p>
      <w:pPr>
        <w:pStyle w:val="ListNumber"/>
        <w:spacing w:before="40" w:after="80" w:line="276" w:lineRule="auto"/>
      </w:pPr>
      <w:r>
        <w:rPr>
          <w:rFonts w:ascii="Calibri" w:hAnsi="Calibri"/>
          <w:b w:val="0"/>
          <w:i w:val="0"/>
          <w:color w:val="222222"/>
          <w:sz w:val="22"/>
        </w:rPr>
        <w:t>Multiple ring configurations are simulated in seconds (via reduced-order models).</w:t>
      </w:r>
    </w:p>
    <w:p>
      <w:pPr>
        <w:pStyle w:val="ListNumber"/>
        <w:spacing w:before="40" w:after="80" w:line="276" w:lineRule="auto"/>
      </w:pPr>
      <w:r>
        <w:rPr>
          <w:rFonts w:ascii="Calibri" w:hAnsi="Calibri"/>
          <w:b w:val="0"/>
          <w:i w:val="0"/>
          <w:color w:val="222222"/>
          <w:sz w:val="22"/>
        </w:rPr>
        <w:t>The platform presents the optimal configuration with expected VR, VT, and Vτ values.</w:t>
      </w:r>
    </w:p>
    <w:p>
      <w:pPr>
        <w:pStyle w:val="ListNumber"/>
        <w:spacing w:before="40" w:after="80" w:line="276" w:lineRule="auto"/>
      </w:pPr>
      <w:r>
        <w:rPr>
          <w:rFonts w:ascii="Calibri" w:hAnsi="Calibri"/>
          <w:b w:val="0"/>
          <w:i w:val="0"/>
          <w:color w:val="222222"/>
          <w:sz w:val="22"/>
        </w:rPr>
        <w:t>The surgeon reviews the recommendation, applies clinical judgment, and implants the ring.</w:t>
      </w:r>
    </w:p>
    <w:p>
      <w:pPr>
        <w:pStyle w:val="ListNumber"/>
        <w:spacing w:before="40" w:after="80" w:line="276" w:lineRule="auto"/>
      </w:pPr>
      <w:r>
        <w:rPr>
          <w:rFonts w:ascii="Calibri" w:hAnsi="Calibri"/>
          <w:b w:val="0"/>
          <w:i w:val="0"/>
          <w:color w:val="222222"/>
          <w:sz w:val="22"/>
        </w:rPr>
        <w:t>At follow-up, the AVBC-CI is computed and the surgeon's calibration curve is updated.</w:t>
      </w:r>
    </w:p>
    <w:p>
      <w:pPr>
        <w:pStyle w:val="ListNumber"/>
        <w:spacing w:before="40" w:after="80" w:line="276" w:lineRule="auto"/>
      </w:pPr>
      <w:r>
        <w:rPr>
          <w:rFonts w:ascii="Calibri" w:hAnsi="Calibri"/>
          <w:b w:val="0"/>
          <w:i w:val="0"/>
          <w:color w:val="222222"/>
          <w:sz w:val="22"/>
        </w:rPr>
        <w:t>Over time, the predictions converge toward clinical reality through iterative feedback.</w:t>
      </w:r>
    </w:p>
    <w:p>
      <w:r>
        <w:rPr>
          <w:rFonts w:ascii="Calibri" w:hAnsi="Calibri"/>
          <w:b w:val="0"/>
          <w:i w:val="0"/>
          <w:color w:val="222222"/>
          <w:sz w:val="22"/>
        </w:rPr>
        <w:t>This vision is technologically feasible with current computational capabilities. The barriers are organizational (building the clinical database), regulatory (obtaining device certification for the planning software), and scientific (validating the framework in prospective studies). None of these barriers is insurmountable.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15.5 A Final Word</w:t>
      </w:r>
    </w:p>
    <w:p>
      <w:r>
        <w:rPr>
          <w:rFonts w:ascii="Calibri" w:hAnsi="Calibri"/>
          <w:b w:val="0"/>
          <w:i w:val="0"/>
          <w:color w:val="222222"/>
          <w:sz w:val="22"/>
        </w:rPr>
        <w:t>The cornea is a structure of remarkable elegance — a fiber-reinforced composite that is simultaneously transparent, mechanically resilient, and optically precise. Keratoconus disrupts this elegance at the material level, and ICRS restore it at the structural level. The AVBC framework aspires to match the elegance of the structure it seeks to repair: a language as precise as the tissue, a framework as structured as the stroma, and a feedback loop as adaptive as the cornea itself.</w:t>
      </w:r>
    </w:p>
    <w:p>
      <w:r>
        <w:rPr>
          <w:rFonts w:ascii="Calibri" w:hAnsi="Calibri"/>
          <w:b w:val="0"/>
          <w:i w:val="0"/>
          <w:color w:val="222222"/>
          <w:sz w:val="22"/>
        </w:rPr>
        <w:t>The path from empirical nomogram to biomechanical planning is long, but the direction is clear. This book is a step along that path.</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References</w:t>
      </w:r>
    </w:p>
    <w:p>
      <w:pPr>
        <w:pStyle w:val="ListNumber"/>
        <w:spacing w:before="40" w:after="80" w:line="276" w:lineRule="auto"/>
      </w:pPr>
      <w:r>
        <w:rPr>
          <w:rFonts w:ascii="Calibri" w:hAnsi="Calibri"/>
          <w:b w:val="0"/>
          <w:i w:val="0"/>
          <w:color w:val="222222"/>
          <w:sz w:val="22"/>
        </w:rPr>
        <w:t xml:space="preserve">Alpins NA. A new method of analyzing vectors for changes in astigmatism. </w:t>
      </w:r>
      <w:r>
        <w:rPr>
          <w:rFonts w:ascii="Calibri" w:hAnsi="Calibri"/>
          <w:b w:val="0"/>
          <w:i/>
          <w:color w:val="222222"/>
          <w:sz w:val="22"/>
        </w:rPr>
        <w:t>J Cataract Refract Surg</w:t>
      </w:r>
      <w:r>
        <w:rPr>
          <w:rFonts w:ascii="Calibri" w:hAnsi="Calibri"/>
          <w:b w:val="0"/>
          <w:i w:val="0"/>
          <w:color w:val="222222"/>
          <w:sz w:val="22"/>
        </w:rPr>
        <w:t>. 1993;19(4):524–533.</w:t>
      </w:r>
    </w:p>
    <w:p>
      <w:pPr>
        <w:pStyle w:val="ListNumber"/>
        <w:spacing w:before="40" w:after="80" w:line="276" w:lineRule="auto"/>
      </w:pPr>
      <w:r>
        <w:rPr>
          <w:rFonts w:ascii="Calibri" w:hAnsi="Calibri"/>
          <w:b w:val="0"/>
          <w:i w:val="0"/>
          <w:color w:val="222222"/>
          <w:sz w:val="22"/>
        </w:rPr>
        <w:t xml:space="preserve">Barraquer JI. Modification of refraction by means of intracorneal inclusions. </w:t>
      </w:r>
      <w:r>
        <w:rPr>
          <w:rFonts w:ascii="Calibri" w:hAnsi="Calibri"/>
          <w:b w:val="0"/>
          <w:i/>
          <w:color w:val="222222"/>
          <w:sz w:val="22"/>
        </w:rPr>
        <w:t>Int Ophthalmol Clin</w:t>
      </w:r>
      <w:r>
        <w:rPr>
          <w:rFonts w:ascii="Calibri" w:hAnsi="Calibri"/>
          <w:b w:val="0"/>
          <w:i w:val="0"/>
          <w:color w:val="222222"/>
          <w:sz w:val="22"/>
        </w:rPr>
        <w:t>. 1966;6(1):53–78.</w:t>
      </w:r>
    </w:p>
    <w:p>
      <w:pPr>
        <w:pStyle w:val="ListNumber"/>
        <w:spacing w:before="40" w:after="80" w:line="276" w:lineRule="auto"/>
      </w:pPr>
      <w:r>
        <w:rPr>
          <w:rFonts w:ascii="Calibri" w:hAnsi="Calibri"/>
          <w:b w:val="0"/>
          <w:i w:val="0"/>
          <w:color w:val="222222"/>
          <w:sz w:val="22"/>
        </w:rPr>
        <w:t xml:space="preserve">Dupps WJ Jr, Roberts CJ. Biomechanics of corneal ectasia and biomechanical treatments. </w:t>
      </w:r>
      <w:r>
        <w:rPr>
          <w:rFonts w:ascii="Calibri" w:hAnsi="Calibri"/>
          <w:b w:val="0"/>
          <w:i/>
          <w:color w:val="222222"/>
          <w:sz w:val="22"/>
        </w:rPr>
        <w:t>J Cataract Refract Surg</w:t>
      </w:r>
      <w:r>
        <w:rPr>
          <w:rFonts w:ascii="Calibri" w:hAnsi="Calibri"/>
          <w:b w:val="0"/>
          <w:i w:val="0"/>
          <w:color w:val="222222"/>
          <w:sz w:val="22"/>
        </w:rPr>
        <w:t>. 2014;40(6):991–998.</w:t>
      </w:r>
    </w:p>
    <w:p>
      <w:pPr>
        <w:pStyle w:val="ListNumber"/>
        <w:spacing w:before="40" w:after="80" w:line="276" w:lineRule="auto"/>
      </w:pPr>
      <w:r>
        <w:rPr>
          <w:rFonts w:ascii="Calibri" w:hAnsi="Calibri"/>
          <w:b w:val="0"/>
          <w:i w:val="0"/>
          <w:color w:val="222222"/>
          <w:sz w:val="22"/>
        </w:rPr>
        <w:t xml:space="preserve">García de Oteyza G, et al. Finite element analysis of progressive thickness ICRS. </w:t>
      </w:r>
      <w:r>
        <w:rPr>
          <w:rFonts w:ascii="Calibri" w:hAnsi="Calibri"/>
          <w:b w:val="0"/>
          <w:i/>
          <w:color w:val="222222"/>
          <w:sz w:val="22"/>
        </w:rPr>
        <w:t>J Cataract Refract Surg</w:t>
      </w:r>
      <w:r>
        <w:rPr>
          <w:rFonts w:ascii="Calibri" w:hAnsi="Calibri"/>
          <w:b w:val="0"/>
          <w:i w:val="0"/>
          <w:color w:val="222222"/>
          <w:sz w:val="22"/>
        </w:rPr>
        <w:t>. 2021;47(2):258–265.</w:t>
      </w:r>
    </w:p>
    <w:p>
      <w:pPr>
        <w:pStyle w:val="ListNumber"/>
        <w:spacing w:before="40" w:after="80" w:line="276" w:lineRule="auto"/>
      </w:pPr>
      <w:r>
        <w:rPr>
          <w:rFonts w:ascii="Calibri" w:hAnsi="Calibri"/>
          <w:b w:val="0"/>
          <w:i w:val="0"/>
          <w:color w:val="222222"/>
          <w:sz w:val="22"/>
        </w:rPr>
        <w:t xml:space="preserve">Holzapfel GA, Gasser TC, Ogden RW. A new constitutive framework for arterial wall mechanics. </w:t>
      </w:r>
      <w:r>
        <w:rPr>
          <w:rFonts w:ascii="Calibri" w:hAnsi="Calibri"/>
          <w:b w:val="0"/>
          <w:i/>
          <w:color w:val="222222"/>
          <w:sz w:val="22"/>
        </w:rPr>
        <w:t>J Elasticity</w:t>
      </w:r>
      <w:r>
        <w:rPr>
          <w:rFonts w:ascii="Calibri" w:hAnsi="Calibri"/>
          <w:b w:val="0"/>
          <w:i w:val="0"/>
          <w:color w:val="222222"/>
          <w:sz w:val="22"/>
        </w:rPr>
        <w:t>. 2000;61:1–48.</w:t>
      </w:r>
    </w:p>
    <w:p>
      <w:pPr>
        <w:pStyle w:val="ListNumber"/>
        <w:spacing w:before="40" w:after="80" w:line="276" w:lineRule="auto"/>
      </w:pPr>
      <w:r>
        <w:rPr>
          <w:rFonts w:ascii="Calibri" w:hAnsi="Calibri"/>
          <w:b w:val="0"/>
          <w:i w:val="0"/>
          <w:color w:val="222222"/>
          <w:sz w:val="22"/>
        </w:rPr>
        <w:t xml:space="preserve">Kling S, Marcos S. FEM of ICRS in a hyperelastic cornea. </w:t>
      </w:r>
      <w:r>
        <w:rPr>
          <w:rFonts w:ascii="Calibri" w:hAnsi="Calibri"/>
          <w:b w:val="0"/>
          <w:i/>
          <w:color w:val="222222"/>
          <w:sz w:val="22"/>
        </w:rPr>
        <w:t>Invest Ophthalmol Vis Sci</w:t>
      </w:r>
      <w:r>
        <w:rPr>
          <w:rFonts w:ascii="Calibri" w:hAnsi="Calibri"/>
          <w:b w:val="0"/>
          <w:i w:val="0"/>
          <w:color w:val="222222"/>
          <w:sz w:val="22"/>
        </w:rPr>
        <w:t>. 2013;54(1):881–889.</w:t>
      </w:r>
    </w:p>
    <w:p>
      <w:pPr>
        <w:pStyle w:val="ListNumber"/>
        <w:spacing w:before="40" w:after="80" w:line="276" w:lineRule="auto"/>
      </w:pPr>
      <w:r>
        <w:rPr>
          <w:rFonts w:ascii="Calibri" w:hAnsi="Calibri"/>
          <w:b w:val="0"/>
          <w:i w:val="0"/>
          <w:color w:val="222222"/>
          <w:sz w:val="22"/>
        </w:rPr>
        <w:t xml:space="preserve">Meek KM, Knupp C. Corneal structure and transparency. </w:t>
      </w:r>
      <w:r>
        <w:rPr>
          <w:rFonts w:ascii="Calibri" w:hAnsi="Calibri"/>
          <w:b w:val="0"/>
          <w:i/>
          <w:color w:val="222222"/>
          <w:sz w:val="22"/>
        </w:rPr>
        <w:t>Prog Retin Eye Res</w:t>
      </w:r>
      <w:r>
        <w:rPr>
          <w:rFonts w:ascii="Calibri" w:hAnsi="Calibri"/>
          <w:b w:val="0"/>
          <w:i w:val="0"/>
          <w:color w:val="222222"/>
          <w:sz w:val="22"/>
        </w:rPr>
        <w:t>. 2015;49:1–16.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B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365D"/>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after="80"/>
      <w:contextualSpacing/>
    </w:pPr>
    <w:rPr>
      <w:rFonts w:ascii="Calibri" w:hAnsi="Calibri"/>
      <w:color w:val="222222"/>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6" w:lineRule="auto" w:after="80"/>
      <w:contextualSpacing/>
    </w:pPr>
    <w:rPr>
      <w:rFonts w:ascii="Calibri" w:hAnsi="Calibri"/>
      <w:color w:val="222222"/>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