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Capítulo 1 — A Córnea Ceratocônica como uma Estrutura Mecânica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Análise Vetorial Biomecânica Corneana para Planejamento de Segmento de Anel Intraestromal</w:t>
      </w:r>
      <w:r>
        <w:rPr>
          <w:rFonts w:ascii="Calibri" w:hAnsi="Calibri"/>
          <w:b w:val="0"/>
          <w:i w:val="0"/>
          <w:color w:val="334E68"/>
          <w:sz w:val="21"/>
        </w:rPr>
        <w:t xml:space="preserve"> </w:t>
      </w:r>
      <w:r>
        <w:rPr>
          <w:rFonts w:ascii="Calibri" w:hAnsi="Calibri"/>
          <w:b w:val="0"/>
          <w:i/>
          <w:color w:val="334E68"/>
          <w:sz w:val="21"/>
        </w:rPr>
        <w:t>Parte I — Fundamentos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1.1 Introdução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 ceratocone é a ectasia corneana mais comum, com estimativas de prevalência variando de 1 em 375 em estudos baseados na população a até 1 em 84 quando critérios modernos de triagem videoceratográfica são aplicados (Godefrooij et al., 2017; Torres Netto et al., 2018). Tradicionalmente, a condição tem sido definida por suas características topográficas marcantes — leituras ceratométricas elevadas, encurvamento corneano inferior, astigmatismo irregular e afinamento progressivo — características que a colocam diretamente no domínio da geometria óptica. De fato, o fluxo de trabalho clínico padrão para o diagnóstico do ceratocone centra-se em mapas de curvatura sagital, índices ceratométricos e perfis paquimétricos: medições que descrevem a </w:t>
      </w:r>
      <w:r>
        <w:rPr>
          <w:rFonts w:ascii="Calibri" w:hAnsi="Calibri"/>
          <w:b w:val="0"/>
          <w:i/>
          <w:color w:val="222222"/>
          <w:sz w:val="22"/>
        </w:rPr>
        <w:t>forma</w:t>
      </w:r>
      <w:r>
        <w:rPr>
          <w:rFonts w:ascii="Calibri" w:hAnsi="Calibri"/>
          <w:b w:val="0"/>
          <w:i w:val="0"/>
          <w:color w:val="222222"/>
          <w:sz w:val="22"/>
        </w:rPr>
        <w:t xml:space="preserve"> da córnea, mas dizem pouco sobre seu </w:t>
      </w:r>
      <w:r>
        <w:rPr>
          <w:rFonts w:ascii="Calibri" w:hAnsi="Calibri"/>
          <w:b w:val="0"/>
          <w:i/>
          <w:color w:val="222222"/>
          <w:sz w:val="22"/>
        </w:rPr>
        <w:t>estado mecânico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r>
        <w:rPr>
          <w:rFonts w:ascii="Calibri" w:hAnsi="Calibri"/>
          <w:b w:val="0"/>
          <w:i w:val="0"/>
          <w:color w:val="222222"/>
          <w:sz w:val="22"/>
        </w:rPr>
        <w:t>Esta perspectiva geométrica tem consequências práticas para o planejamento do tratamento. Quando um cirurgião seleciona um segmento de anel intraestromal (ICRS) para um olho com ceratocone, a decisão é tipicamente guiada por nomogramas que mapeiam um ou dois parâmetros geométricos — ceratometria, valor Q, refração manifesta — para uma configuração de anel. A suposição implícita é que a forma da córnea é uma representação (proxy) suficiente para a mecânica corneana. Como demonstraremos ao longo deste livro, essa suposição é fundamentalmente falha.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Nas últimas duas décadas, uma mudança de paradigma vem ganhando força. O trabalho de Dupps e Roberts (2001, 2014), Meek e Knupp (2015) e outros estabeleceu que o ceratocone é, em sua essência, uma </w:t>
      </w:r>
      <w:r>
        <w:rPr>
          <w:rFonts w:ascii="Calibri" w:hAnsi="Calibri"/>
          <w:b/>
          <w:i w:val="0"/>
          <w:color w:val="222222"/>
          <w:sz w:val="22"/>
        </w:rPr>
        <w:t>doença biomecânica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um distúrbio de distribuição de tensão (stress) estromal, integridade das fibras de colágeno e degradação das propriedades do material. As manifestações geométricas (K elevado, afinamento, protrusão) são </w:t>
      </w:r>
      <w:r>
        <w:rPr>
          <w:rFonts w:ascii="Calibri" w:hAnsi="Calibri"/>
          <w:b w:val="0"/>
          <w:i/>
          <w:color w:val="222222"/>
          <w:sz w:val="22"/>
        </w:rPr>
        <w:t>consequências</w:t>
      </w:r>
      <w:r>
        <w:rPr>
          <w:rFonts w:ascii="Calibri" w:hAnsi="Calibri"/>
          <w:b w:val="0"/>
          <w:i w:val="0"/>
          <w:color w:val="222222"/>
          <w:sz w:val="22"/>
        </w:rPr>
        <w:t xml:space="preserve"> de um processo mecânico subjacente, não o processo em si. Duas córneas com valores idênticos de K-steep podem abrigar estados de tensão (stress), rigidez de material e propensões para progressão extremamente diferentes. Tratá-las de forma idêntica, como faz um nomograma, é confundir o sintoma com a doença.</w:t>
      </w:r>
    </w:p>
    <w:p>
      <w:r>
        <w:rPr>
          <w:rFonts w:ascii="Calibri" w:hAnsi="Calibri"/>
          <w:b w:val="0"/>
          <w:i w:val="0"/>
          <w:color w:val="222222"/>
          <w:sz w:val="22"/>
        </w:rPr>
        <w:t>Este capítulo de abertura estabelece a fundação biomecânica sobre a qual repousa todo o framework da AVBC. Começamos com a arquitetura fibrilar do estroma corneano — a estrutura de suporte de carga que determina o comportamento mecânico — e progredimos através da modelagem constitutiva, do ciclo de descompensação que impulsiona a progressão do ceratocone e da evidência clínica para uma compreensão biomecânica, em vez de puramente geométrica, da doença. O leitor que compreender essa fundação entenderá por que o planejamento racional do ICRS requer uma linguagem biomecânica, não uma tabela de consulta geométrica.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1.2 Anatomia Fibrilar do Estroma Corneano</w:t>
      </w:r>
    </w:p>
    <w:p>
      <w:r>
        <w:rPr>
          <w:rFonts w:ascii="Calibri" w:hAnsi="Calibri"/>
          <w:b w:val="0"/>
          <w:i w:val="0"/>
          <w:color w:val="222222"/>
          <w:sz w:val="22"/>
        </w:rPr>
        <w:t>O estroma corneano constitui aproximadamente 90% da espessura corneana e é o principal determinante de seu comportamento mecânico. É composto por 200 a 500 lamelas de colágeno, cada uma com 1–2 μm de espessura e 10–250 μm de largura, dispostas em uma matriz altamente organizada que serve a um duplo propósito: transparência óptica e suporte de carga mecânica (Komai &amp; Ushiki, 1991; Meek &amp; Knupp, 2015).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Organização das Fibras de Colágeno</w:t>
      </w:r>
    </w:p>
    <w:p>
      <w:r>
        <w:rPr>
          <w:rFonts w:ascii="Calibri" w:hAnsi="Calibri"/>
          <w:b w:val="0"/>
          <w:i w:val="0"/>
          <w:color w:val="222222"/>
          <w:sz w:val="22"/>
        </w:rPr>
        <w:t>Os tipos predominantes de colágeno no estroma corneano são o Tipo I (aproximadamente 70% em peso seco) e o Tipo V (aproximadamente 15%), com contribuições menores dos Tipos III, VI e XII. O colágeno Tipo I fornece resistência à tração, enquanto o Tipo V regula o diâmetro e o espaçamento das fibrilas — um fator crítico para a transparência (Birk et al., 1990). As fibrilas são notavelmente uniformes em diâmetro (aproximadamente 31 nm em humanos), e seu espaçamento regular (aproximadamente 56 nm de centro a centro) produz interferência destrutiva da luz espalhada em todas as direções, exceto para a frente, resultando na notável transparência da córnea (Maurice, 1957; Meek, 2009).</w:t>
      </w:r>
    </w:p>
    <w:p>
      <w:r>
        <w:rPr>
          <w:rFonts w:ascii="Calibri" w:hAnsi="Calibri"/>
          <w:b w:val="0"/>
          <w:i w:val="0"/>
          <w:color w:val="222222"/>
          <w:sz w:val="22"/>
        </w:rPr>
        <w:t>Estudos de espalhamento de raios X de grande ângulo (WAXS), realizados de forma mais ampla por Meek, Boote e colaboradores na Cardiff University, revelaram que a orientação das fibras de colágeno não é aleatória, mas segue um padrão característico que varia por região (Meek &amp; Boote, 2004; Meek &amp; Knupp, 2015):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Córnea central: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As fibras são preferencialmente orientadas ao longo dos meridianos nasal-temporal e superior-inferior, criando um arranjo aproximadamente ortogonal alinhado com as direções cardinais. Isso cria uma resposta mecânica anisotrópica — a córnea central é mais rígida ao longo dessas direções preferenciais.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Limbo e córnea periférica: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As fibras adotam uma orientação predominantemente circunferencial (tangencial), formando um reforço anular análogo aos aros de um barril. Este anel limbal ancora a córnea à esclera e resiste à expansão radial sob a pressão intraocular (PIO).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Zona de transição (paracentral):</w:t>
      </w:r>
      <w:r>
        <w:rPr>
          <w:rFonts w:ascii="Calibri" w:hAnsi="Calibri"/>
          <w:b w:val="0"/>
          <w:i w:val="0"/>
          <w:color w:val="222222"/>
          <w:sz w:val="22"/>
        </w:rPr>
        <w:t xml:space="preserve"> Ocorre uma mudança gradual da orientação cardinal para a circunferencial, com aumento da dispersão das fibras.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Estroma Anterior versus Posterior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Existe uma distinção crítica entre o estroma anterior e o posterior. O terço anterior exibe extenso </w:t>
      </w:r>
      <w:r>
        <w:rPr>
          <w:rFonts w:ascii="Calibri" w:hAnsi="Calibri"/>
          <w:b w:val="0"/>
          <w:i/>
          <w:color w:val="222222"/>
          <w:sz w:val="22"/>
        </w:rPr>
        <w:t>entrelaçamento</w:t>
      </w:r>
      <w:r>
        <w:rPr>
          <w:rFonts w:ascii="Calibri" w:hAnsi="Calibri"/>
          <w:b w:val="0"/>
          <w:i w:val="0"/>
          <w:color w:val="222222"/>
          <w:sz w:val="22"/>
        </w:rPr>
        <w:t xml:space="preserve"> lamelar — as lamelas se ramificam, fundem-se e inserem-se na camada de Bowman em ângulos oblíquos, criando uma malha mecanicamente interconectada (Komai &amp; Ushiki, 1991; Winkler et al., 2011). Os dois terços posteriores, em contraste, apresentam lamelas mais paralelas e planas, com menor entrelaçamento. Essa diferença arquitetônica tem consequências mecânicas diretas: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estroma anterior é aproximadamente </w:t>
      </w:r>
      <w:r>
        <w:rPr>
          <w:rFonts w:ascii="Calibri" w:hAnsi="Calibri"/>
          <w:b/>
          <w:i w:val="0"/>
          <w:color w:val="222222"/>
          <w:sz w:val="22"/>
        </w:rPr>
        <w:t>duas a três vezes mais rígido</w:t>
      </w:r>
      <w:r>
        <w:rPr>
          <w:rFonts w:ascii="Calibri" w:hAnsi="Calibri"/>
          <w:b w:val="0"/>
          <w:i w:val="0"/>
          <w:color w:val="222222"/>
          <w:sz w:val="22"/>
        </w:rPr>
        <w:t xml:space="preserve"> que o estroma posterior quando medido por nanoindentação (Thomasy et al., 2014) ou microscopia de Brillouin (Scarcelli et al., 2015).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O estroma posterior é mais suscetível à falha por cisalhamento e ao deslizamento lamelar.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No ceratocone, o estroma posterior falha primeiro</w:t>
      </w:r>
      <w:r>
        <w:rPr>
          <w:rFonts w:ascii="Calibri" w:hAnsi="Calibri"/>
          <w:b w:val="0"/>
          <w:i w:val="0"/>
          <w:color w:val="222222"/>
          <w:sz w:val="22"/>
        </w:rPr>
        <w:t xml:space="preserve"> (Dupps &amp; Roberts, 2014). As primeiras alterações histopatológicas — desorganização das fibras, quebras na continuidade lamelar — ocorrem nas camadas posteriores, consistente com a observação de que as anormalidades de elevação posterior estão entre os primeiros sinais tomográficos de ceratocone subclínico.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 Matriz de Proteoglicanos</w:t>
      </w:r>
    </w:p>
    <w:p>
      <w:r>
        <w:rPr>
          <w:rFonts w:ascii="Calibri" w:hAnsi="Calibri"/>
          <w:b w:val="0"/>
          <w:i w:val="0"/>
          <w:color w:val="222222"/>
          <w:sz w:val="22"/>
        </w:rPr>
        <w:t>Entre as fibrilas de colágeno encontra-se a matriz interfibrilar, composta principalmente por proteoglicanos — proteoglicanos de sulfato de queratana (lumicam, queratocam, mimecam) e proteoglicanos de sulfato de dermatana (decorim, biglicam). Essas moléculas regulam o espaçamento e a hidratação das fibrilas, contribuindo tanto para a transparência quanto para o acoplamento mecânico entre as lamelas (Quantock et al., 2015). No ceratocone, a expressão de proteoglicanos é alterada, e a relação entre a hidratação da matriz e o espaçamento das fibrilas torna-se perturbada — uma alteração que precede o afinamento observável (Meek et al., 2005).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Para fins de modelagem constitutiva, a principal conclusão é que o estroma corneano é um </w:t>
      </w:r>
      <w:r>
        <w:rPr>
          <w:rFonts w:ascii="Calibri" w:hAnsi="Calibri"/>
          <w:b/>
          <w:i w:val="0"/>
          <w:color w:val="222222"/>
          <w:sz w:val="22"/>
        </w:rPr>
        <w:t>compósito reforçado por fibras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uma matriz extracelular reforçada por fibras de colágeno com rigidez dependente da direção. Qualquer modelo mecânico realista deve capturar essa anisotropia.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1.3 A Córnea como uma Casca Hiperelástica Anisotrópica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Por que a Elasticidade Linear Falha</w:t>
      </w:r>
    </w:p>
    <w:p>
      <w:r>
        <w:rPr>
          <w:rFonts w:ascii="Calibri" w:hAnsi="Calibri"/>
          <w:b w:val="0"/>
          <w:i w:val="0"/>
          <w:color w:val="222222"/>
          <w:sz w:val="22"/>
        </w:rPr>
        <w:t>Os primeiros modelos biomecânicos da córnea tratavam-na como um material linearmente elástico e isotrópico — caracterizado por um único módulo de Young E e coeficiente de Poisson ν. Essa simplificação é inadequada por várias razões: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Não linearidade: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tecido corneano exibe um pronunciado aumento de rigidez sob deformação (strain-stiffening). Em baixas deformações (strain) (faixa fisiológica), o tecido é relativamente complacente; em deformações (strain) maiores, as fibras de colágeno tornam-se esticadas e a rigidez aumenta dramaticamente. Esta curva de tensão-deformação em forma de J não pode ser capturada por um E constante.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Anisotropia:</w:t>
      </w:r>
      <w:r>
        <w:rPr>
          <w:rFonts w:ascii="Calibri" w:hAnsi="Calibri"/>
          <w:b w:val="0"/>
          <w:i w:val="0"/>
          <w:color w:val="222222"/>
          <w:sz w:val="22"/>
        </w:rPr>
        <w:t xml:space="preserve"> Conforme descrito acima, a resposta mecânica depende da orientação das fibras. A rigidez medida ao longo das fibras de colágeno difere substancialmente da rigidez medida perpendicularmente a elas.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Quase-incompressibilidade: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tecido corneano hidratado tem um conteúdo de água de aproximadamente 78%, tornando-o quase incompressível (coeficiente de Poisson aproximando-se de 0,5).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Viscoelasticidade: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córnea exibe comportamento mecânico dependente do tempo — fluência (creep) sob carga sustentada e relaxamento de tensão (stress). No entanto, para análises quase-estáticas (como carregamento de PIO ou implantação de ICRS), os modelos hiperelásticos são geralmente suficientes.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 Modelo Holzapfel-Gasser-Ogden (HGO)</w:t>
      </w:r>
    </w:p>
    <w:p>
      <w:r>
        <w:rPr>
          <w:rFonts w:ascii="Calibri" w:hAnsi="Calibri"/>
          <w:b w:val="0"/>
          <w:i w:val="0"/>
          <w:color w:val="222222"/>
          <w:sz w:val="22"/>
        </w:rPr>
        <w:t>Entre os modelos constitutivos disponíveis para tecidos moles biológicos, o modelo Holzapfel-Gasser-Ogden (HGO) emergiu como o padrão para a biomecânica corneana (Holzapfel et al., 2000; Pandolfi &amp; Manganiello, 2006; Nguyen et al., 2018). O modelo HGO foi originalmente desenvolvido para a mecânica da parede arterial, mas é bem adequado para qualquer tecido reforçado por fibras onde as fibras estão embutidas em uma substância fundamental mais macia.</w:t>
      </w:r>
    </w:p>
    <w:p>
      <w:r>
        <w:rPr>
          <w:rFonts w:ascii="Calibri" w:hAnsi="Calibri"/>
          <w:b w:val="0"/>
          <w:i w:val="0"/>
          <w:color w:val="222222"/>
          <w:sz w:val="22"/>
        </w:rPr>
        <w:t>A função de energia de deformação 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Ψ = c(Ī₁ - 3) + (k₁/2k₂) Σᵢ {exp[k₂⟨κ(Ī₁-3) + (1-3κ)(Ī₄ᵢ-1)⟩²] - 1}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22222"/>
          <w:sz w:val="22"/>
        </w:rPr>
        <w:t>onde: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Símbolo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 (FEBio)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Significado Físico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Módulo de cisalhamento da matriz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0.05 MPa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Rigidez da substância fundamental (matriz de proteoglicanos sem fibras)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Rigidez das fibras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k₁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0.22 MPa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Rigidez das fibras de colágeno em pequena deformação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 linearidade das fibras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k₂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 (adimensional)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Taxa de aumento de rigidez exponencial; valores maiores → curva em J mais acentuada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Dispersão das fibras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κ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0.09 (adimensional)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Grau de alinhamento das fibras: 0 = perfeitamente alinhadas; 1/3 = aleatório (isotrópico)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Módulo de bulk (bulk modulus)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4.76 MPa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Resistência à deformação volumétrica (quase-incompressibilidade)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/>
          <w:i w:val="0"/>
          <w:color w:val="222222"/>
          <w:sz w:val="22"/>
        </w:rPr>
        <w:t>Tabela 1.1.</w:t>
      </w:r>
      <w:r>
        <w:rPr>
          <w:rFonts w:ascii="Calibri" w:hAnsi="Calibri"/>
          <w:b w:val="0"/>
          <w:i w:val="0"/>
          <w:color w:val="222222"/>
          <w:sz w:val="22"/>
        </w:rPr>
        <w:t xml:space="preserve"> Parâmetros de material HGO usados nas simulações do FEBio 4.12 ao longo deste livro. Valores de Nguyen et al. (2018).</w:t>
      </w:r>
    </w:p>
    <w:p>
      <w:r>
        <w:rPr>
          <w:rFonts w:ascii="Calibri" w:hAnsi="Calibri"/>
          <w:b/>
          <w:i w:val="0"/>
          <w:color w:val="222222"/>
          <w:sz w:val="22"/>
        </w:rPr>
        <w:t>Interpretação clínica de cada parâmetro: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 = 0.05 MPa</w:t>
      </w:r>
      <w:r>
        <w:rPr>
          <w:rFonts w:ascii="Calibri" w:hAnsi="Calibri"/>
          <w:b w:val="0"/>
          <w:i w:val="0"/>
          <w:color w:val="222222"/>
          <w:sz w:val="22"/>
        </w:rPr>
        <w:t xml:space="preserve"> representa a rigidez basal da córnea </w:t>
      </w:r>
      <w:r>
        <w:rPr>
          <w:rFonts w:ascii="Calibri" w:hAnsi="Calibri"/>
          <w:b w:val="0"/>
          <w:i/>
          <w:color w:val="222222"/>
          <w:sz w:val="22"/>
        </w:rPr>
        <w:t>sem</w:t>
      </w:r>
      <w:r>
        <w:rPr>
          <w:rFonts w:ascii="Calibri" w:hAnsi="Calibri"/>
          <w:b w:val="0"/>
          <w:i w:val="0"/>
          <w:color w:val="222222"/>
          <w:sz w:val="22"/>
        </w:rPr>
        <w:t xml:space="preserve"> a contribuição das fibras de colágeno — apenas a matriz de proteoglicanos. É relativamente macia, comparável a um gel firme. No ceratocone, a degradação da matriz reduz ainda mais c, tornando o tecido mais complacente.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k₁ = 0.22 MPa</w:t>
      </w:r>
      <w:r>
        <w:rPr>
          <w:rFonts w:ascii="Calibri" w:hAnsi="Calibri"/>
          <w:b w:val="0"/>
          <w:i w:val="0"/>
          <w:color w:val="222222"/>
          <w:sz w:val="22"/>
        </w:rPr>
        <w:t xml:space="preserve"> captura a rigidez contribuída pelas fibras de colágeno. Este é o parâmetro mais diretamente afetado pelo crosslinking de colágeno (CXL), que aumenta k₁ em uma estimativa de 50–200% (Wollensak et al., 2003).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k₂ = 100</w:t>
      </w:r>
      <w:r>
        <w:rPr>
          <w:rFonts w:ascii="Calibri" w:hAnsi="Calibri"/>
          <w:b w:val="0"/>
          <w:i w:val="0"/>
          <w:color w:val="222222"/>
          <w:sz w:val="22"/>
        </w:rPr>
        <w:t xml:space="preserve"> controla a rapidez com que o tecido se torna mais rígido à medida que a deformação (strain) aumenta. Um valor de 100 Simula uma curva em J fortemente não linear — a córnea é complacente em deformações (strain) fisiológicas, mas resiste a grandes deformações. Este é um mecanismo de proteção: o tecido acomoda pequenas flutuações na PIO, mas resiste à ruptura em altas pressões.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κ = 0.09</w:t>
      </w:r>
      <w:r>
        <w:rPr>
          <w:rFonts w:ascii="Calibri" w:hAnsi="Calibri"/>
          <w:b w:val="0"/>
          <w:i w:val="0"/>
          <w:color w:val="222222"/>
          <w:sz w:val="22"/>
        </w:rPr>
        <w:t xml:space="preserve"> indica que as fibras estão </w:t>
      </w:r>
      <w:r>
        <w:rPr>
          <w:rFonts w:ascii="Calibri" w:hAnsi="Calibri"/>
          <w:b w:val="0"/>
          <w:i/>
          <w:color w:val="222222"/>
          <w:sz w:val="22"/>
        </w:rPr>
        <w:t>majoritariamente</w:t>
      </w:r>
      <w:r>
        <w:rPr>
          <w:rFonts w:ascii="Calibri" w:hAnsi="Calibri"/>
          <w:b w:val="0"/>
          <w:i w:val="0"/>
          <w:color w:val="222222"/>
          <w:sz w:val="22"/>
        </w:rPr>
        <w:t xml:space="preserve"> alinhadas (κ = 0 significaria perfeitamente alinhadas; κ = 1/3 significaria perfeitamente aleatórias). Um valor de 0,09 é consistente com os dados de WAXS que mostram orientação tangencial preferencial, mas não exclusiva, na córnea central.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k = 4.76 MPa</w:t>
      </w:r>
      <w:r>
        <w:rPr>
          <w:rFonts w:ascii="Calibri" w:hAnsi="Calibri"/>
          <w:b w:val="0"/>
          <w:i w:val="0"/>
          <w:color w:val="222222"/>
          <w:sz w:val="22"/>
        </w:rPr>
        <w:t xml:space="preserve"> impõe quase-incompressibilidade, apropriada para um tecido biológico hidratado.</w:t>
      </w:r>
    </w:p>
    <w:p>
      <w:r>
        <w:rPr>
          <w:rFonts w:ascii="Calibri" w:hAnsi="Calibri"/>
          <w:b w:val="0"/>
          <w:i w:val="0"/>
          <w:color w:val="222222"/>
          <w:sz w:val="22"/>
        </w:rPr>
        <w:t>Os colchetes de Macaulay ⟨·⟩ na equação garantem que as fibras contribuam para a rigidez apenas quando esticadas, não quando comprimidas — uma condição fisicamente realista, uma vez que as fibras de colágeno dobram-se sob compressão e não contribuem para a carga.</w:t>
      </w:r>
    </w:p>
    <w:p>
      <w:r>
        <w:rPr>
          <w:rFonts w:ascii="Calibri" w:hAnsi="Calibri"/>
          <w:b w:val="0"/>
          <w:i w:val="0"/>
          <w:color w:val="222222"/>
          <w:sz w:val="22"/>
        </w:rPr>
        <w:t>O primeiro invariante Ī₁ captura a deformação isotrópica (matriz), enquanto os pseudo-invariantes Ī₄ᵢ capturam o estiramento específico na direção das fibras. Esta separação é a personificação matemática da natureza compósita do estroma: matriz mais fibras.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1.4 O Ciclo de Descompensação de Dupps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Talvez o avanço conceitual mais importante na compreensão do ceratocone tenha vindo de Dupps e Roberts, que formalizaram o </w:t>
      </w:r>
      <w:r>
        <w:rPr>
          <w:rFonts w:ascii="Calibri" w:hAnsi="Calibri"/>
          <w:b/>
          <w:i w:val="0"/>
          <w:color w:val="222222"/>
          <w:sz w:val="22"/>
        </w:rPr>
        <w:t>ciclo de descompensação biomecânica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um ciclo de feedback positivo que explica por que o ceratocone é progressivo e por que os descritores geométricos isolados são insuficientes (Dupps &amp; Roberts, 2001; Dupps &amp; Roberts, 2014).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 Ciclo</w:t>
      </w:r>
    </w:p>
    <w:p>
      <w:r>
        <w:rPr>
          <w:rFonts w:ascii="Calibri" w:hAnsi="Calibri"/>
          <w:b w:val="0"/>
          <w:i w:val="0"/>
          <w:color w:val="222222"/>
          <w:sz w:val="22"/>
        </w:rPr>
        <w:t>O ciclo ocorre da seguinte forma: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Enfraquecimento enzimático: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atividade elevada de metaloproteinases de matriz (MMP) — particularmente MMP-2 e MMP-9 — degrada o colágeno e os proteoglicanos em uma região focal do estroma (Seppälä et al., 2006). Isso pode ser iniciado por predisposição genética, fatores ambientais (coçar os olhos, atopia) ou uma combinação de ambos.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Aumento da complacência local: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região degradada torna-se mais complacente (menor c, menor k₁ em termos de HGO). Sob a mesma PIO, ela se deforma mais do que o tecido circundante.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Redistribuição de tensão (stress):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 acordo com a relação de Laplace para uma casca pressurizada (σ = PR/2t, onde P é a pressão, R é o raio e t é a espessura), o aumento da curvatura na zona enfraquecida aumenta a tensão (stress) de membrana local. O afinamento (t reduzido) eleva ainda mais a tensão (stress).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Mais deformação:</w:t>
      </w:r>
      <w:r>
        <w:rPr>
          <w:rFonts w:ascii="Calibri" w:hAnsi="Calibri"/>
          <w:b w:val="0"/>
          <w:i w:val="0"/>
          <w:color w:val="222222"/>
          <w:sz w:val="22"/>
        </w:rPr>
        <w:t xml:space="preserve"> Uma maior tensão (stress) em um material mais fraco produz mais deformação — levando a mais encurvamento e afinamento.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Mais atividade enzimática: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deformação (strain) mecânica estimula a expressão de MMPs através de vias de mecanotransdução nos ceratócitos. A deformação (strain) elevada na zona encurvada estimula ainda mais a degradação enzimática.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Retorno ao passo 1: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ciclo se repete, criando ectasia progressiva.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Este é um clássico </w:t>
      </w:r>
      <w:r>
        <w:rPr>
          <w:rFonts w:ascii="Calibri" w:hAnsi="Calibri"/>
          <w:b/>
          <w:i w:val="0"/>
          <w:color w:val="222222"/>
          <w:sz w:val="22"/>
        </w:rPr>
        <w:t>ciclo de feedback positivo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um círculo vicioso que, uma vez iniciado, impulsiona a progressão da doença até que o estímulo enzimático se atenue (o que pode ocorrer naturalmente na quinta década de vida) ou que uma intervenção externa quebre o ciclo (como o CXL, que aumenta k₁ e interrompe o ciclo no passo 3).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 Papel da PIO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Uma percepção crítica do ciclo de descompensação é que a </w:t>
      </w:r>
      <w:r>
        <w:rPr>
          <w:rFonts w:ascii="Calibri" w:hAnsi="Calibri"/>
          <w:b/>
          <w:i w:val="0"/>
          <w:color w:val="222222"/>
          <w:sz w:val="22"/>
        </w:rPr>
        <w:t>PIO é o motor mecânico da progressão do ceratocone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não porque a PIO esteja elevada (ela é tipicamente normal), mas porque mesmo uma PIO normal (15 mmHg) gera tensão (stress) significativa em um estroma enfraquecido. Nossas simulações de elementos finitos confirmam isso quantitativamente: uma córnea basal sob uma carga de PIO de 15 mmHg mostra um deslocamento apical de </w:t>
      </w:r>
      <w:r>
        <w:rPr>
          <w:rFonts w:ascii="Calibri" w:hAnsi="Calibri"/>
          <w:b/>
          <w:i w:val="0"/>
          <w:color w:val="222222"/>
          <w:sz w:val="22"/>
        </w:rPr>
        <w:t>360,9 μm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uma deformação substancial mesmo em um estroma biomecanicamente normal. No ceratocone, onde o enfraquecimento regional reduz a rigidez local em 30–60% (Scarcelli et al., 2015), a mesma PIO produz deformações locais desproporcionalmente maiores.</w:t>
      </w:r>
    </w:p>
    <w:p>
      <w:r>
        <w:rPr>
          <w:rFonts w:ascii="Calibri" w:hAnsi="Calibri"/>
          <w:b w:val="0"/>
          <w:i w:val="0"/>
          <w:color w:val="222222"/>
          <w:sz w:val="22"/>
        </w:rPr>
        <w:t>É por isso que a redução da PIO (embora teoricamente atraente) não é um tratamento prático para o ceratocone — a PIO não é o problema; a fraqueza do material é. O alvo terapêutico deve ser as propriedades do material (CXL) ou a distribuição de tensão (stress) (ICRS).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1.5 Ceratocone: Da Geometria à Biomecânica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Os Descritores Geométricos e Suas Limitações</w:t>
      </w:r>
    </w:p>
    <w:p>
      <w:r>
        <w:rPr>
          <w:rFonts w:ascii="Calibri" w:hAnsi="Calibri"/>
          <w:b w:val="0"/>
          <w:i w:val="0"/>
          <w:color w:val="222222"/>
          <w:sz w:val="22"/>
        </w:rPr>
        <w:t>Os parâmetros clínicos padrão para o ceratocone — K-steep, K-flat, Kmax, astigmatismo corneano, valor Q, paquimetria mais fina — são descritores geométricos. Eles descrevem a forma e a espessura atuais da córnea, mas não fornecem informações sobre: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</w:t>
      </w:r>
      <w:r>
        <w:rPr>
          <w:rFonts w:ascii="Calibri" w:hAnsi="Calibri"/>
          <w:b/>
          <w:i w:val="0"/>
          <w:color w:val="222222"/>
          <w:sz w:val="22"/>
        </w:rPr>
        <w:t>rigidez do material</w:t>
      </w:r>
      <w:r>
        <w:rPr>
          <w:rFonts w:ascii="Calibri" w:hAnsi="Calibri"/>
          <w:b w:val="0"/>
          <w:i w:val="0"/>
          <w:color w:val="222222"/>
          <w:sz w:val="22"/>
        </w:rPr>
        <w:t xml:space="preserve"> subjacente (que varia regionalmente e entre os pacientes)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</w:t>
      </w:r>
      <w:r>
        <w:rPr>
          <w:rFonts w:ascii="Calibri" w:hAnsi="Calibri"/>
          <w:b/>
          <w:i w:val="0"/>
          <w:color w:val="222222"/>
          <w:sz w:val="22"/>
        </w:rPr>
        <w:t>distribuição de tensão (stress)</w:t>
      </w:r>
      <w:r>
        <w:rPr>
          <w:rFonts w:ascii="Calibri" w:hAnsi="Calibri"/>
          <w:b w:val="0"/>
          <w:i w:val="0"/>
          <w:color w:val="222222"/>
          <w:sz w:val="22"/>
        </w:rPr>
        <w:t xml:space="preserve"> (que depende simultaneamente da geometria, das propriedades do material e da PIO)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</w:t>
      </w:r>
      <w:r>
        <w:rPr>
          <w:rFonts w:ascii="Calibri" w:hAnsi="Calibri"/>
          <w:b/>
          <w:i w:val="0"/>
          <w:color w:val="222222"/>
          <w:sz w:val="22"/>
        </w:rPr>
        <w:t>propensão para progressão</w:t>
      </w:r>
      <w:r>
        <w:rPr>
          <w:rFonts w:ascii="Calibri" w:hAnsi="Calibri"/>
          <w:b w:val="0"/>
          <w:i w:val="0"/>
          <w:color w:val="222222"/>
          <w:sz w:val="22"/>
        </w:rPr>
        <w:t xml:space="preserve"> (que depende da interação entre a tensão (stress) e a degradação do material)</w:t>
      </w:r>
    </w:p>
    <w:p>
      <w:r>
        <w:rPr>
          <w:rFonts w:ascii="Calibri" w:hAnsi="Calibri"/>
          <w:b w:val="0"/>
          <w:i w:val="0"/>
          <w:color w:val="222222"/>
          <w:sz w:val="22"/>
        </w:rPr>
        <w:t>Duas córneas com valores idênticos de K-steep de 48,0 D podem ter perfis biomecânicos fundamentalmente diferentes. Uma pode ter propriedades de material uniformes com uma ectasia relativamente recente e ainda em progressão; a outra pode ter rigidez regionalmente compensada (por exemplo, de CXL prévio ou acúmulo natural de ligações cruzadas) com uma ectasia estável. Um nomograma as trata de forma idêntica. A mecânica não.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Evidência por Microscopia de Brillouin</w:t>
      </w:r>
    </w:p>
    <w:p>
      <w:r>
        <w:rPr>
          <w:rFonts w:ascii="Calibri" w:hAnsi="Calibri"/>
          <w:b w:val="0"/>
          <w:i w:val="0"/>
          <w:color w:val="222222"/>
          <w:sz w:val="22"/>
        </w:rPr>
        <w:t>A evidência mais direta de variação regional de rigidez no ceratocone vem da microscopia de Brillouin, uma técnica que mede o módulo longitudinal local em tecidos vivos sem contato (Scarcelli et al., 2012). Estudos de Scarcelli, Yun e colaboradores demonstraram que: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desvio de frequência de Brillouin (um proxy para a rigidez tecidual) é </w:t>
      </w:r>
      <w:r>
        <w:rPr>
          <w:rFonts w:ascii="Calibri" w:hAnsi="Calibri"/>
          <w:b/>
          <w:i w:val="0"/>
          <w:color w:val="222222"/>
          <w:sz w:val="22"/>
        </w:rPr>
        <w:t>reduzido em 0,1–0,3 GHz</w:t>
      </w:r>
      <w:r>
        <w:rPr>
          <w:rFonts w:ascii="Calibri" w:hAnsi="Calibri"/>
          <w:b w:val="0"/>
          <w:i w:val="0"/>
          <w:color w:val="222222"/>
          <w:sz w:val="22"/>
        </w:rPr>
        <w:t xml:space="preserve"> na região do cone em comparação com o tecido circundante (Scarcelli et al., 2015).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Esta redução está presente mesmo no </w:t>
      </w:r>
      <w:r>
        <w:rPr>
          <w:rFonts w:ascii="Calibri" w:hAnsi="Calibri"/>
          <w:b/>
          <w:i w:val="0"/>
          <w:color w:val="222222"/>
          <w:sz w:val="22"/>
        </w:rPr>
        <w:t>ceratocone subclínico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olhos com topografia normal, mas com elevação posterior suspeita —, sugerindo que a fraqueza do material precede a alteração geométrica.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 distribuição espacial da redução de Brillouin correlaciona-se com a zona de encurvamento, mas não é idêntica a ela, reforçando a distinção entre geometria e mecânica.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 Ocular Response Analyzer e o Corvis ST</w:t>
      </w:r>
    </w:p>
    <w:p>
      <w:r>
        <w:rPr>
          <w:rFonts w:ascii="Calibri" w:hAnsi="Calibri"/>
          <w:b w:val="0"/>
          <w:i w:val="0"/>
          <w:color w:val="222222"/>
          <w:sz w:val="22"/>
        </w:rPr>
        <w:t>Na prática clínica, o Ocular Response Analyzer (ORA, Reichert) e o Corvis ST (Oculus) fornecem medidas indiretas da biomecânica corneana por meio de tonometria de sopro de ar. Os principais parâmetros — Histerese Corneana (CH), Fator de Resistência Corneana (CRF) e o Índice Biomecânico do Corvis (CBI) — capturam aspectos da resposta viscoelástica à deformação (Luce, 2005; Roberts &amp; Dupps, 2014).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No ceratocone, o CH e o CRF estão consistentemente reduzidos, e essa redução muitas vezes </w:t>
      </w:r>
      <w:r>
        <w:rPr>
          <w:rFonts w:ascii="Calibri" w:hAnsi="Calibri"/>
          <w:b/>
          <w:i w:val="0"/>
          <w:color w:val="222222"/>
          <w:sz w:val="22"/>
        </w:rPr>
        <w:t>precede alterações topográficas detectáveis</w:t>
      </w:r>
      <w:r>
        <w:rPr>
          <w:rFonts w:ascii="Calibri" w:hAnsi="Calibri"/>
          <w:b w:val="0"/>
          <w:i w:val="0"/>
          <w:color w:val="222222"/>
          <w:sz w:val="22"/>
        </w:rPr>
        <w:t xml:space="preserve"> (Fontes et al., 2010). Essa sequência temporal — alteração biomecânica antes da alteração geométrica — é uma forte evidência de que a doença é fundamentalmente biomecânica e que os descritores geométricos são </w:t>
      </w:r>
      <w:r>
        <w:rPr>
          <w:rFonts w:ascii="Calibri" w:hAnsi="Calibri"/>
          <w:b w:val="0"/>
          <w:i/>
          <w:color w:val="222222"/>
          <w:sz w:val="22"/>
        </w:rPr>
        <w:t>indicadores tardios</w:t>
      </w:r>
      <w:r>
        <w:rPr>
          <w:rFonts w:ascii="Calibri" w:hAnsi="Calibri"/>
          <w:b w:val="0"/>
          <w:i w:val="0"/>
          <w:color w:val="222222"/>
          <w:sz w:val="22"/>
        </w:rPr>
        <w:t xml:space="preserve"> de um processo mecânico contínuo.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 Argumento para a Avaliação Biomecânica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Se os descritores geométricos são indicadores tardios e a avaliação biomecânica pode detectar anormalidades mais cedo, segue-se que qualquer planejamento de intervenção que dependa exclusivamente da geometria é inerentemente atrasado — ele responde às </w:t>
      </w:r>
      <w:r>
        <w:rPr>
          <w:rFonts w:ascii="Calibri" w:hAnsi="Calibri"/>
          <w:b w:val="0"/>
          <w:i/>
          <w:color w:val="222222"/>
          <w:sz w:val="22"/>
        </w:rPr>
        <w:t>consequências</w:t>
      </w:r>
      <w:r>
        <w:rPr>
          <w:rFonts w:ascii="Calibri" w:hAnsi="Calibri"/>
          <w:b w:val="0"/>
          <w:i w:val="0"/>
          <w:color w:val="222222"/>
          <w:sz w:val="22"/>
        </w:rPr>
        <w:t xml:space="preserve"> da doença em vez de ao seu </w:t>
      </w:r>
      <w:r>
        <w:rPr>
          <w:rFonts w:ascii="Calibri" w:hAnsi="Calibri"/>
          <w:b w:val="0"/>
          <w:i/>
          <w:color w:val="222222"/>
          <w:sz w:val="22"/>
        </w:rPr>
        <w:t>estado atual</w:t>
      </w:r>
      <w:r>
        <w:rPr>
          <w:rFonts w:ascii="Calibri" w:hAnsi="Calibri"/>
          <w:b w:val="0"/>
          <w:i w:val="0"/>
          <w:color w:val="222222"/>
          <w:sz w:val="22"/>
        </w:rPr>
        <w:t>. A implicação clínica é profunda: o planejamento racional de ICRS deve incorporar a avaliação biomecânica, não depender exclusivamente de dados ceratométricos e paquimétricos.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1.6 Implicações para o Planejamento de ICRS</w:t>
      </w:r>
    </w:p>
    <w:p>
      <w:r>
        <w:rPr>
          <w:rFonts w:ascii="Calibri" w:hAnsi="Calibri"/>
          <w:b w:val="0"/>
          <w:i w:val="0"/>
          <w:color w:val="222222"/>
          <w:sz w:val="22"/>
        </w:rPr>
        <w:t>Se o ceratocone é fundamentalmente uma doença biomecânica, segue-se logicamente que uma intervenção eficaz deve abordar a biomecânica — não apenas a geometria. O ICRS, como um implante estrutural inserido no estroma, é inerentemente uma intervenção biomecânica. Ele modifica a distribuição de tensão (stress), altera o campo de deslocamento e restringe a deformação estromal no local da implantação. No entanto, as abordagens atuais de planejamento tratam o procedimento como se fosse uma intervenção geométrica — selecionando parâmetros do anel com base apenas em medições topográficas.</w:t>
      </w:r>
    </w:p>
    <w:p>
      <w:r>
        <w:rPr>
          <w:rFonts w:ascii="Calibri" w:hAnsi="Calibri"/>
          <w:b w:val="0"/>
          <w:i w:val="0"/>
          <w:color w:val="222222"/>
          <w:sz w:val="22"/>
        </w:rPr>
        <w:t>A desconexão é evidente. Os nomogramas atuais prescrevem a espessura do anel com base no K-steep ou no valor Q, assumindo implicitamente que a ceratometria captura o suficiente do estado biomecânico para prever o efeito do anel. Mas nossas simulações de FEM revelam que o efeito do ICRS depende de pelo menos três variáveis mecânicas independentes — deslocamento radial (VR), redistribuição de tensão tangencial (VT) e torque assimétrico (Vτ) —, cada uma modulada por diferentes parâmetros do anel. A espessura controla o VR; o comprimento do arco controla o VT; a assimetria do anel controla o Vτ. Um nomograma que mapeia o K-steep para a espessura captura apenas um desses três mecanismos, e mesmo esse de forma imperfeita.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 framework da AVBC, introduzido nos capítulos seguintes, propõe preencher essa lacuna. Ao decompor o efeito do ICRS em três vetores biomecânicos, cada um associado a um parâmetro específico do anel, ele fornece uma linguagem para o planejamento mecanicista. O cirurgião que compreende VR, VT e Vτ pode raciocinar sobre o </w:t>
      </w:r>
      <w:r>
        <w:rPr>
          <w:rFonts w:ascii="Calibri" w:hAnsi="Calibri"/>
          <w:b w:val="0"/>
          <w:i/>
          <w:color w:val="222222"/>
          <w:sz w:val="22"/>
        </w:rPr>
        <w:t>porquê</w:t>
      </w:r>
      <w:r>
        <w:rPr>
          <w:rFonts w:ascii="Calibri" w:hAnsi="Calibri"/>
          <w:b w:val="0"/>
          <w:i w:val="0"/>
          <w:color w:val="222222"/>
          <w:sz w:val="22"/>
        </w:rPr>
        <w:t xml:space="preserve"> de uma determinada configuração de anel produzir um efeito específico — em vez de consultar uma tabela de consulta e esperar pelo melhor resultado.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1.7 Resumo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ceratocone é uma </w:t>
      </w:r>
      <w:r>
        <w:rPr>
          <w:rFonts w:ascii="Calibri" w:hAnsi="Calibri"/>
          <w:b/>
          <w:i w:val="0"/>
          <w:color w:val="222222"/>
          <w:sz w:val="22"/>
        </w:rPr>
        <w:t>doença biomecânica</w:t>
      </w:r>
      <w:r>
        <w:rPr>
          <w:rFonts w:ascii="Calibri" w:hAnsi="Calibri"/>
          <w:b w:val="0"/>
          <w:i w:val="0"/>
          <w:color w:val="222222"/>
          <w:sz w:val="22"/>
        </w:rPr>
        <w:t>, não meramente uma deformidade geométrica. O processo subjacente envolve a degradação do colágeno e da matriz, a redistribuição de tensão (stress) e um ciclo de feedback positivo (o ciclo de descompensação de Dupps).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estroma corneano é um </w:t>
      </w:r>
      <w:r>
        <w:rPr>
          <w:rFonts w:ascii="Calibri" w:hAnsi="Calibri"/>
          <w:b/>
          <w:i w:val="0"/>
          <w:color w:val="222222"/>
          <w:sz w:val="22"/>
        </w:rPr>
        <w:t>compósito anisotrópico, hiperelástico e reforçado por fibras</w:t>
      </w:r>
      <w:r>
        <w:rPr>
          <w:rFonts w:ascii="Calibri" w:hAnsi="Calibri"/>
          <w:b w:val="0"/>
          <w:i w:val="0"/>
          <w:color w:val="222222"/>
          <w:sz w:val="22"/>
        </w:rPr>
        <w:t>. Seu comportamento mecânico é melhor capturado pelo modelo constitutivo HGO, com os parâmetros c = 0.05 MPa (matriz), k₁ = 0.22 MPa (fibra), k₂ = 100 (não linearidade) e κ = 0.09 (dispersão).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Descritores geométricos</w:t>
      </w:r>
      <w:r>
        <w:rPr>
          <w:rFonts w:ascii="Calibri" w:hAnsi="Calibri"/>
          <w:b w:val="0"/>
          <w:i w:val="0"/>
          <w:color w:val="222222"/>
          <w:sz w:val="22"/>
        </w:rPr>
        <w:t xml:space="preserve"> (K-steep, valor Q, paquimetria) são indicadores tardios que descrevem consequências, não causas. A avaliação biomecânica — via microscopia de Brillouin, ORA/Corvis ou modelagem constitutiva — fornece uma caracterização mais precoce e informativa.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Mesmo uma </w:t>
      </w:r>
      <w:r>
        <w:rPr>
          <w:rFonts w:ascii="Calibri" w:hAnsi="Calibri"/>
          <w:b/>
          <w:i w:val="0"/>
          <w:color w:val="222222"/>
          <w:sz w:val="22"/>
        </w:rPr>
        <w:t>PIO normal (15 mmHg)</w:t>
      </w:r>
      <w:r>
        <w:rPr>
          <w:rFonts w:ascii="Calibri" w:hAnsi="Calibri"/>
          <w:b w:val="0"/>
          <w:i w:val="0"/>
          <w:color w:val="222222"/>
          <w:sz w:val="22"/>
        </w:rPr>
        <w:t xml:space="preserve"> produz deformação corneana significativa (uz = 360,9 μm em nossa linha de base de FEM), destacando a PIO como o motor mecânico da progressão ectática.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</w:t>
      </w:r>
      <w:r>
        <w:rPr>
          <w:rFonts w:ascii="Calibri" w:hAnsi="Calibri"/>
          <w:b/>
          <w:i w:val="0"/>
          <w:color w:val="222222"/>
          <w:sz w:val="22"/>
        </w:rPr>
        <w:t>planejamento racional de ICRS</w:t>
      </w:r>
      <w:r>
        <w:rPr>
          <w:rFonts w:ascii="Calibri" w:hAnsi="Calibri"/>
          <w:b w:val="0"/>
          <w:i w:val="0"/>
          <w:color w:val="222222"/>
          <w:sz w:val="22"/>
        </w:rPr>
        <w:t xml:space="preserve"> exige a compreensão dos mecanismos biomecânicos da intervenção — não apenas do resultado geométrico. Esta é a premissa do framework AVBC desenvolvido nos capítulos subsequentes.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Referências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Birk DE, Fitch JM, Babiarz JP, et al. Collagen fibrillogenesis in vitro: interaction of types I and V collagen regulates fibril diameter. </w:t>
      </w:r>
      <w:r>
        <w:rPr>
          <w:rFonts w:ascii="Calibri" w:hAnsi="Calibri"/>
          <w:b w:val="0"/>
          <w:i/>
          <w:color w:val="222222"/>
          <w:sz w:val="22"/>
        </w:rPr>
        <w:t>J Cell Sci</w:t>
      </w:r>
      <w:r>
        <w:rPr>
          <w:rFonts w:ascii="Calibri" w:hAnsi="Calibri"/>
          <w:b w:val="0"/>
          <w:i w:val="0"/>
          <w:color w:val="222222"/>
          <w:sz w:val="22"/>
        </w:rPr>
        <w:t>. 1990;95(Pt 4):649–657.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Dupps WJ Jr, Roberts CJ. Effect of acute biomechanical changes on corneal curvature after photokeratectomy. </w:t>
      </w:r>
      <w:r>
        <w:rPr>
          <w:rFonts w:ascii="Calibri" w:hAnsi="Calibri"/>
          <w:b w:val="0"/>
          <w:i/>
          <w:color w:val="222222"/>
          <w:sz w:val="22"/>
        </w:rPr>
        <w:t>J Refract Surg</w:t>
      </w:r>
      <w:r>
        <w:rPr>
          <w:rFonts w:ascii="Calibri" w:hAnsi="Calibri"/>
          <w:b w:val="0"/>
          <w:i w:val="0"/>
          <w:color w:val="222222"/>
          <w:sz w:val="22"/>
        </w:rPr>
        <w:t>. 2001;17(6):658–669.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Dupps WJ Jr, Roberts CJ. Biomechanics of corneal ectasia and biomechanical treatments.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2014;40(6):991–998.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Fontes BM, Ambrósio R Jr, Jardim D, et al. Corneal biomechanical metrics and anterior segment parameters in mild keratoconus. </w:t>
      </w:r>
      <w:r>
        <w:rPr>
          <w:rFonts w:ascii="Calibri" w:hAnsi="Calibri"/>
          <w:b w:val="0"/>
          <w:i/>
          <w:color w:val="222222"/>
          <w:sz w:val="22"/>
        </w:rPr>
        <w:t>Ophthalmology</w:t>
      </w:r>
      <w:r>
        <w:rPr>
          <w:rFonts w:ascii="Calibri" w:hAnsi="Calibri"/>
          <w:b w:val="0"/>
          <w:i w:val="0"/>
          <w:color w:val="222222"/>
          <w:sz w:val="22"/>
        </w:rPr>
        <w:t>. 2010;117(4):673–679.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Godefrooij DA, de Wit GA, Uiterwaal CS, et al. Age-specific incidence and prevalence of keratoconus: a nationwide registration study. </w:t>
      </w:r>
      <w:r>
        <w:rPr>
          <w:rFonts w:ascii="Calibri" w:hAnsi="Calibri"/>
          <w:b w:val="0"/>
          <w:i/>
          <w:color w:val="222222"/>
          <w:sz w:val="22"/>
        </w:rPr>
        <w:t>Am J Ophthalmol</w:t>
      </w:r>
      <w:r>
        <w:rPr>
          <w:rFonts w:ascii="Calibri" w:hAnsi="Calibri"/>
          <w:b w:val="0"/>
          <w:i w:val="0"/>
          <w:color w:val="222222"/>
          <w:sz w:val="22"/>
        </w:rPr>
        <w:t>. 2017;175:169–172.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Holzapfel GA, Gasser TC, Ogden RW. A new constitutive framework for arterial wall mechanics and a comparative study of material models. </w:t>
      </w:r>
      <w:r>
        <w:rPr>
          <w:rFonts w:ascii="Calibri" w:hAnsi="Calibri"/>
          <w:b w:val="0"/>
          <w:i/>
          <w:color w:val="222222"/>
          <w:sz w:val="22"/>
        </w:rPr>
        <w:t>J Elasticity</w:t>
      </w:r>
      <w:r>
        <w:rPr>
          <w:rFonts w:ascii="Calibri" w:hAnsi="Calibri"/>
          <w:b w:val="0"/>
          <w:i w:val="0"/>
          <w:color w:val="222222"/>
          <w:sz w:val="22"/>
        </w:rPr>
        <w:t>. 2000;61:1–48.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Komai Y, Ushiki T. The three-dimensional organization of collagen fibrils in the human cornea and sclera.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1991;32(8):2244–2258.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Luce DA. Determining in vivo biomechanical properties of the cornea with an ocular response analyzer.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2005;31(1):156–162.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Maurice DM. The structure and transparency of the cornea. </w:t>
      </w:r>
      <w:r>
        <w:rPr>
          <w:rFonts w:ascii="Calibri" w:hAnsi="Calibri"/>
          <w:b w:val="0"/>
          <w:i/>
          <w:color w:val="222222"/>
          <w:sz w:val="22"/>
        </w:rPr>
        <w:t>J Physiol</w:t>
      </w:r>
      <w:r>
        <w:rPr>
          <w:rFonts w:ascii="Calibri" w:hAnsi="Calibri"/>
          <w:b w:val="0"/>
          <w:i w:val="0"/>
          <w:color w:val="222222"/>
          <w:sz w:val="22"/>
        </w:rPr>
        <w:t>. 1957;136(2):263–286.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Meek KM. Corneal collagen — its role in maintaining corneal shape and transparency. </w:t>
      </w:r>
      <w:r>
        <w:rPr>
          <w:rFonts w:ascii="Calibri" w:hAnsi="Calibri"/>
          <w:b w:val="0"/>
          <w:i/>
          <w:color w:val="222222"/>
          <w:sz w:val="22"/>
        </w:rPr>
        <w:t>Biophys Rev</w:t>
      </w:r>
      <w:r>
        <w:rPr>
          <w:rFonts w:ascii="Calibri" w:hAnsi="Calibri"/>
          <w:b w:val="0"/>
          <w:i w:val="0"/>
          <w:color w:val="222222"/>
          <w:sz w:val="22"/>
        </w:rPr>
        <w:t>. 2009;1(2):83–93.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Meek KM, Boote C. The organization of collagen in the corneal stroma. </w:t>
      </w:r>
      <w:r>
        <w:rPr>
          <w:rFonts w:ascii="Calibri" w:hAnsi="Calibri"/>
          <w:b w:val="0"/>
          <w:i/>
          <w:color w:val="222222"/>
          <w:sz w:val="22"/>
        </w:rPr>
        <w:t>Exp Eye Res</w:t>
      </w:r>
      <w:r>
        <w:rPr>
          <w:rFonts w:ascii="Calibri" w:hAnsi="Calibri"/>
          <w:b w:val="0"/>
          <w:i w:val="0"/>
          <w:color w:val="222222"/>
          <w:sz w:val="22"/>
        </w:rPr>
        <w:t>. 2004;78(3):503–512.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Meek KM, Knupp C. Corneal structure and transparency. </w:t>
      </w:r>
      <w:r>
        <w:rPr>
          <w:rFonts w:ascii="Calibri" w:hAnsi="Calibri"/>
          <w:b w:val="0"/>
          <w:i/>
          <w:color w:val="222222"/>
          <w:sz w:val="22"/>
        </w:rPr>
        <w:t>Prog Retin Eye Res</w:t>
      </w:r>
      <w:r>
        <w:rPr>
          <w:rFonts w:ascii="Calibri" w:hAnsi="Calibri"/>
          <w:b w:val="0"/>
          <w:i w:val="0"/>
          <w:color w:val="222222"/>
          <w:sz w:val="22"/>
        </w:rPr>
        <w:t>. 2015;49:1–16.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Meek KM, Tuft SJ, Huang Y, et al. Changes in collagen orientation and distribution in keratoconus corneas.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2005;46(6):1948–1956.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Nguyen BA, Roberts CJ, Reilly MA. Biomechanical impact of the sclera on corneal deformation response to an air-puff: a finite-element study. </w:t>
      </w:r>
      <w:r>
        <w:rPr>
          <w:rFonts w:ascii="Calibri" w:hAnsi="Calibri"/>
          <w:b w:val="0"/>
          <w:i/>
          <w:color w:val="222222"/>
          <w:sz w:val="22"/>
        </w:rPr>
        <w:t>Front Bioeng Biotechnol</w:t>
      </w:r>
      <w:r>
        <w:rPr>
          <w:rFonts w:ascii="Calibri" w:hAnsi="Calibri"/>
          <w:b w:val="0"/>
          <w:i w:val="0"/>
          <w:color w:val="222222"/>
          <w:sz w:val="22"/>
        </w:rPr>
        <w:t>. 2018;6:210.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Pandolfi A, Manganiello F. A model for the human cornea: constitutive formulation and numerical analysis. </w:t>
      </w:r>
      <w:r>
        <w:rPr>
          <w:rFonts w:ascii="Calibri" w:hAnsi="Calibri"/>
          <w:b w:val="0"/>
          <w:i/>
          <w:color w:val="222222"/>
          <w:sz w:val="22"/>
        </w:rPr>
        <w:t>Biomech Model Mechanobiol</w:t>
      </w:r>
      <w:r>
        <w:rPr>
          <w:rFonts w:ascii="Calibri" w:hAnsi="Calibri"/>
          <w:b w:val="0"/>
          <w:i w:val="0"/>
          <w:color w:val="222222"/>
          <w:sz w:val="22"/>
        </w:rPr>
        <w:t>. 2006;5(4):237–246.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Quantock AJ, Young RD, Akama TO. Structural and biochemical aspects of keratan sulphate in the cornea. </w:t>
      </w:r>
      <w:r>
        <w:rPr>
          <w:rFonts w:ascii="Calibri" w:hAnsi="Calibri"/>
          <w:b w:val="0"/>
          <w:i/>
          <w:color w:val="222222"/>
          <w:sz w:val="22"/>
        </w:rPr>
        <w:t>Cell Mol Life Sci</w:t>
      </w:r>
      <w:r>
        <w:rPr>
          <w:rFonts w:ascii="Calibri" w:hAnsi="Calibri"/>
          <w:b w:val="0"/>
          <w:i w:val="0"/>
          <w:color w:val="222222"/>
          <w:sz w:val="22"/>
        </w:rPr>
        <w:t>. 2010;67(6):891–906.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Roberts CJ, Dupps WJ Jr. Biomechanics of corneal ectasia and biomechanical treatments.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2014;40(6):991–998.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Scarcelli G, Besber R, Pineda R, et al. In vivo biomechanical mapping of normal and keratoconus corneas. </w:t>
      </w:r>
      <w:r>
        <w:rPr>
          <w:rFonts w:ascii="Calibri" w:hAnsi="Calibri"/>
          <w:b w:val="0"/>
          <w:i/>
          <w:color w:val="222222"/>
          <w:sz w:val="22"/>
        </w:rPr>
        <w:t>JAMA Ophthalmol</w:t>
      </w:r>
      <w:r>
        <w:rPr>
          <w:rFonts w:ascii="Calibri" w:hAnsi="Calibri"/>
          <w:b w:val="0"/>
          <w:i w:val="0"/>
          <w:color w:val="222222"/>
          <w:sz w:val="22"/>
        </w:rPr>
        <w:t>. 2015;133(4):480–482.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Scarcelli G, Pineda R, Yun SH. Brillouin optical microscopy for corneal biomechanics.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2012;53(1):185–190.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Seppälä HP, Määttä M, Rautia M, et al. EMMPRIN and MMP-1 in keratoconus. </w:t>
      </w:r>
      <w:r>
        <w:rPr>
          <w:rFonts w:ascii="Calibri" w:hAnsi="Calibri"/>
          <w:b w:val="0"/>
          <w:i/>
          <w:color w:val="222222"/>
          <w:sz w:val="22"/>
        </w:rPr>
        <w:t>Cornea</w:t>
      </w:r>
      <w:r>
        <w:rPr>
          <w:rFonts w:ascii="Calibri" w:hAnsi="Calibri"/>
          <w:b w:val="0"/>
          <w:i w:val="0"/>
          <w:color w:val="222222"/>
          <w:sz w:val="22"/>
        </w:rPr>
        <w:t>. 2006;25(3):325–330.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Thomasy SM, Raghunathan VK, Winkler M, et al. Elastic modulus and collagen organization of the rabbit cornea: epithelium to endothelium. </w:t>
      </w:r>
      <w:r>
        <w:rPr>
          <w:rFonts w:ascii="Calibri" w:hAnsi="Calibri"/>
          <w:b w:val="0"/>
          <w:i/>
          <w:color w:val="222222"/>
          <w:sz w:val="22"/>
        </w:rPr>
        <w:t>Acta Biomater</w:t>
      </w:r>
      <w:r>
        <w:rPr>
          <w:rFonts w:ascii="Calibri" w:hAnsi="Calibri"/>
          <w:b w:val="0"/>
          <w:i w:val="0"/>
          <w:color w:val="222222"/>
          <w:sz w:val="22"/>
        </w:rPr>
        <w:t>. 2014;10(2):785–791.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Torres Netto EA, Al-Otaibi WM, Hafezi NL, et al. Prevalence of keratoconus in paediatric patients in Riyadh, Saudi Arabia. </w:t>
      </w:r>
      <w:r>
        <w:rPr>
          <w:rFonts w:ascii="Calibri" w:hAnsi="Calibri"/>
          <w:b w:val="0"/>
          <w:i/>
          <w:color w:val="222222"/>
          <w:sz w:val="22"/>
        </w:rPr>
        <w:t>Br J Ophthalmol</w:t>
      </w:r>
      <w:r>
        <w:rPr>
          <w:rFonts w:ascii="Calibri" w:hAnsi="Calibri"/>
          <w:b w:val="0"/>
          <w:i w:val="0"/>
          <w:color w:val="222222"/>
          <w:sz w:val="22"/>
        </w:rPr>
        <w:t>. 2018;102(10):1436–1441.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Winkler M, Shoa G, Xie Y, et al. Three-dimensional distribution of transverse collagen fibers in the anterior human corneal stroma.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2013;54(12):7293–7301.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Wollensak G, Spoerl E, Seiler T. Stress-strain measurements of human and porcine corneas after riboflavin-ultraviolet-A-induced cross-linking.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2003;29(9):1780–1785.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