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Capítulo 2 — Como Funcionam os ICRS: Do Deslocamento de Volume à Decomposição Vetorial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Análise Vetorial Biomecânica Corneana para Planejamento de Segmento de Anel Intraestromal</w:t>
      </w:r>
      <w:r>
        <w:rPr>
          <w:rFonts w:ascii="Calibri" w:hAnsi="Calibri"/>
          <w:b w:val="0"/>
          <w:i w:val="0"/>
          <w:color w:val="334E68"/>
          <w:sz w:val="21"/>
        </w:rPr>
        <w:t xml:space="preserve"> </w:t>
      </w:r>
      <w:r>
        <w:rPr>
          <w:rFonts w:ascii="Calibri" w:hAnsi="Calibri"/>
          <w:b w:val="0"/>
          <w:i/>
          <w:color w:val="334E68"/>
          <w:sz w:val="21"/>
        </w:rPr>
        <w:t>Parte I — Fundamentos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2.1 Introdução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Os segmentos de anel intraestromal têm sido implantados por mais de vinte e cinco anos, com uma estimativa de meio milhão de procedimentos realizados em todo o mundo desde o primeiro implante de Intacs em 1999 (Burris et al., 1998; Colin et al., 2000). Apesar dessa ampla experiência clínica, o mecanismo de ação do ICRS permanece assunto de debate contínuo. Como, precisamente, um pequeno arco de polimetilmetacrilato (PMMA) inserido no estroma corneano produz alterações na curvatura corneana, no astigmatismo e nas aberrações de alta ordem?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Três estruturas conceituais foram propostas: a </w:t>
      </w:r>
      <w:r>
        <w:rPr>
          <w:rFonts w:ascii="Calibri" w:hAnsi="Calibri"/>
          <w:b/>
          <w:i w:val="0"/>
          <w:color w:val="222222"/>
          <w:sz w:val="22"/>
        </w:rPr>
        <w:t>escola geométrica</w:t>
      </w:r>
      <w:r>
        <w:rPr>
          <w:rFonts w:ascii="Calibri" w:hAnsi="Calibri"/>
          <w:b w:val="0"/>
          <w:i w:val="0"/>
          <w:color w:val="222222"/>
          <w:sz w:val="22"/>
        </w:rPr>
        <w:t xml:space="preserve"> (Barraquer, 1964), que atribui o efeito ao encurtamento do arco; a </w:t>
      </w:r>
      <w:r>
        <w:rPr>
          <w:rFonts w:ascii="Calibri" w:hAnsi="Calibri"/>
          <w:b/>
          <w:i w:val="0"/>
          <w:color w:val="222222"/>
          <w:sz w:val="22"/>
        </w:rPr>
        <w:t>escola volumétrica</w:t>
      </w:r>
      <w:r>
        <w:rPr>
          <w:rFonts w:ascii="Calibri" w:hAnsi="Calibri"/>
          <w:b w:val="0"/>
          <w:i w:val="0"/>
          <w:color w:val="222222"/>
          <w:sz w:val="22"/>
        </w:rPr>
        <w:t xml:space="preserve"> (Kling &amp; Marcos, 2013), que enfatiza o deslocamento de volume; e a </w:t>
      </w:r>
      <w:r>
        <w:rPr>
          <w:rFonts w:ascii="Calibri" w:hAnsi="Calibri"/>
          <w:b/>
          <w:i w:val="0"/>
          <w:color w:val="222222"/>
          <w:sz w:val="22"/>
        </w:rPr>
        <w:t>escola biomecânica</w:t>
      </w:r>
      <w:r>
        <w:rPr>
          <w:rFonts w:ascii="Calibri" w:hAnsi="Calibri"/>
          <w:b w:val="0"/>
          <w:i w:val="0"/>
          <w:color w:val="222222"/>
          <w:sz w:val="22"/>
        </w:rPr>
        <w:t xml:space="preserve"> (Dupps &amp; Roberts, 2014), que se concentra na redistribuição de tensão (stress). Cada abordagem captura parte da verdade, mas nenhuma fornece uma explicação completa dos efeitos clínicos observados.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Este capítulo revisa criticamente essas três perspectivas e as sintetiza em uma estrutura unificada — a </w:t>
      </w:r>
      <w:r>
        <w:rPr>
          <w:rFonts w:ascii="Calibri" w:hAnsi="Calibri"/>
          <w:b/>
          <w:i w:val="0"/>
          <w:color w:val="222222"/>
          <w:sz w:val="22"/>
        </w:rPr>
        <w:t>decomposição em três vetores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—, na qual o efeito do ICRS é resolvido em três mecanismos biomecânicos independentes: deslocamento radial (VR), redistribuição de tensão tangencial (VT) e torque assimétrico (Vτ). Esta decomposição, validada por 34 simulações de elementos finitos apresentadas no Capítulo 10, forma a base mecanicista para o framework de planejamento AVBC.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2.2 O Princípio Barraquer de Encurtamento de Arco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 Conceito Original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base intelectual para o ICRS remonta a José I. Barraquer, que propôs em 1964 que a inserção de material no estroma corneano poderia modificar sua curvatura através do </w:t>
      </w:r>
      <w:r>
        <w:rPr>
          <w:rFonts w:ascii="Calibri" w:hAnsi="Calibri"/>
          <w:b/>
          <w:i w:val="0"/>
          <w:color w:val="222222"/>
          <w:sz w:val="22"/>
        </w:rPr>
        <w:t>princípio do encurtamento de arco</w:t>
      </w:r>
      <w:r>
        <w:rPr>
          <w:rFonts w:ascii="Calibri" w:hAnsi="Calibri"/>
          <w:b w:val="0"/>
          <w:i w:val="0"/>
          <w:color w:val="222222"/>
          <w:sz w:val="22"/>
        </w:rPr>
        <w:t xml:space="preserve"> (Barraquer, 1964). O conceito é geométrico: para um arco circular de comprimento de corda fixo, o encurtamento do arco aumenta o raio de curvatura. Por outro lado, o alongamento do arco (pela inserção de material) deveria encurvar a trajetória — mas se o material for colocado na córnea </w:t>
      </w:r>
      <w:r>
        <w:rPr>
          <w:rFonts w:ascii="Calibri" w:hAnsi="Calibri"/>
          <w:b w:val="0"/>
          <w:i/>
          <w:color w:val="222222"/>
          <w:sz w:val="22"/>
        </w:rPr>
        <w:t>periférica</w:t>
      </w:r>
      <w:r>
        <w:rPr>
          <w:rFonts w:ascii="Calibri" w:hAnsi="Calibri"/>
          <w:b w:val="0"/>
          <w:i w:val="0"/>
          <w:color w:val="222222"/>
          <w:sz w:val="22"/>
        </w:rPr>
        <w:t xml:space="preserve">, a redistribuição geométrica resultante aplana a córnea </w:t>
      </w:r>
      <w:r>
        <w:rPr>
          <w:rFonts w:ascii="Calibri" w:hAnsi="Calibri"/>
          <w:b w:val="0"/>
          <w:i/>
          <w:color w:val="222222"/>
          <w:sz w:val="22"/>
        </w:rPr>
        <w:t>central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Barraquer formulou sua lei da espessura: </w:t>
      </w:r>
      <w:r>
        <w:rPr>
          <w:rFonts w:ascii="Calibri" w:hAnsi="Calibri"/>
          <w:b w:val="0"/>
          <w:i/>
          <w:color w:val="222222"/>
          <w:sz w:val="22"/>
        </w:rPr>
        <w:t>"Se material for adicionado à periferia da córnea ou removido do centro, a córnea aplana. Se material for removido da periferia ou adicionado ao centro, a córnea encurva."</w:t>
      </w:r>
      <w:r>
        <w:rPr>
          <w:rFonts w:ascii="Calibri" w:hAnsi="Calibri"/>
          <w:b w:val="0"/>
          <w:i w:val="0"/>
          <w:color w:val="222222"/>
          <w:sz w:val="22"/>
        </w:rPr>
        <w:t xml:space="preserve"> Esse princípio guiou o design de procedimentos aditivos (ICRS) e subtrativos (LASIK) e continua sendo a explicação mais amplamente citada para a ação do ICRS.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Base Matemática</w:t>
      </w:r>
    </w:p>
    <w:p>
      <w:r>
        <w:rPr>
          <w:rFonts w:ascii="Calibri" w:hAnsi="Calibri"/>
          <w:b w:val="0"/>
          <w:i w:val="0"/>
          <w:color w:val="222222"/>
          <w:sz w:val="22"/>
        </w:rPr>
        <w:t>O fundamento matemático é direto. Considere um arco circular de raio R e comprimento de arco s, subtendendo um ângulo 2α no centro de curvatura. O comprimento da corda é L = 2R sen(α). Se o comprimento do arco for encurtado (s → s − Δs), então para um comprimento de corda L constante, o raio deve aumentar (R → R + ΔR), e a curvatura da superfície κ = 1/R diminui — a superfície aplana. Para a córnea, isso se traduz em uma redução no poder ceratométrico: ΔK ≈ −(n−1)/R² × ΔR, onde n = 1,3375.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Limitações</w:t>
      </w:r>
    </w:p>
    <w:p>
      <w:r>
        <w:rPr>
          <w:rFonts w:ascii="Calibri" w:hAnsi="Calibri"/>
          <w:b w:val="0"/>
          <w:i w:val="0"/>
          <w:color w:val="222222"/>
          <w:sz w:val="22"/>
        </w:rPr>
        <w:t>O modelo de encurtamento de arco é atraente por sua simplicidade, mas incompleto em vários aspectos: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Explica o aplanamento, mas não a regularização do astigmatismo.</w:t>
      </w:r>
      <w:r>
        <w:rPr>
          <w:rFonts w:ascii="Calibri" w:hAnsi="Calibri"/>
          <w:b w:val="0"/>
          <w:i w:val="0"/>
          <w:color w:val="222222"/>
          <w:sz w:val="22"/>
        </w:rPr>
        <w:t xml:space="preserve"> Muitos pacientes apresentam redução significativa no cilindro e nas aberrações de alta ordem após o ICRS — efeitos que não podem ser explicados por uma simples mudança no comprimento do arco.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Não explica o reposicionamento do ápice.</w:t>
      </w:r>
      <w:r>
        <w:rPr>
          <w:rFonts w:ascii="Calibri" w:hAnsi="Calibri"/>
          <w:b w:val="0"/>
          <w:i w:val="0"/>
          <w:color w:val="222222"/>
          <w:sz w:val="22"/>
        </w:rPr>
        <w:t xml:space="preserve"> No ceratocone, o ápice do cone frequentemente está deslocado do eixo visual, e configurações assimétricas de ICRS podem migrar o ápice — um mecanismo que está fora do escopo do encurtamento do arco.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 conceito de "limbo artificial" foi refutado.</w:t>
      </w:r>
      <w:r>
        <w:rPr>
          <w:rFonts w:ascii="Calibri" w:hAnsi="Calibri"/>
          <w:b w:val="0"/>
          <w:i w:val="0"/>
          <w:color w:val="222222"/>
          <w:sz w:val="22"/>
        </w:rPr>
        <w:t xml:space="preserve"> Uma extensão do modelo de encurtamento do arco propôs que o ICRS cria um limbo funcional — uma barreira de endurecimento circunferencial que mimetiza o anel limbal natural. No entanto, as análises de FEM demonstraram que os ICRS de arco parcial não criam um endurecimento global; eles criam restrições locais com efeitos paradoxais no deslocamento apical (ver Seção 2.4).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2.3 Deslocamento de Volume e Redistribuição de Tensão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O Estudo de FEM de Kling e Marcos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Uma explicação mecanicista mais rigorosa surgiu do trabalho de elementos finitos de Kling e Marcos (2013), que modelaram a implantação de ICRS em uma córnea hiperelástica e analisaram os campos de deslocamento e de tensão (stress) resultantes. Sua principal conclusão foi que o mecanismo dominante é o </w:t>
      </w:r>
      <w:r>
        <w:rPr>
          <w:rFonts w:ascii="Calibri" w:hAnsi="Calibri"/>
          <w:b/>
          <w:i w:val="0"/>
          <w:color w:val="222222"/>
          <w:sz w:val="22"/>
        </w:rPr>
        <w:t>deslocamento de volume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o espaço físico ocupado pelo segmento de anel desloca o estroma circundante radialmente, alterando a curvatura local. A contribuição do encurtamento do arco estava presente, mas era secundária.</w:t>
      </w:r>
    </w:p>
    <w:p>
      <w:r>
        <w:rPr>
          <w:rFonts w:ascii="Calibri" w:hAnsi="Calibri"/>
          <w:b w:val="0"/>
          <w:i w:val="0"/>
          <w:color w:val="222222"/>
          <w:sz w:val="22"/>
        </w:rPr>
        <w:t>O mecanismo de deslocamento de volume opera da seguinte forma: o ICRS ocupa um volume finito dentro do estroma (tipicamente 0,5–1,5 mm³, dependendo das dimensões). Esse volume não pode ser comprimido no tecido circundante (o estroma é quase incompressível); em vez disso, o tecido deve acomodar o implante deslocando-se radialmente. O deslocamento é maior adjacente ao anel e atenua-se com a distância, produzindo uma alteração característica da curvatura — aplanamento central e encurvamento na posição do anel.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Redistribuição de Tensão (Stress): A Perspectiva de Dupps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Dupps e Roberts (2014) enfatizaram um mecanismo complementar: a </w:t>
      </w:r>
      <w:r>
        <w:rPr>
          <w:rFonts w:ascii="Calibri" w:hAnsi="Calibri"/>
          <w:b/>
          <w:i w:val="0"/>
          <w:color w:val="222222"/>
          <w:sz w:val="22"/>
        </w:rPr>
        <w:t>redistribuição de tensão (stress)</w:t>
      </w:r>
      <w:r>
        <w:rPr>
          <w:rFonts w:ascii="Calibri" w:hAnsi="Calibri"/>
          <w:b w:val="0"/>
          <w:i w:val="0"/>
          <w:color w:val="222222"/>
          <w:sz w:val="22"/>
        </w:rPr>
        <w:t>. O ICRS, sendo muito mais rígido do que o estroma circundante (módulo do PMMA ~3 GPa vs. estroma ~0,2 MPa), atua como uma restrição rígida dentro de uma casca deformável sob pressão. Essa restrição força o campo de tensão (stress) impulsionado pela PIO a se redistribuir — a tensão (stress) que normalmente seria distribuída de forma relativamente uniforme ao longo da rede de colágeno agora se concentra no anel e próximo a ele.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principal percepção dessa perspectiva é que o ICRS não "empurra" a córnea para uma nova forma; em vez disso, ele </w:t>
      </w:r>
      <w:r>
        <w:rPr>
          <w:rFonts w:ascii="Calibri" w:hAnsi="Calibri"/>
          <w:b/>
          <w:i w:val="0"/>
          <w:color w:val="222222"/>
          <w:sz w:val="22"/>
        </w:rPr>
        <w:t>reorganiza a distribuição de tensão (stress)</w:t>
      </w:r>
      <w:r>
        <w:rPr>
          <w:rFonts w:ascii="Calibri" w:hAnsi="Calibri"/>
          <w:b w:val="0"/>
          <w:i w:val="0"/>
          <w:color w:val="222222"/>
          <w:sz w:val="22"/>
        </w:rPr>
        <w:t>, e a nova forma é a configuração de equilíbrio da córnea sob o campo de tensão (stress) modificado. Essa distinção não é meramente semântica — ela tem implicações diretas para a compreensão do motivo pelo qual o efeito clínico depende dos parâmetros do anel, da biomecânica específica do paciente e da profundidade de implantação.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Nossos dados de FEM confirmam isso: uma córnea basal sob 15 mmHg de PIO mostra um deslocamento apical de </w:t>
      </w:r>
      <w:r>
        <w:rPr>
          <w:rFonts w:ascii="Calibri" w:hAnsi="Calibri"/>
          <w:b/>
          <w:i w:val="0"/>
          <w:color w:val="222222"/>
          <w:sz w:val="22"/>
        </w:rPr>
        <w:t>360,9 μm</w:t>
      </w:r>
      <w:r>
        <w:rPr>
          <w:rFonts w:ascii="Calibri" w:hAnsi="Calibri"/>
          <w:b w:val="0"/>
          <w:i w:val="0"/>
          <w:color w:val="222222"/>
          <w:sz w:val="22"/>
        </w:rPr>
        <w:t xml:space="preserve">. Com um ICRS circunferencial completo (360°), esse valor cai para </w:t>
      </w:r>
      <w:r>
        <w:rPr>
          <w:rFonts w:ascii="Calibri" w:hAnsi="Calibri"/>
          <w:b/>
          <w:i w:val="0"/>
          <w:color w:val="222222"/>
          <w:sz w:val="22"/>
        </w:rPr>
        <w:t>125,9 μm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uma redução de 65%. O anel completo cria uma barreira circunferencial que resiste à expansão radial e altera profundamente o campo de tensão (stress). Isso não é encurtamento de arco; é redistribuição de tensão (stress) em escala global.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2.4 O Paradoxo do ICRS: Por que Arcos Parciais Não Aplanam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 Descoberta Contraintuitiva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Talvez a descoberta mais reveladora de nossas simulações de FEM seja o que chamamos de </w:t>
      </w:r>
      <w:r>
        <w:rPr>
          <w:rFonts w:ascii="Calibri" w:hAnsi="Calibri"/>
          <w:b/>
          <w:i w:val="0"/>
          <w:color w:val="222222"/>
          <w:sz w:val="22"/>
        </w:rPr>
        <w:t>paradoxo do ICRS</w:t>
      </w:r>
      <w:r>
        <w:rPr>
          <w:rFonts w:ascii="Calibri" w:hAnsi="Calibri"/>
          <w:b w:val="0"/>
          <w:i w:val="0"/>
          <w:color w:val="222222"/>
          <w:sz w:val="22"/>
        </w:rPr>
        <w:t xml:space="preserve">: os segmentos de anel de arco parcial (90°–320°) na verdade </w:t>
      </w:r>
      <w:r>
        <w:rPr>
          <w:rFonts w:ascii="Calibri" w:hAnsi="Calibri"/>
          <w:b/>
          <w:i w:val="0"/>
          <w:color w:val="222222"/>
          <w:sz w:val="22"/>
        </w:rPr>
        <w:t>aumentam</w:t>
      </w:r>
      <w:r>
        <w:rPr>
          <w:rFonts w:ascii="Calibri" w:hAnsi="Calibri"/>
          <w:b w:val="0"/>
          <w:i w:val="0"/>
          <w:color w:val="222222"/>
          <w:sz w:val="22"/>
        </w:rPr>
        <w:t xml:space="preserve"> o deslocamento apical em comparação com a linha de base não restrita, enquanto apenas o anel completo (360°) produz a redução esperada.</w:t>
      </w:r>
    </w:p>
    <w:p>
      <w:r>
        <w:rPr>
          <w:rFonts w:ascii="Calibri" w:hAnsi="Calibri"/>
          <w:b/>
          <w:i w:val="0"/>
          <w:color w:val="222222"/>
          <w:sz w:val="22"/>
        </w:rPr>
        <w:t>Tabela 2.1.</w:t>
      </w:r>
      <w:r>
        <w:rPr>
          <w:rFonts w:ascii="Calibri" w:hAnsi="Calibri"/>
          <w:b w:val="0"/>
          <w:i w:val="0"/>
          <w:color w:val="222222"/>
          <w:sz w:val="22"/>
        </w:rPr>
        <w:t xml:space="preserve"> Deslocamento apical (uz) como função do comprimento do arco do ICRS.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Configuração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Arco (°)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uz ápice (μm)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Alteração vs. linha de base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Linha de base (sem ICRS)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360.9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ICRS 360°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360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125.9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−65%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90°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369.7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+2%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120°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372.3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+3%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160°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375.1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+4%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210°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210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382.0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+6%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255°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255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385.0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+7%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Arco 320°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320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390.3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+8%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Este resultado parece contradizer a experiência clínica — os cirurgiões observam aplanamento após a implantação de ICRS, não encurvamento. Mas o paradoxo se resolve quando se reconhece a distinção entre </w:t>
      </w:r>
      <w:r>
        <w:rPr>
          <w:rFonts w:ascii="Calibri" w:hAnsi="Calibri"/>
          <w:b/>
          <w:i w:val="0"/>
          <w:color w:val="222222"/>
          <w:sz w:val="22"/>
        </w:rPr>
        <w:t>deslocamento</w:t>
      </w:r>
      <w:r>
        <w:rPr>
          <w:rFonts w:ascii="Calibri" w:hAnsi="Calibri"/>
          <w:b w:val="0"/>
          <w:i w:val="0"/>
          <w:color w:val="222222"/>
          <w:sz w:val="22"/>
        </w:rPr>
        <w:t xml:space="preserve"> e </w:t>
      </w:r>
      <w:r>
        <w:rPr>
          <w:rFonts w:ascii="Calibri" w:hAnsi="Calibri"/>
          <w:b/>
          <w:i w:val="0"/>
          <w:color w:val="222222"/>
          <w:sz w:val="22"/>
        </w:rPr>
        <w:t>curvatura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Explicação Física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 ICRS de arco parcial restringe o deslocamento em apenas um setor da circunferência corneana. No setor restrito, o estroma não pode se deformar radialmente. A PIO, contudo, continua a carregar toda a superfície endotelial uniformemente. A tensão (stress) que normalmente seria distribuída por toda a circunferência agora está concentrada nos setores </w:t>
      </w:r>
      <w:r>
        <w:rPr>
          <w:rFonts w:ascii="Calibri" w:hAnsi="Calibri"/>
          <w:b w:val="0"/>
          <w:i/>
          <w:color w:val="222222"/>
          <w:sz w:val="22"/>
        </w:rPr>
        <w:t>não restritos</w:t>
      </w:r>
      <w:r>
        <w:rPr>
          <w:rFonts w:ascii="Calibri" w:hAnsi="Calibri"/>
          <w:b w:val="0"/>
          <w:i w:val="0"/>
          <w:color w:val="222222"/>
          <w:sz w:val="22"/>
        </w:rPr>
        <w:t>, produzindo maior deslocamento nessas regiões — incluindo o ápice.</w:t>
      </w:r>
    </w:p>
    <w:p>
      <w:r>
        <w:rPr>
          <w:rFonts w:ascii="Calibri" w:hAnsi="Calibri"/>
          <w:b w:val="0"/>
          <w:i w:val="0"/>
          <w:color w:val="222222"/>
          <w:sz w:val="22"/>
        </w:rPr>
        <w:t>O resultado é análogo a apertar um balão parcialmente inflado em um ponto: a região comprimida permanece plana, mas a região não comprimida protrui mais. O deslocamento apical líquido aumenta porque a restrição parcial cria uma distribuição de tensão (stress) assimétrica que direciona mais deformação centralmente.</w:t>
      </w:r>
    </w:p>
    <w:p>
      <w:r>
        <w:rPr>
          <w:rFonts w:ascii="Calibri" w:hAnsi="Calibri"/>
          <w:b w:val="0"/>
          <w:i w:val="0"/>
          <w:color w:val="222222"/>
          <w:sz w:val="22"/>
        </w:rPr>
        <w:t>O anel completo (360°) se comporta de maneira diferente porque restringe toda a circunferência, criando uma barreira completa. Não há setor não restrito para absorver a tensão (stress) redistribuída. Em vez disso, o anel atua como um anel rígido, reduzindo efetivamente o vão não suportado da córnea do diâmetro total para o diâmetro interno do anel, diminuindo assim a curvatura efetiva e o deslocamento apical.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Implicação Clínica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Essa descoberta tem uma implicação clínica profunda: </w:t>
      </w:r>
      <w:r>
        <w:rPr>
          <w:rFonts w:ascii="Calibri" w:hAnsi="Calibri"/>
          <w:b/>
          <w:i w:val="0"/>
          <w:color w:val="222222"/>
          <w:sz w:val="22"/>
        </w:rPr>
        <w:t>os ICRS de arco parcial não aplanam a córnea reduzindo o deslocamento apical. Eles modificam a córnea redistribuindo a tensão tangencial.</w:t>
      </w:r>
      <w:r>
        <w:rPr>
          <w:rFonts w:ascii="Calibri" w:hAnsi="Calibri"/>
          <w:b w:val="0"/>
          <w:i w:val="0"/>
          <w:color w:val="222222"/>
          <w:sz w:val="22"/>
        </w:rPr>
        <w:t xml:space="preserve"> O ΔK clínico observado após a implantação de ICRS é um efeito de curvatura de superfície — uma alteração na </w:t>
      </w:r>
      <w:r>
        <w:rPr>
          <w:rFonts w:ascii="Calibri" w:hAnsi="Calibri"/>
          <w:b w:val="0"/>
          <w:i/>
          <w:color w:val="222222"/>
          <w:sz w:val="22"/>
        </w:rPr>
        <w:t>relação</w:t>
      </w:r>
      <w:r>
        <w:rPr>
          <w:rFonts w:ascii="Calibri" w:hAnsi="Calibri"/>
          <w:b w:val="0"/>
          <w:i w:val="0"/>
          <w:color w:val="222222"/>
          <w:sz w:val="22"/>
        </w:rPr>
        <w:t xml:space="preserve"> entre a curvatura local e a esfera de melhor ajuste (best-fit sphere) de referência — e não uma simples redução de deslocamento.</w:t>
      </w:r>
    </w:p>
    <w:p>
      <w:r>
        <w:rPr>
          <w:rFonts w:ascii="Calibri" w:hAnsi="Calibri"/>
          <w:b w:val="0"/>
          <w:i w:val="0"/>
          <w:color w:val="222222"/>
          <w:sz w:val="22"/>
        </w:rPr>
        <w:t>É por isso que o VT (redistribuição de tensão tangencial) é o mecanismo primário para os ICRS de arco parcial, enquanto o VR (redução do deslocamento radial) é relevante apenas para o anel completo. Compreender essa distinção é essencial para o planejamento racional do ICRS.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2.5 A Decomposição em Três Vetores: VR, VT, Vτ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 Necessidade de uma Decomposição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análise precedente revela que o efeito do ICRS não é um fenômeno único, mas sim um compósito de múltiplos mecanismos, cada um com diferentes sensibilidades aos parâmetros do anel. Para tornar essa complexidade tratável para a tomada de decisões clínicas, propomos a decomposição do efeito do ICRS em três </w:t>
      </w:r>
      <w:r>
        <w:rPr>
          <w:rFonts w:ascii="Calibri" w:hAnsi="Calibri"/>
          <w:b/>
          <w:i w:val="0"/>
          <w:color w:val="222222"/>
          <w:sz w:val="22"/>
        </w:rPr>
        <w:t>vetores biomecânicos</w:t>
      </w:r>
      <w:r>
        <w:rPr>
          <w:rFonts w:ascii="Calibri" w:hAnsi="Calibri"/>
          <w:b w:val="0"/>
          <w:i w:val="0"/>
          <w:color w:val="222222"/>
          <w:sz w:val="22"/>
        </w:rPr>
        <w:t xml:space="preserve"> independentes: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VR — O Vetor Radial</w:t>
      </w:r>
    </w:p>
    <w:p>
      <w:r>
        <w:rPr>
          <w:rFonts w:ascii="Calibri" w:hAnsi="Calibri"/>
          <w:b/>
          <w:i w:val="0"/>
          <w:color w:val="222222"/>
          <w:sz w:val="22"/>
        </w:rPr>
        <w:t>Definição:</w:t>
      </w:r>
      <w:r>
        <w:rPr>
          <w:rFonts w:ascii="Calibri" w:hAnsi="Calibri"/>
          <w:b w:val="0"/>
          <w:i w:val="0"/>
          <w:color w:val="222222"/>
          <w:sz w:val="22"/>
        </w:rPr>
        <w:t xml:space="preserve"> VR é a componente radial do campo de deslocamento induzido pelo ICRS.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VR(r, θ) = Δuᵣ = [ux·cos(θ) + uy·sin(θ)]_final − [ux·cos(θ) + uy·sin(θ)]_initial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/>
          <w:i w:val="0"/>
          <w:color w:val="222222"/>
          <w:sz w:val="22"/>
        </w:rPr>
        <w:t>Correlação clínica: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VR controla o aplanamento corneano (ΔK). Um VR maior na zona central corresponde a um maior aplanamento.</w:t>
      </w:r>
    </w:p>
    <w:p>
      <w:r>
        <w:rPr>
          <w:rFonts w:ascii="Calibri" w:hAnsi="Calibri"/>
          <w:b/>
          <w:i w:val="0"/>
          <w:color w:val="222222"/>
          <w:sz w:val="22"/>
        </w:rPr>
        <w:t>Parâmetro do anel: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VR é modulado principalmente pela </w:t>
      </w:r>
      <w:r>
        <w:rPr>
          <w:rFonts w:ascii="Calibri" w:hAnsi="Calibri"/>
          <w:b/>
          <w:i w:val="0"/>
          <w:color w:val="222222"/>
          <w:sz w:val="22"/>
        </w:rPr>
        <w:t>espessura do anel</w:t>
      </w:r>
      <w:r>
        <w:rPr>
          <w:rFonts w:ascii="Calibri" w:hAnsi="Calibri"/>
          <w:b w:val="0"/>
          <w:i w:val="0"/>
          <w:color w:val="222222"/>
          <w:sz w:val="22"/>
        </w:rPr>
        <w:t xml:space="preserve"> (mecanismo de deslocamento de volume). Nossos dados de FEM demonstram que o VR central é insensível ao comprimento do arco: ele permanece em 19,2–19,9 μm em todos os arcos parciais (90°–320°), variando menos de 4%. Apenas o anel completo (360°) reduz o VR para 8,89 μm. Esse desacoplamento — VR em relação ao comprimento do arco — é uma descoberta fundamental.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VT — O Vetor Tangencial</w:t>
      </w:r>
    </w:p>
    <w:p>
      <w:r>
        <w:rPr>
          <w:rFonts w:ascii="Calibri" w:hAnsi="Calibri"/>
          <w:b/>
          <w:i w:val="0"/>
          <w:color w:val="222222"/>
          <w:sz w:val="22"/>
        </w:rPr>
        <w:t>Definição:</w:t>
      </w:r>
      <w:r>
        <w:rPr>
          <w:rFonts w:ascii="Calibri" w:hAnsi="Calibri"/>
          <w:b w:val="0"/>
          <w:i w:val="0"/>
          <w:color w:val="222222"/>
          <w:sz w:val="22"/>
        </w:rPr>
        <w:t xml:space="preserve"> VT é a alteração na tensão tangencial (hoop stress) induzida pelo ICRS.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VT(r, θ) = Δσ_θθ = [σ_θθ]_final − [σ_θθ]_initial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22222"/>
          <w:sz w:val="22"/>
        </w:rPr>
        <w:t>onde σ_θθ é obtido por transformação tensorial da tensão Cauchy cartesiana.</w:t>
      </w:r>
    </w:p>
    <w:p>
      <w:r>
        <w:rPr>
          <w:rFonts w:ascii="Calibri" w:hAnsi="Calibri"/>
          <w:b/>
          <w:i w:val="0"/>
          <w:color w:val="222222"/>
          <w:sz w:val="22"/>
        </w:rPr>
        <w:t>Correlação clínica: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VT controla a regularização do astigmatismo (ΔCyl). Uma distribuição de σ_θθ mais uniforme corresponde a um astigmatismo mais regular.</w:t>
      </w:r>
    </w:p>
    <w:p>
      <w:r>
        <w:rPr>
          <w:rFonts w:ascii="Calibri" w:hAnsi="Calibri"/>
          <w:b/>
          <w:i w:val="0"/>
          <w:color w:val="222222"/>
          <w:sz w:val="22"/>
        </w:rPr>
        <w:t>Parâmetro do anel: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VT é modulado principalmente pelo </w:t>
      </w:r>
      <w:r>
        <w:rPr>
          <w:rFonts w:ascii="Calibri" w:hAnsi="Calibri"/>
          <w:b/>
          <w:i w:val="0"/>
          <w:color w:val="222222"/>
          <w:sz w:val="22"/>
        </w:rPr>
        <w:t>comprimento do arco</w:t>
      </w:r>
      <w:r>
        <w:rPr>
          <w:rFonts w:ascii="Calibri" w:hAnsi="Calibri"/>
          <w:b w:val="0"/>
          <w:i w:val="0"/>
          <w:color w:val="222222"/>
          <w:sz w:val="22"/>
        </w:rPr>
        <w:t>. Nossos dados de FEM mostram uma diminuição de forma monotônica: o VT cai de 7,78 kPa (linha de base) para 7,20 kPa (arco de 320°), seguindo a relação empírica: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VT(arc°) = −0.0018 × arc° + 7.79    (R² = 0.94)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22222"/>
          <w:sz w:val="22"/>
        </w:rPr>
        <w:t>Cada grau adicional de arco reduz a tensão tangencial global em 0,0018 kPa. Essa monotonicidade fornece um guia quantitativo para a seleção do comprimento do arco.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Vτ — O Vetor de Torque</w:t>
      </w:r>
    </w:p>
    <w:p>
      <w:r>
        <w:rPr>
          <w:rFonts w:ascii="Calibri" w:hAnsi="Calibri"/>
          <w:b/>
          <w:i w:val="0"/>
          <w:color w:val="222222"/>
          <w:sz w:val="22"/>
        </w:rPr>
        <w:t>Definição:</w:t>
      </w:r>
      <w:r>
        <w:rPr>
          <w:rFonts w:ascii="Calibri" w:hAnsi="Calibri"/>
          <w:b w:val="0"/>
          <w:i w:val="0"/>
          <w:color w:val="222222"/>
          <w:sz w:val="22"/>
        </w:rPr>
        <w:t xml:space="preserve"> Vτ é o torque (momento) gerado pela geometria assimétrica do anel.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tcBorders>
              <w:top w:val="none"/>
              <w:bottom w:val="none"/>
              <w:left w:val="single" w:sz="24" w:space="0" w:color="1B365D"/>
              <w:right w:val="none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Consolas" w:hAnsi="Consolas"/>
                <w:color w:val="24292E"/>
                <w:sz w:val="19"/>
              </w:rPr>
              <w:t>Vτ = ∫_arc (ΔF⊥ × r) dθ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/>
          <w:i w:val="0"/>
          <w:color w:val="222222"/>
          <w:sz w:val="22"/>
        </w:rPr>
        <w:t>Correlação clínica: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Vτ controla o reposicionamento do ápice. Um anel assimétrico (espessura progressiva) gera forças desiguais em suas extremidades, produzindo um binário de forças que direciona o ápice do cone em uma direção preferencial.</w:t>
      </w:r>
    </w:p>
    <w:p>
      <w:r>
        <w:rPr>
          <w:rFonts w:ascii="Calibri" w:hAnsi="Calibri"/>
          <w:b/>
          <w:i w:val="0"/>
          <w:color w:val="222222"/>
          <w:sz w:val="22"/>
        </w:rPr>
        <w:t>Parâmetro do anel: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Vτ é modulado pela </w:t>
      </w:r>
      <w:r>
        <w:rPr>
          <w:rFonts w:ascii="Calibri" w:hAnsi="Calibri"/>
          <w:b/>
          <w:i w:val="0"/>
          <w:color w:val="222222"/>
          <w:sz w:val="22"/>
        </w:rPr>
        <w:t>assimetria do anel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a diferença de espessura entre as duas extremidades do segmento. Para anéis simétricos, Vτ = 0 (confirmado em todas as 28 simulações simétricas, com Vτ não nulo verificado nas 6 simulações progressivas assimétricas).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Por que Três Vetores?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escolha de três vetores não é arbitrária. Ela reflete os três resultados </w:t>
      </w:r>
      <w:r>
        <w:rPr>
          <w:rFonts w:ascii="Calibri" w:hAnsi="Calibri"/>
          <w:b w:val="0"/>
          <w:i/>
          <w:color w:val="222222"/>
          <w:sz w:val="22"/>
        </w:rPr>
        <w:t>clínicos</w:t>
      </w:r>
      <w:r>
        <w:rPr>
          <w:rFonts w:ascii="Calibri" w:hAnsi="Calibri"/>
          <w:b w:val="0"/>
          <w:i w:val="0"/>
          <w:color w:val="222222"/>
          <w:sz w:val="22"/>
        </w:rPr>
        <w:t xml:space="preserve"> independentes que os cirurgiões buscam com o ICRS: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Aplanamento</w:t>
      </w:r>
      <w:r>
        <w:rPr>
          <w:rFonts w:ascii="Calibri" w:hAnsi="Calibri"/>
          <w:b w:val="0"/>
          <w:i w:val="0"/>
          <w:color w:val="222222"/>
          <w:sz w:val="22"/>
        </w:rPr>
        <w:t xml:space="preserve"> (reduzir o K-steep) → VR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Regularização</w:t>
      </w:r>
      <w:r>
        <w:rPr>
          <w:rFonts w:ascii="Calibri" w:hAnsi="Calibri"/>
          <w:b w:val="0"/>
          <w:i w:val="0"/>
          <w:color w:val="222222"/>
          <w:sz w:val="22"/>
        </w:rPr>
        <w:t xml:space="preserve"> (reduzir o astigmatismo irregular) → VT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Reposicionamento do ápice</w:t>
      </w:r>
      <w:r>
        <w:rPr>
          <w:rFonts w:ascii="Calibri" w:hAnsi="Calibri"/>
          <w:b w:val="0"/>
          <w:i w:val="0"/>
          <w:color w:val="222222"/>
          <w:sz w:val="22"/>
        </w:rPr>
        <w:t xml:space="preserve"> (reduzir o coma, centralizar a óptica) → Vτ</w:t>
      </w:r>
    </w:p>
    <w:p>
      <w:r>
        <w:rPr>
          <w:rFonts w:ascii="Calibri" w:hAnsi="Calibri"/>
          <w:b w:val="0"/>
          <w:i w:val="0"/>
          <w:color w:val="222222"/>
          <w:sz w:val="22"/>
        </w:rPr>
        <w:t>Cada resultado é controlado por um parâmetro de anel diferente: espessura, comprimento do arco e assimetria, respectivamente. Este mapeamento de um para um — objetivo clínico para parâmetro do anel, mediado por um vetor biomecânico — é o que torna o framework AVBC clinicamente aplicável.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 Analogia com Alpins</w:t>
      </w:r>
    </w:p>
    <w:p>
      <w:r>
        <w:rPr>
          <w:rFonts w:ascii="Calibri" w:hAnsi="Calibri"/>
          <w:b w:val="0"/>
          <w:i w:val="0"/>
          <w:color w:val="222222"/>
          <w:sz w:val="22"/>
        </w:rPr>
        <w:t>O paralelo estrutural com a análise de astigmatismo de Alpins é deliberado. Alpins decompôs o efeito astigmático da cirurgia refrativa em três vetores: TIA (alvo), SIA (induzido) e DV (diferença vetorial). Essa decomposição permitiu um planejamento padronizado, avaliação objetiva dos resultados e calibração do cirurgião. A AVBC faz o mesmo para o ICRS, mas a álgebra subjacente é mais complexa porque o domínio biomecânico é tridimensional e envolve campos de deslocamento e de tensão (stress), e não apenas uma representação polar bidimensional do astigmatismo.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 paralelo é </w:t>
      </w:r>
      <w:r>
        <w:rPr>
          <w:rFonts w:ascii="Calibri" w:hAnsi="Calibri"/>
          <w:b/>
          <w:i w:val="0"/>
          <w:color w:val="222222"/>
          <w:sz w:val="22"/>
        </w:rPr>
        <w:t>estrutural</w:t>
      </w:r>
      <w:r>
        <w:rPr>
          <w:rFonts w:ascii="Calibri" w:hAnsi="Calibri"/>
          <w:b w:val="0"/>
          <w:i w:val="0"/>
          <w:color w:val="222222"/>
          <w:sz w:val="22"/>
        </w:rPr>
        <w:t>, não algébrico: ambos os frameworks decompõem um efeito cirúrgico em componentes controláveis de forma independente, cada um com um valor planejado e um induzido, permitindo a comparação quantitativa e o feedback.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2.6 Qual Mecanismo Domina?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questão clínica crítica é: </w:t>
      </w:r>
      <w:r>
        <w:rPr>
          <w:rFonts w:ascii="Calibri" w:hAnsi="Calibri"/>
          <w:b/>
          <w:i w:val="0"/>
          <w:color w:val="222222"/>
          <w:sz w:val="22"/>
        </w:rPr>
        <w:t>para um determinado paciente, qual dos três mecanismos deve ser priorizado?</w:t>
      </w:r>
    </w:p>
    <w:p>
      <w:r>
        <w:rPr>
          <w:rFonts w:ascii="Calibri" w:hAnsi="Calibri"/>
          <w:b w:val="0"/>
          <w:i w:val="0"/>
          <w:color w:val="222222"/>
          <w:sz w:val="22"/>
        </w:rPr>
        <w:t>Os dados de FEM fornecem uma orientação clara: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Necessidade Clínica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Vetor Dominante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Parâmetro do Anel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Evidência de FEM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Aplanar (reduzir K)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VR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Espessura 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 insensível ao arco (19,2–19,9 μm para 90°–320°); a espessura é o modulador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Regularizar (reduzir Cil)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VT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Comprimento do arco ↑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 diminui de forma monotônica: −0,0018 kPa/grau (R² = 0,94)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Reposicionar ápice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Vτ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Assimetria ↑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Vτ = 0 para simétrico; &gt;0 para assimétrico (García de Oteyza, 2021)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Estabilizar (interromper ectasia)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 + VT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Combinado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CXL primeiro, depois ICRS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percepção fundamental é que </w:t>
      </w:r>
      <w:r>
        <w:rPr>
          <w:rFonts w:ascii="Calibri" w:hAnsi="Calibri"/>
          <w:b/>
          <w:i w:val="0"/>
          <w:color w:val="222222"/>
          <w:sz w:val="22"/>
        </w:rPr>
        <w:t>o cirurgião controla qual mecanismo domina</w:t>
      </w:r>
      <w:r>
        <w:rPr>
          <w:rFonts w:ascii="Calibri" w:hAnsi="Calibri"/>
          <w:b w:val="0"/>
          <w:i w:val="0"/>
          <w:color w:val="222222"/>
          <w:sz w:val="22"/>
        </w:rPr>
        <w:t xml:space="preserve"> ao selecionar os parâmetros do anel. Um anel espesso com arco curto maximiza o VR (aplanamento) enquanto minimiza o VT (regularização). Um anel fino com arco longo faz o oposto. Um anel assimétrico ativa o Vτ. Esse desacoplamento dos três mecanismos é o que torna possível o planejamento mecanicista — e o que os nomogramas, por sua própria natureza, não conseguem capturar.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2.7 O Papel da Profundidade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profundidade de implantação — tipicamente especificada como uma porcentagem da paquimetria local (60–80%) — funciona como um </w:t>
      </w:r>
      <w:r>
        <w:rPr>
          <w:rFonts w:ascii="Calibri" w:hAnsi="Calibri"/>
          <w:b/>
          <w:i w:val="0"/>
          <w:color w:val="222222"/>
          <w:sz w:val="22"/>
        </w:rPr>
        <w:t>amplificador universal</w:t>
      </w:r>
      <w:r>
        <w:rPr>
          <w:rFonts w:ascii="Calibri" w:hAnsi="Calibri"/>
          <w:b w:val="0"/>
          <w:i w:val="0"/>
          <w:color w:val="222222"/>
          <w:sz w:val="22"/>
        </w:rPr>
        <w:t xml:space="preserve"> de todos os três vetores. O posicionamento mais profundo coloca o anel mais próximo da superfície endotelial, onde o braço de alavanca em relação à superfície média corneana é maior, amplificando o efeito mecânico.</w:t>
      </w:r>
    </w:p>
    <w:p>
      <w:r>
        <w:rPr>
          <w:rFonts w:ascii="Calibri" w:hAnsi="Calibri"/>
          <w:b w:val="0"/>
          <w:i w:val="0"/>
          <w:color w:val="222222"/>
          <w:sz w:val="22"/>
        </w:rPr>
        <w:t>Nossos modelos de FEM específicos para o paciente fornecem suporte quantitativo para o papel amplificador do contexto estrutural da córnea. Pacientes com córneas mais finas — onde o ICRS ocupa uma fração relativamente maior da espessura total — mostram maior capacidade de resposta biomecânica: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Faixa de Paquimetria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Média \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Δuz\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(μm)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&lt; 430 μm (fina)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34.1 ± 1.0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430–500 μm (média)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29.3 ± 0.8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&gt; 500 μm (espessa)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28.5 ± 0.2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</w:p>
        </w:tc>
      </w:tr>
    </w:tbl>
    <w:p>
      <w:pPr>
        <w:spacing w:before="120" w:after="120"/>
      </w:pPr>
    </w:p>
    <w:p>
      <w:r>
        <w:rPr>
          <w:rFonts w:ascii="Calibri" w:hAnsi="Calibri"/>
          <w:b w:val="0"/>
          <w:i w:val="0"/>
          <w:color w:val="222222"/>
          <w:sz w:val="22"/>
        </w:rPr>
        <w:t>Córneas mais finas mostram uma diferença de deslocamento aproximadamente 20% maior do que as córneas mais espessas para a mesma especificação de anel. Isso é consistente com a experiência clínica — córneas mais finas são mais responsivas ao ICRS — e apoia o papel da profundidade (e da proporção relativa do anel) como uma variável de planejamento crítica.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orientação clínica é: a profundidade não é apenas um parâmetro de segurança (evitando a perfuração); ela é um </w:t>
      </w:r>
      <w:r>
        <w:rPr>
          <w:rFonts w:ascii="Calibri" w:hAnsi="Calibri"/>
          <w:b/>
          <w:i w:val="0"/>
          <w:color w:val="222222"/>
          <w:sz w:val="22"/>
        </w:rPr>
        <w:t>modulador de dose</w:t>
      </w:r>
      <w:r>
        <w:rPr>
          <w:rFonts w:ascii="Calibri" w:hAnsi="Calibri"/>
          <w:b w:val="0"/>
          <w:i w:val="0"/>
          <w:color w:val="222222"/>
          <w:sz w:val="22"/>
        </w:rPr>
        <w:t xml:space="preserve"> para todos os três vetores biomecânicos.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2.8 Resumo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mecanismo de ação do ICRS não é um fenômeno único, mas sim um </w:t>
      </w:r>
      <w:r>
        <w:rPr>
          <w:rFonts w:ascii="Calibri" w:hAnsi="Calibri"/>
          <w:b/>
          <w:i w:val="0"/>
          <w:color w:val="222222"/>
          <w:sz w:val="22"/>
        </w:rPr>
        <w:t>compósito de três mecanismos</w:t>
      </w:r>
      <w:r>
        <w:rPr>
          <w:rFonts w:ascii="Calibri" w:hAnsi="Calibri"/>
          <w:b w:val="0"/>
          <w:i w:val="0"/>
          <w:color w:val="222222"/>
          <w:sz w:val="22"/>
        </w:rPr>
        <w:t>: deslocamento radial (VR), redistribuição de tensão tangencial (VT) e torque assimétrico (Vτ).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</w:t>
      </w:r>
      <w:r>
        <w:rPr>
          <w:rFonts w:ascii="Calibri" w:hAnsi="Calibri"/>
          <w:b/>
          <w:i w:val="0"/>
          <w:color w:val="222222"/>
          <w:sz w:val="22"/>
        </w:rPr>
        <w:t>princípio de encurtamento de arco</w:t>
      </w:r>
      <w:r>
        <w:rPr>
          <w:rFonts w:ascii="Calibri" w:hAnsi="Calibri"/>
          <w:b w:val="0"/>
          <w:i w:val="0"/>
          <w:color w:val="222222"/>
          <w:sz w:val="22"/>
        </w:rPr>
        <w:t xml:space="preserve"> de Barraquer explica parte do efeito de aplanamento, mas não consegue explicar a regularização ou o reposicionamento do ápice.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mecanismo de </w:t>
      </w:r>
      <w:r>
        <w:rPr>
          <w:rFonts w:ascii="Calibri" w:hAnsi="Calibri"/>
          <w:b/>
          <w:i w:val="0"/>
          <w:color w:val="222222"/>
          <w:sz w:val="22"/>
        </w:rPr>
        <w:t>deslocamento de volume</w:t>
      </w:r>
      <w:r>
        <w:rPr>
          <w:rFonts w:ascii="Calibri" w:hAnsi="Calibri"/>
          <w:b w:val="0"/>
          <w:i w:val="0"/>
          <w:color w:val="222222"/>
          <w:sz w:val="22"/>
        </w:rPr>
        <w:t xml:space="preserve"> (Kling &amp; Marcos) e a perspectiva de </w:t>
      </w:r>
      <w:r>
        <w:rPr>
          <w:rFonts w:ascii="Calibri" w:hAnsi="Calibri"/>
          <w:b/>
          <w:i w:val="0"/>
          <w:color w:val="222222"/>
          <w:sz w:val="22"/>
        </w:rPr>
        <w:t>redistribuição de tensão (stress)</w:t>
      </w:r>
      <w:r>
        <w:rPr>
          <w:rFonts w:ascii="Calibri" w:hAnsi="Calibri"/>
          <w:b w:val="0"/>
          <w:i w:val="0"/>
          <w:color w:val="222222"/>
          <w:sz w:val="22"/>
        </w:rPr>
        <w:t xml:space="preserve"> (Dupps &amp; Roberts) fornecem explicações mais completas e consistentes com os dados de FEM.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</w:t>
      </w:r>
      <w:r>
        <w:rPr>
          <w:rFonts w:ascii="Calibri" w:hAnsi="Calibri"/>
          <w:b/>
          <w:i w:val="0"/>
          <w:color w:val="222222"/>
          <w:sz w:val="22"/>
        </w:rPr>
        <w:t>paradoxo do ICRS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arcos parciais aumentam o deslocamento apical enquanto apenas o anel completo o diminui — revela que os arcos parciais funcionam redistribuindo a tensão, e não aplanando diretamente.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</w:t>
      </w:r>
      <w:r>
        <w:rPr>
          <w:rFonts w:ascii="Calibri" w:hAnsi="Calibri"/>
          <w:b/>
          <w:i w:val="0"/>
          <w:color w:val="222222"/>
          <w:sz w:val="22"/>
        </w:rPr>
        <w:t>decomposição em três vetores</w:t>
      </w:r>
      <w:r>
        <w:rPr>
          <w:rFonts w:ascii="Calibri" w:hAnsi="Calibri"/>
          <w:b w:val="0"/>
          <w:i w:val="0"/>
          <w:color w:val="222222"/>
          <w:sz w:val="22"/>
        </w:rPr>
        <w:t xml:space="preserve"> (VR/VT/Vτ) fornece uma linguagem para entender qual mecanismo domina para uma determinada configuração de anel e necessidade clínica.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Cada vetor é modulado por um parâmetro de anel diferente: </w:t>
      </w:r>
      <w:r>
        <w:rPr>
          <w:rFonts w:ascii="Calibri" w:hAnsi="Calibri"/>
          <w:b/>
          <w:i w:val="0"/>
          <w:color w:val="222222"/>
          <w:sz w:val="22"/>
        </w:rPr>
        <w:t>espessura</w:t>
      </w:r>
      <w:r>
        <w:rPr>
          <w:rFonts w:ascii="Calibri" w:hAnsi="Calibri"/>
          <w:b w:val="0"/>
          <w:i w:val="0"/>
          <w:color w:val="222222"/>
          <w:sz w:val="22"/>
        </w:rPr>
        <w:t xml:space="preserve"> (VR), </w:t>
      </w:r>
      <w:r>
        <w:rPr>
          <w:rFonts w:ascii="Calibri" w:hAnsi="Calibri"/>
          <w:b/>
          <w:i w:val="0"/>
          <w:color w:val="222222"/>
          <w:sz w:val="22"/>
        </w:rPr>
        <w:t>comprimento do arco</w:t>
      </w:r>
      <w:r>
        <w:rPr>
          <w:rFonts w:ascii="Calibri" w:hAnsi="Calibri"/>
          <w:b w:val="0"/>
          <w:i w:val="0"/>
          <w:color w:val="222222"/>
          <w:sz w:val="22"/>
        </w:rPr>
        <w:t xml:space="preserve"> (VT), </w:t>
      </w:r>
      <w:r>
        <w:rPr>
          <w:rFonts w:ascii="Calibri" w:hAnsi="Calibri"/>
          <w:b/>
          <w:i w:val="0"/>
          <w:color w:val="222222"/>
          <w:sz w:val="22"/>
        </w:rPr>
        <w:t>assimetria</w:t>
      </w:r>
      <w:r>
        <w:rPr>
          <w:rFonts w:ascii="Calibri" w:hAnsi="Calibri"/>
          <w:b w:val="0"/>
          <w:i w:val="0"/>
          <w:color w:val="222222"/>
          <w:sz w:val="22"/>
        </w:rPr>
        <w:t xml:space="preserve"> (Vτ).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</w:t>
      </w:r>
      <w:r>
        <w:rPr>
          <w:rFonts w:ascii="Calibri" w:hAnsi="Calibri"/>
          <w:b/>
          <w:i w:val="0"/>
          <w:color w:val="222222"/>
          <w:sz w:val="22"/>
        </w:rPr>
        <w:t>profundidade</w:t>
      </w:r>
      <w:r>
        <w:rPr>
          <w:rFonts w:ascii="Calibri" w:hAnsi="Calibri"/>
          <w:b w:val="0"/>
          <w:i w:val="0"/>
          <w:color w:val="222222"/>
          <w:sz w:val="22"/>
        </w:rPr>
        <w:t xml:space="preserve"> atua como um amplificador universal de todos os três vetores.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Esta compreensão mecanicista forma a base para o framework de planejamento AVBC — um sistema que prescreve parâmetros de anel com base em </w:t>
      </w:r>
      <w:r>
        <w:rPr>
          <w:rFonts w:ascii="Calibri" w:hAnsi="Calibri"/>
          <w:b w:val="0"/>
          <w:i/>
          <w:color w:val="222222"/>
          <w:sz w:val="22"/>
        </w:rPr>
        <w:t>qual mecanismo a córnea necessita</w:t>
      </w:r>
      <w:r>
        <w:rPr>
          <w:rFonts w:ascii="Calibri" w:hAnsi="Calibri"/>
          <w:b w:val="0"/>
          <w:i w:val="0"/>
          <w:color w:val="222222"/>
          <w:sz w:val="22"/>
        </w:rPr>
        <w:t>, e não em correlação empírica.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Referências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Barraquer JI. Modification of refraction by means of intracorneal inclusions. </w:t>
      </w:r>
      <w:r>
        <w:rPr>
          <w:rFonts w:ascii="Calibri" w:hAnsi="Calibri"/>
          <w:b w:val="0"/>
          <w:i/>
          <w:color w:val="222222"/>
          <w:sz w:val="22"/>
        </w:rPr>
        <w:t>Int Ophthalmol Clin</w:t>
      </w:r>
      <w:r>
        <w:rPr>
          <w:rFonts w:ascii="Calibri" w:hAnsi="Calibri"/>
          <w:b w:val="0"/>
          <w:i w:val="0"/>
          <w:color w:val="222222"/>
          <w:sz w:val="22"/>
        </w:rPr>
        <w:t>. 1966;6(1):53–78.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Burris TE, Ayer CT, Evensen DA, et al. Effects of intrastromal corneal ring size and thickness on corneal flattening in human eyes. </w:t>
      </w:r>
      <w:r>
        <w:rPr>
          <w:rFonts w:ascii="Calibri" w:hAnsi="Calibri"/>
          <w:b w:val="0"/>
          <w:i/>
          <w:color w:val="222222"/>
          <w:sz w:val="22"/>
        </w:rPr>
        <w:t>Refract Corneal Surg</w:t>
      </w:r>
      <w:r>
        <w:rPr>
          <w:rFonts w:ascii="Calibri" w:hAnsi="Calibri"/>
          <w:b w:val="0"/>
          <w:i w:val="0"/>
          <w:color w:val="222222"/>
          <w:sz w:val="22"/>
        </w:rPr>
        <w:t>. 1991;7(1):46–50.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Colin J, Cochener B, Savary G, et al. Correcting keratoconus with intracorneal rings.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2000;26(8):1117–1122.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Dupps WJ Jr, Roberts CJ. Biomechanics of corneal ectasia and biomechanical treatments.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2014;40(6):991–998.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García de Oteyza G, Álvarez de Toledo J, Barraquer RI, et al. Finite element analysis of the biomechanical effects of progressive thickness intracorneal ring segments.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2021;47(2):258–265.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Holzapfel GA, Gasser TC, Ogden RW. A new constitutive framework for arterial wall mechanics and a comparative study of material models. </w:t>
      </w:r>
      <w:r>
        <w:rPr>
          <w:rFonts w:ascii="Calibri" w:hAnsi="Calibri"/>
          <w:b w:val="0"/>
          <w:i/>
          <w:color w:val="222222"/>
          <w:sz w:val="22"/>
        </w:rPr>
        <w:t>J Elasticity</w:t>
      </w:r>
      <w:r>
        <w:rPr>
          <w:rFonts w:ascii="Calibri" w:hAnsi="Calibri"/>
          <w:b w:val="0"/>
          <w:i w:val="0"/>
          <w:color w:val="222222"/>
          <w:sz w:val="22"/>
        </w:rPr>
        <w:t>. 2000;61:1–48.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Kling S, Marcos S. Finite-element modeling of intracorneal ring segment implantation into a hyperelastic cornea.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2013;54(1):881–889.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Meek KM, Knupp C. Corneal structure and transparency. </w:t>
      </w:r>
      <w:r>
        <w:rPr>
          <w:rFonts w:ascii="Calibri" w:hAnsi="Calibri"/>
          <w:b w:val="0"/>
          <w:i/>
          <w:color w:val="222222"/>
          <w:sz w:val="22"/>
        </w:rPr>
        <w:t>Prog Retin Eye Res</w:t>
      </w:r>
      <w:r>
        <w:rPr>
          <w:rFonts w:ascii="Calibri" w:hAnsi="Calibri"/>
          <w:b w:val="0"/>
          <w:i w:val="0"/>
          <w:color w:val="222222"/>
          <w:sz w:val="22"/>
        </w:rPr>
        <w:t>. 2015;49:1–16.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Nguyen BA, Roberts CJ, Reilly MA. Biomechanical impact of the sclera on corneal deformation response to an air-puff. </w:t>
      </w:r>
      <w:r>
        <w:rPr>
          <w:rFonts w:ascii="Calibri" w:hAnsi="Calibri"/>
          <w:b w:val="0"/>
          <w:i/>
          <w:color w:val="222222"/>
          <w:sz w:val="22"/>
        </w:rPr>
        <w:t>Front Bioeng Biotechnol</w:t>
      </w:r>
      <w:r>
        <w:rPr>
          <w:rFonts w:ascii="Calibri" w:hAnsi="Calibri"/>
          <w:b w:val="0"/>
          <w:i w:val="0"/>
          <w:color w:val="222222"/>
          <w:sz w:val="22"/>
        </w:rPr>
        <w:t>. 2018;6:210.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Piñero DP, Alcón N. Corneal biomechanics: a review. </w:t>
      </w:r>
      <w:r>
        <w:rPr>
          <w:rFonts w:ascii="Calibri" w:hAnsi="Calibri"/>
          <w:b w:val="0"/>
          <w:i/>
          <w:color w:val="222222"/>
          <w:sz w:val="22"/>
        </w:rPr>
        <w:t>Clin Exp Optom</w:t>
      </w:r>
      <w:r>
        <w:rPr>
          <w:rFonts w:ascii="Calibri" w:hAnsi="Calibri"/>
          <w:b w:val="0"/>
          <w:i w:val="0"/>
          <w:color w:val="222222"/>
          <w:sz w:val="22"/>
        </w:rPr>
        <w:t>. 2015;98(2):107–116.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Torquetti L, Berbel RF, Ferrara P. Long-term follow-up of intrastromal corneal ring segments in keratoconus.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2009;35(10):1768–1773.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Vega-Estrada A, Alió JL, Plaza-Puche AB. Keratoconus progression after intrastromal corneal ring segment implantation. </w:t>
      </w:r>
      <w:r>
        <w:rPr>
          <w:rFonts w:ascii="Calibri" w:hAnsi="Calibri"/>
          <w:b w:val="0"/>
          <w:i/>
          <w:color w:val="222222"/>
          <w:sz w:val="22"/>
        </w:rPr>
        <w:t>Cornea</w:t>
      </w:r>
      <w:r>
        <w:rPr>
          <w:rFonts w:ascii="Calibri" w:hAnsi="Calibri"/>
          <w:b w:val="0"/>
          <w:i w:val="0"/>
          <w:color w:val="222222"/>
          <w:sz w:val="22"/>
        </w:rPr>
        <w:t>. 2013;32(5):611–616.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