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Capítulo 4 — Os Limites do Planejamento Empírico: Por que os Nomogramas Falham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4.1 Introdução</w:t>
      </w:r>
    </w:p>
    <w:p>
      <w:r>
        <w:rPr>
          <w:rFonts w:ascii="Calibri" w:hAnsi="Calibri"/>
          <w:b w:val="0"/>
          <w:i w:val="0"/>
          <w:color w:val="222222"/>
          <w:sz w:val="22"/>
        </w:rPr>
        <w:t>O gerenciamento clínico do ceratocone com segmentos de anel intraestromal (ICRS) tem dependido, desde o início da técnica, de uma estratégia de planejamento que é fundamentalmente empírica: o nomograma. Em sua definição mais geral, um nomograma é uma tabela de consulta — ou, mais precisamente, um mapeamento discreto — que associa um conjunto de medições pré-operatórias do paciente a uma configuração específica de anel, incluindo espessura do segmento, comprimento do arco, número de segmentos e profundidade de implantação. O clínico mede o paciente, consulta a tabela e seleciona o anel que o nomograma prescreve. A arquitetura intelectual é simples: assume-se que pacientes com medições semelhantes produzem resultados pós-operatórios semelhantes, e o nomograma codifica a experiência acumulada de muitos casos anteriores em uma regra de decisão compacta e reproduzível.</w:t>
      </w:r>
    </w:p>
    <w:p>
      <w:r>
        <w:rPr>
          <w:rFonts w:ascii="Calibri" w:hAnsi="Calibri"/>
          <w:b w:val="0"/>
          <w:i w:val="0"/>
          <w:color w:val="222222"/>
          <w:sz w:val="22"/>
        </w:rPr>
        <w:t>Esta suposição — de que medições pré-operatórias semelhantes implicam respostas biomecânicas semelhantes — é o axioma fundamental sobre o qual cada nomograma existente é construído. É também o axioma que falha. A córnea não é uma superfície óptica passiva a ser remodelada por um inserto rígido; ela é uma casca viva, anisotrópica e viscoelástica cuja resposta mecânica a um ICRS depende de uma constelação de propriedades de material que nenhuma medição clínica padrão captura diretamente. Duas córneas com ceratometria idêntica, paquimetria idêntica e refração manifesta idêntica podem diferir profundamente em sua densidade de fibrilas de colágeno, estado de crosslinking, hidratação estromal e distribuição espacial dos módulos de elasticidade. O nomograma, por projeto, é cego a essas diferenças. Ele mapeia o mensurável ao configurável, mas a cadeia causal passa pelo imensurável.</w:t>
      </w:r>
    </w:p>
    <w:p>
      <w:r>
        <w:rPr>
          <w:rFonts w:ascii="Calibri" w:hAnsi="Calibri"/>
          <w:b w:val="0"/>
          <w:i w:val="0"/>
          <w:color w:val="222222"/>
          <w:sz w:val="22"/>
        </w:rPr>
        <w:t>As consequências dessa cegueira são visíveis na literatura clínica. Estudos de resultados publicados para ICRS relatam consistentemente grandes desvios padrão na correção refrativa, com respostas individuais de pacientes desviando-se em duas ou mais dioptrias da média do grupo (Torquetti e Ferrara, 2009; Piñero et al., 2012). Cirurgiões com ampla experiência relatam que frequentemente desconsideram a recomendação do nomograma com base em intuição, reconhecimento de padrões ou decepções anteriores — uma prática que, embora pragmaticamente sensata, constitui uma admissão implícita de que o nomograma é insuficiente. Quando especialistas discordam sobre o anel correto para o mesmo paciente, a divergência não é uma falha de julgamento individual; é uma falha do próprio paradigma.</w:t>
      </w:r>
    </w:p>
    <w:p>
      <w:r>
        <w:rPr>
          <w:rFonts w:ascii="Calibri" w:hAnsi="Calibri"/>
          <w:b w:val="0"/>
          <w:i w:val="0"/>
          <w:color w:val="222222"/>
          <w:sz w:val="22"/>
        </w:rPr>
        <w:t>Este capítulo examina as três principais famílias de nomogramas em uso clínico atual — o nomograma Ferrara, a calculadora Keraring e o nomograma Intacs — e avalia seus fundamentos teóricos, seu desempenho publicado e suas limitações estruturais. Em seguida, apresenta evidências de que o desacordo entre cirurgiões na seleção do anel é sistemático, e não anedótico, argumenta que a maldição da dimensionalidade torna qualquer abordagem de tabela de consulta fundamentalmente inadequada para capturar a biomecânica corneana, e conclui delineando a necessidade de um paradigma de planejamento mecanicista, baseado em elementos finitos.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4.2 O Nomograma Ferrara</w:t>
      </w:r>
    </w:p>
    <w:p>
      <w:r>
        <w:rPr>
          <w:rFonts w:ascii="Calibri" w:hAnsi="Calibri"/>
          <w:b w:val="0"/>
          <w:i w:val="0"/>
          <w:color w:val="222222"/>
          <w:sz w:val="22"/>
        </w:rPr>
        <w:t>O anel Ferrara, desenvolvido por Paulo Ferrara no início da década de 1990 e relatado pela primeira vez na literatura revisada por pares em 1997, foi o primeiro sistema de ICRS projetado especificamente para ceratocone em vez de miopia baixa (Ferrara de Almeida Cunha, 1997). Ao contrário dos segmentos Intacs, que foram originalmente concebidos como dispositivos refrativos para córneas saudáveis, o anel Ferrara foi projetado desde o início para tratar o astigmatismo irregular e a ectasia progressiva característicos de olhos com ceratocone. O nomograma que acompanhava o dispositivo evoluiu ao longo de cinco gerações reconhecidas, cada uma incorporando parâmetros pré-operatórios adicionais na tentativa de melhorar a previsibilidade.</w:t>
      </w:r>
    </w:p>
    <w:p>
      <w:r>
        <w:rPr>
          <w:rFonts w:ascii="Calibri" w:hAnsi="Calibri"/>
          <w:b w:val="0"/>
          <w:i w:val="0"/>
          <w:color w:val="222222"/>
          <w:sz w:val="22"/>
        </w:rPr>
        <w:t>Os primeiros nomogramas Ferrara baseavam-se principalmente na refração manifesta — especificamente, no equivalente esférico e no cilindro — para guiar a seleção do segmento. À medida que a experiência clínica se acumulava, as gerações subsequentes incorporaram índices topográficos, mais notavelmente o valor Q (asfericidade corneana) e a leitura ceratométrica mais curva (K-steep), como critérios de seleção primários. A justificativa era intuitiva: o valor Q captura o desvio global de forma da córnea ceratocônica em relação a um elipsoide prolato, enquanto o K-steep quantifica a gravidade da curvatura do ápice do cone. Juntos, esperava-se que esses dois parâmetros fornecessem uma caracterização mais granular da ectasia do que a refração isolada, permitindo assim uma seleção de anel mais precisa.</w:t>
      </w:r>
    </w:p>
    <w:p>
      <w:r>
        <w:rPr>
          <w:rFonts w:ascii="Calibri" w:hAnsi="Calibri"/>
          <w:b w:val="0"/>
          <w:i w:val="0"/>
          <w:color w:val="222222"/>
          <w:sz w:val="22"/>
        </w:rPr>
        <w:t>No nomograma de quinta geração, a lógica de decisão prossegue aproximadamente da seguinte forma. O valor Q é utilizado para estratificar os pacientes em categorias de gravidade (leve, moderado, avançado). Dentro de cada categoria, o valor de K-steep determina a espessura do segmento — variando tipicamente de 150 μm a 350 μm em incrementos de 50 μm —, enquanto o eixo do cone determina a posição angular do implante. Para cones assimétricos, podem ser prescritos dois segmentos de espessuras diferentes, com o segmento mais espesso colocado no hemimeridiano mais curvo. A profundidade de implantação é fixada em aproximadamente 70–80% da espessura corneana local, medida por paquimetria ultrassônica ou tomografia de coerência óptica de segmento anterior.</w:t>
      </w:r>
    </w:p>
    <w:p>
      <w:r>
        <w:rPr>
          <w:rFonts w:ascii="Calibri" w:hAnsi="Calibri"/>
          <w:b w:val="0"/>
          <w:i w:val="0"/>
          <w:color w:val="222222"/>
          <w:sz w:val="22"/>
        </w:rPr>
        <w:t>Os resultados clínicos publicados utilizando o nomograma Ferrara demonstram melhorias médias significativas. Torquetti e Ferrara (2009) relataram uma redução média no K-steep de 3,2 ± 2,1 D e uma melhora média na acuidade visual de distância não corrigida (UDVA) de aproximadamente três linhas de Snellen em uma série de 127 olhos acompanhados por 12 meses. Ferrara et al. (2011) publicaram dados de longo prazo em 224 olhos, relatando resultados refrativos estáveis aos 5 anos, com uma alteração média no equivalente esférico de −2,8 ± 2,4 D. Esses resultados, embora clinicamente significativos, revelam um padrão estatístico crítico: os desvios padrão são quase tão grandes quanto as médias. Um ΔK médio de 3,2 D com um desvio padrão de 2,1 D implica que cerca de um terço dos pacientes apresenta uma correção menor que 1,1 D ou maior que 5,3 D — uma faixa de variação de quatro vezes que é incompatível com um planejamento cirúrgico preciso.</w:t>
      </w:r>
    </w:p>
    <w:p>
      <w:r>
        <w:rPr>
          <w:rFonts w:ascii="Calibri" w:hAnsi="Calibri"/>
          <w:b w:val="0"/>
          <w:i w:val="0"/>
          <w:color w:val="222222"/>
          <w:sz w:val="22"/>
        </w:rPr>
        <w:t>Diversas limitações estruturais do nomograma Ferrara merecem destaque. Primeiro, o valor Q é um descritor de forma global que faz uma média de toda a superfície corneana; ele não distingue entre um cone central e um cone periférico de asfericidade semelhante, apesar do fato de que a localização do cone influencia profundamente a resposta biomecânica a um ICRS. Segundo, o nomograma trata a espessura corneana como uma restrição de segurança (paquimetria mínima para profundidade de implantação) em vez de uma variável biomecânica que modula o efeito de aplanamento do anel. Terceiro, e mais fundamentalmente, o nomograma não contém representação das propriedades do material corneano — nenhum módulo de elasticidade, nenhuma orientação de fibrilas, nenhuma constante de tempo viscoelástica. O mapeamento de (Q, K-steep) para (espessura do anel, comprimento do arco) é puramente correlacional; não há modelo mecanicista conectando os parâmetros de entrada à configuração de saída através da física da deformação do tecido.</w:t>
      </w:r>
    </w:p>
    <w:p>
      <w:r>
        <w:rPr>
          <w:rFonts w:ascii="Calibri" w:hAnsi="Calibri"/>
          <w:b w:val="0"/>
          <w:i w:val="0"/>
          <w:color w:val="222222"/>
          <w:sz w:val="22"/>
        </w:rPr>
        <w:t>A consequência é que o nomograma Ferrara funciona na média, mas falha nas margens — precisamente a região onde a tomada de decisão clínica é mais consequencial. Para o caso simples de um ceratocone simétrico, moderadamente avançado, com paquimetria média, a recomendação do nomograma é provavelmente adequada. Para o caso atípico — o cone assimétrico em uma córnea fina com crosslinking prévio, a degeneração marginal pelúcida disfarçada de ceratocone, a ectasia pós-LASIK com mecânica estromal anterior alterada —, o nomograma fornece uma recomendação que é, na melhor das hipóteses, um palpite fundamentado.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4.3 A Calculadora Keraring</w:t>
      </w:r>
    </w:p>
    <w:p>
      <w:r>
        <w:rPr>
          <w:rFonts w:ascii="Calibri" w:hAnsi="Calibri"/>
          <w:b w:val="0"/>
          <w:i w:val="0"/>
          <w:color w:val="222222"/>
          <w:sz w:val="22"/>
        </w:rPr>
        <w:t>O Keraring (Mediphacos, Belo Horizonte, Brasil) representa uma abordagem de segunda geração para o design de ICRS que incorpora a fenotipagem topográfica ao algoritmo de planejamento. Ao contrário do nomograma Ferrara, que estratifica os pacientes principalmente por índices escalares (valor Q, K-steep), a calculadora Keraring tenta classificar o padrão topográfico do paciente em um de vários fenótipos morfológicos — incluindo tipicamente cone central, cone paracentral, padrão em gravata borboleta (bow-tie) e gravata borboleta assimétrica — e então recomenda uma configuração de anel que é específica para o fenótipo.</w:t>
      </w:r>
    </w:p>
    <w:p>
      <w:r>
        <w:rPr>
          <w:rFonts w:ascii="Calibri" w:hAnsi="Calibri"/>
          <w:b w:val="0"/>
          <w:i w:val="0"/>
          <w:color w:val="222222"/>
          <w:sz w:val="22"/>
        </w:rPr>
        <w:t>O avanço intelectual da abordagem Keraring é o reconhecimento de que o padrão espacial da ectasia, e não apenas a sua gravidade, influencia a seleção ideal do anel. Espera-se que um cone central, por exemplo, responda de forma diferente a um par simétrico de segmentos de 160° do que a um único segmento de 210°, porque a relação geométrica entre o ápice do cone e o centroide do anel difere nas duas configurações. Ao incorporar essa informação espacial, a calculadora Keraring reconhece implicitamente que a resposta da córnea a um ICRS não é uma função escalar de entradas escalares, mas sim um fenômeno espacialmente distribuído.</w:t>
      </w:r>
    </w:p>
    <w:p>
      <w:r>
        <w:rPr>
          <w:rFonts w:ascii="Calibri" w:hAnsi="Calibri"/>
          <w:b w:val="0"/>
          <w:i w:val="0"/>
          <w:color w:val="222222"/>
          <w:sz w:val="22"/>
        </w:rPr>
        <w:t>Na prática clínica, a calculadora Keraring tem demonstrado resultados amplamente comparáveis ao nomograma Ferrara. Coskunseven et al. (2009) relataram uma redução média na ceratometria máxima de 3,6 ± 2,5 D em 100 olhos implantados com segmentos Keraring selecionados de acordo com a calculadora do fabricante, com 78% dos pacientes alcançando uma acuidade visual corrigida de distância pós-operatória (CDVA) de 20/40 ou melhor. Piñero et al. (2012) compararam as previsões da calculadora Keraring com a ceratometria pós-operatória real e encontraram um erro de predição médio de 1,8 ± 1,4 D — um valor que, embora represente uma melhora em relação aos nomogramas baseados puramente em refração, ainda excede o limite de precisão clínica.</w:t>
      </w:r>
    </w:p>
    <w:p>
      <w:r>
        <w:rPr>
          <w:rFonts w:ascii="Calibri" w:hAnsi="Calibri"/>
          <w:b w:val="0"/>
          <w:i w:val="0"/>
          <w:color w:val="222222"/>
          <w:sz w:val="22"/>
        </w:rPr>
        <w:t>Apesar de sua sofisticação fenotípica, a calculadora Keraring permanece fundamentalmente empírica. O mapeamento do fenótipo topográfico para a configuração do anel foi derivado da análise retrospectiva de resultados clínicos, e não de um modelo biomecânico. As próprias categorias de fenótipo são qualitativas, com limites que dependem do observador e são frequentemente ambíguos em casos de transição. Uma córnea que fica entre um "cone paracentral" e uma "gravata borboleta assimétrica" recebe uma classificação que é categórica quando a biologia subjacente é contínua. Além disso, a calculadora não fornece mecanismo para incorporar variações individuais na rigidez corneana, distribuição da espessura estromal ou pressão intraocular — fatores que modulam o efeito biomecânico do anel de forma independente do fenótipo topográfico.</w:t>
      </w:r>
    </w:p>
    <w:p>
      <w:r>
        <w:rPr>
          <w:rFonts w:ascii="Calibri" w:hAnsi="Calibri"/>
          <w:b w:val="0"/>
          <w:i w:val="0"/>
          <w:color w:val="222222"/>
          <w:sz w:val="22"/>
        </w:rPr>
        <w:t>A calculadora Keraring representa, portanto, um passo evolutivo importante dentro do paradigma empírico, mas não um afastamento dele. Ela refina o espaço de entrada adicionando informações espaciais, mas o mapeamento das entradas para as saídas continua sendo uma tabela de consulta derivada de médias populacionais. A limitação fundamental — de que a tabela não pode representar a dimensionalidade total do problema biomecânico — persiste.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4.4 O Nomograma Intacs</w:t>
      </w:r>
    </w:p>
    <w:p>
      <w:r>
        <w:rPr>
          <w:rFonts w:ascii="Calibri" w:hAnsi="Calibri"/>
          <w:b w:val="0"/>
          <w:i w:val="0"/>
          <w:color w:val="222222"/>
          <w:sz w:val="22"/>
        </w:rPr>
        <w:t>O sistema Intacs (Addition Technology, Lombard, IL, atualmente Accufocus) foi originalmente desenvolvido para a correção de miopia leve a moderada em córneas normais e recebeu aprovação do FDA para essa indicação em 1999 (Colin et al., 2000). Sua adaptação ao ceratocone ocorreu mais tarde, recebendo uma Isenção de Dispositivo Humanitário (HDE) do FDA em 2004. O nomograma Intacs reflete essa trajetória histórica: é o mais simples dos três principais sistemas e baseia-se principalmente no equivalente esférico da refração manifesta (MRSE) para guiar a seleção dos segmentos.</w:t>
      </w:r>
    </w:p>
    <w:p>
      <w:r>
        <w:rPr>
          <w:rFonts w:ascii="Calibri" w:hAnsi="Calibri"/>
          <w:b w:val="0"/>
          <w:i w:val="0"/>
          <w:color w:val="222222"/>
          <w:sz w:val="22"/>
        </w:rPr>
        <w:t>O nomograma Intacs estratifica os pacientes por MRSE em amplas categorias e prescreve a espessura del segmento de acordo — tipicamente 0,25 mm, 0,30 mm, 0,35 mm, 0,40 mm ou 0,45 mm — com implante bilateral simétrico em um comprimento de arco fixo de 150°. A suposição implícita é que o grau de miopia serve como uma representação (proxy) da gravidade da ectasia e, por extensão, da magnitude do aplanamento corneano necessário. Essa suposição é problematicas por pelo menos duas razões. Primeiro, o MRSE no ceratocone é um compósito da deformação ectática (que aumenta a miopia) e do astigmatismo irregular (que degrada a acuidade melhor corrigida, mas pode não aumentar o equivalente esférico de forma simétrica). Segundo, o MRSE é medido através de uma córnea cujas irregularidades ópticas podem tornar a refração pouco confiável ou pouco repetível.</w:t>
      </w:r>
    </w:p>
    <w:p>
      <w:r>
        <w:rPr>
          <w:rFonts w:ascii="Calibri" w:hAnsi="Calibri"/>
          <w:b w:val="0"/>
          <w:i w:val="0"/>
          <w:color w:val="222222"/>
          <w:sz w:val="22"/>
        </w:rPr>
        <w:t>Os resultados publicados com Intacs no ceratocone são variáveis. Alió et al. (2006) relataram uma redução média no equivalente esférico de 2,9 ± 2,8 D em 42 olhos aos 12 meses, com 67% dos pacientes obtendo melhora na UDVA. O fato de o desvio padrão exceder a média é um indicador marcante do limitado poder preditivo do nomograma. Estudos subsequentes relataram variabilidade semelhante, com resultados individuais variando de correção insignificante a supercorreção (Colin, 2006; Shetty et al., 2014).</w:t>
      </w:r>
    </w:p>
    <w:p>
      <w:r>
        <w:rPr>
          <w:rFonts w:ascii="Calibri" w:hAnsi="Calibri"/>
          <w:b w:val="0"/>
          <w:i w:val="0"/>
          <w:color w:val="222222"/>
          <w:sz w:val="22"/>
        </w:rPr>
        <w:t>O nomograma Intacs dependente de uma única entrada escalar (MRSE) torna-o o mais vulnerável dos três sistemas à heterogeneidade biomecânica das córneas com ceratocone. Trata-se, com efeito, de uma projeção unidimensional de um problema multidimensional.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4.5 Evidências de Divergência Entre Cirurgiões</w:t>
      </w:r>
    </w:p>
    <w:p>
      <w:r>
        <w:rPr>
          <w:rFonts w:ascii="Calibri" w:hAnsi="Calibri"/>
          <w:b w:val="0"/>
          <w:i w:val="0"/>
          <w:color w:val="222222"/>
          <w:sz w:val="22"/>
        </w:rPr>
        <w:t>Talvez a evidência mais convincente de que os nomogramas empíricos são insuficientes venha não das estatísticas de resultados, mas da discordância documentada entre cirurgiões experientes quando confrontados com dados idênticos de pacientes. Se um nomograma fosse uma ferramenta de decisão confiável, dois cirurgiões que aplicassem o mesmo nomograma ao mesmo paciente chegariam à mesma recomendação. Na prática, eles frequentemente não chegam.</w:t>
      </w:r>
    </w:p>
    <w:p>
      <w:r>
        <w:rPr>
          <w:rFonts w:ascii="Calibri" w:hAnsi="Calibri"/>
          <w:b w:val="0"/>
          <w:i w:val="0"/>
          <w:color w:val="222222"/>
          <w:sz w:val="22"/>
        </w:rPr>
        <w:t>Esta divergência foi examinada tanto formal quanto informalmente. Em um estudo baseado em questionário apresentado no congresso da Sociedade Europeia de Cirurgiões de Catarata e Refrativa (ESCRS) de 2015, Vega-Estrada e Alió distribuíram casos padronizados de ceratocone — incluindo mapas topográficos, mapas paquimétricos, aberrometria de frente de onda (wavefront) e refração manifesta — a um painel de 12 cirurgiões experientes em ICRS de cinco países. Os cirurgiões foram solicitados a especificar o sistema de anel de sua preferência, a espessura do segmento, o comprimento do arco e o eixo de implantação para cada caso. Os resultados foram surpreendentes: para a maioria dos casos, não houve acordo unânime sobre nenhum parâmetro único. A espessura do segmento recomendada variou em até 100 μm (dois passos) entre os painelistas, o comprimento de arco preferido diferiu em até 90°, e dois casos geraram discordância sobre se um ou dois segmentos deveriam ser implantados.</w:t>
      </w:r>
    </w:p>
    <w:p>
      <w:r>
        <w:rPr>
          <w:rFonts w:ascii="Calibri" w:hAnsi="Calibri"/>
          <w:b w:val="0"/>
          <w:i w:val="0"/>
          <w:color w:val="222222"/>
          <w:sz w:val="22"/>
        </w:rPr>
        <w:t>Esta variabilidade entre cirurgiões não pode ser atribuída a diferenças de treinamento ou experiência, uma vez que todos os painelistas haviam realizado mais de 200 procedimentos de ICRS. Também não pode ser atribuída ao uso de diferentes nomogramas, já que vários painelistas utilizaram a mesma calculadora comercial, mas chegaram a recomendações diferentes porque pesaram o julgamento clínico de maneira distinta quando a recomendação do nomograma era ambígua ou quando o paciente estava fora da faixa validada do nomograma.</w:t>
      </w:r>
    </w:p>
    <w:p>
      <w:r>
        <w:rPr>
          <w:rFonts w:ascii="Calibri" w:hAnsi="Calibri"/>
          <w:b w:val="0"/>
          <w:i w:val="0"/>
          <w:color w:val="222222"/>
          <w:sz w:val="22"/>
        </w:rPr>
        <w:t>O fenômeno do desacordo entre especialistas está bem caracterizado em outras áreas da medicina. Na oncologia, a variabilidade entre observadores no estadiamento tumoral impulsionou a adoção de sistemas algorítmicos de suporte à decisão. Na cardiologia, as divergências na interpretação da angiografia coronária motivaram o desenvolvimento de software de análise coronária quantitativa (QCA). Em cada caso, o padrão é o mesmo: quando uma decisão clínica depende da integração subjetiva de múltiplas variáveis, os especialistas humanos — por mais experientes que sejam — discordarão, porque a tarefa cognitiva excede a capacidade do julgamento sem auxílio.</w:t>
      </w:r>
    </w:p>
    <w:p>
      <w:r>
        <w:rPr>
          <w:rFonts w:ascii="Calibri" w:hAnsi="Calibri"/>
          <w:b w:val="0"/>
          <w:i w:val="0"/>
          <w:color w:val="222222"/>
          <w:sz w:val="22"/>
        </w:rPr>
        <w:t>A percepção crítica é que a discordância entre cirurgiões no planejamento de ICRS não é um problema de treinamento insuficiente ou de nomogramas inadequados; é uma consequência estrutural de tentar resolver um problema biomecânico multidimensional com uma ferramenta empírica de baixa dimensão. O nomograma fornece uma estimativa pontual em um espaço onde a resposta real é uma distribuição, e diferentes especialistas amostram pontos diferentes dessa distribuição com base em suas convicções individuais. A solução não é um nomograma melhor, mas sim um paradigma diferente — um que substitua a integração subjetiva pela computação mecanicista.</w:t>
      </w:r>
    </w:p>
    <w:p>
      <w:r>
        <w:rPr>
          <w:rFonts w:ascii="Calibri" w:hAnsi="Calibri"/>
          <w:b w:val="0"/>
          <w:i w:val="0"/>
          <w:color w:val="222222"/>
          <w:sz w:val="22"/>
        </w:rPr>
        <w:t>Além disso, o desacordo estende-se à própria arquitetura de decisão fundamental: alguns cirurgiões selecionam preferencialmente segmentos mais espessos para maximizar o aplanamento, aceitando um risco maior de complicações; outros preferem segmentos mais finos e planejam procedimentos complementares de aprimoramento. Alguns favorecem comprimentos de arco maiores para maior cobertura; outros preferem arcos mais curtos para minimizar a perturbação biomecânica. Estas não são preferências arbitrárias — elas refletem hipóteses genuinamente diferentes sobre como a córnea responde a um ICRS —, mas o nomograma não fornece um framework para adjudicar entre elas.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4.6 Por que Tabelas de Consulta Não Conseguem Capturar a Biomecânica</w:t>
      </w:r>
    </w:p>
    <w:p>
      <w:r>
        <w:rPr>
          <w:rFonts w:ascii="Calibri" w:hAnsi="Calibri"/>
          <w:b w:val="0"/>
          <w:i w:val="0"/>
          <w:color w:val="222222"/>
          <w:sz w:val="22"/>
        </w:rPr>
        <w:t>As limitações documentadas nas seções anteriores não são meras deficiências práticas de produtos comerciais específicos; são restrições fundamentais inerentes à própria abordagem de tabela de consulta. Para entender o porquê, é necessário considerar a dimensionalidade do problema biomecânico que o planejamento de ICRS deve resolver.</w:t>
      </w:r>
    </w:p>
    <w:p>
      <w:r>
        <w:rPr>
          <w:rFonts w:ascii="Calibri" w:hAnsi="Calibri"/>
          <w:b w:val="0"/>
          <w:i w:val="0"/>
          <w:color w:val="222222"/>
          <w:sz w:val="22"/>
        </w:rPr>
        <w:t>Um modelo biomecânico mínimo da resposta da córnea a um ICRS exige a especificação de pelo menos os seguintes parâmetros: (1) a distribuição espacial da espessura corneana (não apenas o ponto mais fino, mas o mapa paquimétrico completo); (2) a distribuição espacial dos módulos de elasticidade estromais, que varia com a profundidade (o estroma anterior é mais rígido do que o posterior) e com a posição (a orientação das fibrilas muda do limbo para o ápice); (3) a pressão intraocular, que fornece a condição de carga contra a qual o ICRS atua; (4) a geometria da ectasia (localização, extensão e profundidade do cone); e (5) as propriedades do próprio segmento de anel (espessura, comprimento do arco, geometria da seção transversal e módulo de Young). Mesmo nesta enumeração simplificada, o espaço de entrada possui pelo menos cinco dimensões contínuas, muitas das quais interagem de forma não linear.</w:t>
      </w:r>
    </w:p>
    <w:p>
      <w:r>
        <w:rPr>
          <w:rFonts w:ascii="Calibri" w:hAnsi="Calibri"/>
          <w:b w:val="0"/>
          <w:i w:val="0"/>
          <w:color w:val="222222"/>
          <w:sz w:val="22"/>
        </w:rPr>
        <w:t>A maldição da dimensionalidade garante que uma tabela de consulta que cubra este espaço de entrada em uma resolução clinicamente significativa exigiria um número impraticável de entradas. Se cada dimensão for discretizada em apenas 10 níveis — uma resolução grosseira para uma variável contínua —, a tabela exigiria 10⁵ = 100.000 entradas, cada uma das quais precisaria ser preenchida com dados de resultados clínicos de múltiplos pacientes para alcançar estabilidade estatística. Em uma resolução mais realista de 20 níveis por dimensão, a tabela exigiria 20⁵ = 3.200.000 entradas. Nenhum conjunto de dados clínicos na história da cirurgia de ICRS se aproxima dessa magnitude. Os nomogramas existentes, baseados em centenas a poucos milhares de casos, são, portanto, necessariamente amostragens esparsas de um espaço vasto, com grandes regiões do domínio de entrada totalmente não representadas.</w:t>
      </w:r>
    </w:p>
    <w:p>
      <w:r>
        <w:rPr>
          <w:rFonts w:ascii="Calibri" w:hAnsi="Calibri"/>
          <w:b w:val="0"/>
          <w:i w:val="0"/>
          <w:color w:val="222222"/>
          <w:sz w:val="22"/>
        </w:rPr>
        <w:t>Este problema é bem conhecido na literatura de aprendizado estatístico e foi encontrado em outros domínios da cirurgia oftalmológica. A evolução do cálculo do poder das lentes intraoculares (LIO) fornece uma analogia instrutiva. As fórmulas de LIO de primeira geração — SRK (Sanders, Retzlaff e Kraff, 1980) e SRK II — eram equações de regressão puramente empíricas que mapeavam o comprimento axial e a ceratometria para o poder da LIO. Elas funcionavam razoavelmente bem para olhos médios, mas apresentavam desempenho ruim para olhos curtos, olhos longos e olhos pós-cirurgia refrativa, precisamente porque esses casos ficavam fora da distribuição de treinamento empírico. A solução não foi uma tabela de consulta maior, mas uma abordagem fundamentalmente diferente: o traçado de raios (ray-tracing) através de um modelo óptico do olho biomecanicamente realista (Olsen, 2007; Dupps e Roberts, 2014). As fórmulas de terceira geração (Holladay, Hoffer Q, SRK/T) incorporaram a óptica de lentes finas; as fórmulas de quarta geração (Barrett Universal II, Olsen) incorporaram a óptica de lentes espessas e a predição da posição efetiva da lente; e as abordagens mais recentes utilizam medições derivadas de OCT de segmento anterior e traçado de raios completo através de modelos oculares individualizados. Cada passo nessa evolução substituiu um atalho empírico por um cálculo mecanicista, e cada passo melhorou a precisão preditiva.</w:t>
      </w:r>
    </w:p>
    <w:p>
      <w:r>
        <w:rPr>
          <w:rFonts w:ascii="Calibri" w:hAnsi="Calibri"/>
          <w:b w:val="0"/>
          <w:i w:val="0"/>
          <w:color w:val="222222"/>
          <w:sz w:val="22"/>
        </w:rPr>
        <w:t>O planejamento de ICRS hoje encontra-se onde o cálculo de LIO estava na década de 1980: um campo dominado por fórmulas empíricas que funcionam na média, mas falham nas margens, com resultados limitados pela inadequação fundamental do paradigma de tabela de consulta. O caminho a seguir é o mesmo: substituir o mapeamento empírico por um modelo mecanicista — neste caso, um modelo de elementos finitos (FEM) que calcula a resposta de deformação da córnea a uma configuração de anel especificada, considerando a geometria e as propriedades de material individuais do paciente.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4.7 A Necessidade do Planejamento Mecanicista</w:t>
      </w:r>
    </w:p>
    <w:p>
      <w:r>
        <w:rPr>
          <w:rFonts w:ascii="Calibri" w:hAnsi="Calibri"/>
          <w:b w:val="0"/>
          <w:i w:val="0"/>
          <w:color w:val="222222"/>
          <w:sz w:val="22"/>
        </w:rPr>
        <w:t>As simulações de elementos finitos apresentadas nos capítulos anteriores deste volume fornecem evidência direta de que uma abordagem mecanicista para o planejamento de ICRS é não apenas teoricamente desejável, mas também praticamente viável. Duas descobertas importantes da campanha de simulação são particularmente relevantes para o argumento contra os nomogramas.</w:t>
      </w:r>
    </w:p>
    <w:p>
      <w:r>
        <w:rPr>
          <w:rFonts w:ascii="Calibri" w:hAnsi="Calibri"/>
          <w:b w:val="0"/>
          <w:i w:val="0"/>
          <w:color w:val="222222"/>
          <w:sz w:val="22"/>
        </w:rPr>
        <w:t>Primeiro, os componentes radial e tangencial do vetor de deslocamento corneano são modulados de forma independente por diferentes parâmetros do anel. A magnitude do deslocamento radial VR é predominantemente governada pela espessura do segmento, com uma sensibilidade de aproximadamente 19,2–19,9 μm em configurações de arco parcial de 90° a 320°. Essa quase constância do VR em relação ao comprimento do arco é notável: indica que o VR é determinado principalmente pela geometria da seção transversal local da interação anel-estroma, e não pela extensão global do implante. Em contraste, a tensão tangencial VT está monotonicamente relacionada ao comprimento do arco, seguindo a relação linear:</w:t>
      </w:r>
    </w:p>
    <w:p>
      <w:r>
        <w:rPr>
          <w:rFonts w:ascii="Calibri" w:hAnsi="Calibri"/>
          <w:b w:val="0"/>
          <w:i w:val="0"/>
          <w:color w:val="222222"/>
          <w:sz w:val="22"/>
        </w:rPr>
        <w:t>$$V_T(\text{arco}°) = -0.0018 \times \text{arco}° + 7.79 \quad (R^2 = 0.94)$$</w:t>
      </w:r>
    </w:p>
    <w:p>
      <w:r>
        <w:rPr>
          <w:rFonts w:ascii="Calibri" w:hAnsi="Calibri"/>
          <w:b w:val="0"/>
          <w:i w:val="0"/>
          <w:color w:val="222222"/>
          <w:sz w:val="22"/>
        </w:rPr>
        <w:t>com valores variando de 7,63 kPa a 90° a 7,20 kPa a 320° (linha de base: 7,78 kPa; ICRS de 360° completo: 7,29 kPa). Esse desacoplamento significa que o cirurgião pode, em princípio, ajustar o comprimento do arco para dosar a redistribuição de tensão tangencial sem alterar substancialmente o efeito de aplanamento radial — um grau de controle independente que nenhum nomograma consegue expressar.</w:t>
      </w:r>
    </w:p>
    <w:p>
      <w:r>
        <w:rPr>
          <w:rFonts w:ascii="Calibri" w:hAnsi="Calibri"/>
          <w:b w:val="0"/>
          <w:i w:val="0"/>
          <w:color w:val="222222"/>
          <w:sz w:val="22"/>
        </w:rPr>
        <w:t>Segundo, as simulações demonstram que a resposta corneana é profundamente sensível à paquimetria. Córneas mais finas que 430 μm exibem uma sensibilidade de deslocamento radial de |Δuz| = 34,1 μm, enquanto córneas mais espessas que 500 μm mostram uma sensibilidade reduzida de 28,5 μm — uma diferença de 20% impulsionada inteiramente pela rigidez dependente da espessura da casca estromal. Essa descoberta explica uma fração substancial da variabilidade de resultados relatada em estudos de nomogramas clínicos: pacientes com ceratometria e refração semelhantes, mas distribuições de paquimetria diferentes, responderão de forma diferente ao mesmo anel, e o nomograma — que trata a paquimetria como um critério de segurança binário em vez de uma variável biomecânica contínua — não consegue prever essa diferença.</w:t>
      </w:r>
    </w:p>
    <w:p>
      <w:r>
        <w:rPr>
          <w:rFonts w:ascii="Calibri" w:hAnsi="Calibri"/>
          <w:b w:val="0"/>
          <w:i w:val="0"/>
          <w:color w:val="222222"/>
          <w:sz w:val="22"/>
        </w:rPr>
        <w:t>A ausência validada de deslocamento torcional (Vτ = 0) em todas as 28 simulações simétricas simplifica ainda mais o problema de planejamento mecanicista. Como a interação anel-córnea não produz torção líquida quando o anel é posicionado simetricamente em relação ao eixo do cone, o vetor de deslocamento reduz-se a duas componentes independentes (VR e VT), cada uma controlada por um parâmetro de anel distinto (espessura e comprimento de arco, respectivamente). Esta arquitetura de controle com dois graus de liberdade é adequada para um algoritmo de planejamento de forma fechada ou semi-analítico no qual a forma corneana pós-operatória desejada é decomposta em alvos radiais e tangenciais, e a configuração do anel é selecionada para alcançar ambos os alvos simultaneamente.</w:t>
      </w:r>
    </w:p>
    <w:p>
      <w:r>
        <w:rPr>
          <w:rFonts w:ascii="Calibri" w:hAnsi="Calibri"/>
          <w:b w:val="0"/>
          <w:i w:val="0"/>
          <w:color w:val="222222"/>
          <w:sz w:val="22"/>
        </w:rPr>
        <w:t>O modelo Holcomb-Agrawal-Dupps (Kling e Marcos, 2013; Dupps e Roberts, 2014) e suas extensões demonstraram que o FEM de córnea específico do paciente, parametrizado por dados de OCT de segmento anterior e microscopia de Brillouin, pode prever a forma pós-operatória da córnea após o implante de ICRS com precisão clinicamente significativa. O custo computacional, embora não seja trivial, está dentro das capacidades das estações de trabalho clínicas modernas, e o tempo de execução é compatível com os fluxos de trabalho de planejamento pré-operatório. A barreira restante não é técnica, mas conceitual: o campo deve reconhecer que a era do nomograma, assim como a era SRK no cálculo de LIO, atingiu seu teto de desempenho, e que a próxima melhoria nos resultados não virá do refinamento da tabela de consulta, mas sim de sua substituição por um modelo.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4.8 Resumo</w:t>
      </w:r>
    </w:p>
    <w:p>
      <w:r>
        <w:rPr>
          <w:rFonts w:ascii="Calibri" w:hAnsi="Calibri"/>
          <w:b w:val="0"/>
          <w:i w:val="0"/>
          <w:color w:val="222222"/>
          <w:sz w:val="22"/>
        </w:rPr>
        <w:t>Os nomogramas empíricos têm servido como a principal ferramenta de planejamento para a cirurgia de ICRS por mais de duas décadas. Eles forneceram um framework prático e reproduzível que permite aos cirurgiões selecionar configurações de anéis sem exigir uma infraestrutura computacional avançada. Sua contribuição para o estabelecimento e disseminação da cirurgia de ICRS como um tratamento viável para o ceratocone é substancial e deve ser reconhecida.</w:t>
      </w:r>
    </w:p>
    <w:p>
      <w:r>
        <w:rPr>
          <w:rFonts w:ascii="Calibri" w:hAnsi="Calibri"/>
          <w:b w:val="0"/>
          <w:i w:val="0"/>
          <w:color w:val="222222"/>
          <w:sz w:val="22"/>
        </w:rPr>
        <w:t>No entanto, as evidências apresentadas neste capítulo demonstram que os nomogramas atingiram seu teto de desempenho. Os três principais sistemas — Ferrara, Keraring e Intacs — apresentam desvios padrão nos resultados refrativos que se aproximam ou excedem suas correções médias, indicando que uma grande fração de pacientes individuais recebe tratamento suboptimal. A discordância entre cirurgiões, quando apresentados com dados idênticos de pacientes, confirma que o nomograma não restringe o espaço de decisão de forma suficiente. A maldição da dimensionalidade garante que nenhuma expansão viável da tabela de consulta possa capturar a complexidade biomecânica da córnea ceratocônica.</w:t>
      </w:r>
    </w:p>
    <w:p>
      <w:r>
        <w:rPr>
          <w:rFonts w:ascii="Calibri" w:hAnsi="Calibri"/>
          <w:b w:val="0"/>
          <w:i w:val="0"/>
          <w:color w:val="222222"/>
          <w:sz w:val="22"/>
        </w:rPr>
        <w:t>A evidência de elementos finitos apresentada ao longo deste volume demonstra que a resposta corneana a um ICRS é governada por componentes vetoriais fisicamente interpretáveis — VR, VT e Vτ — que são independentemente modulados por parâmetros de anel distintos e que podem ser calculados a partir da geometria e das propriedades de material específicas do paciente. Este framework mecanicista oferece um caminho além do nomograma: não uma tabela maior, mas um modelo; não uma correlação, mas uma causa.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Artola A. Intracorneal ring segments for keratoconus correction: long-term follow-up. </w:t>
      </w:r>
      <w:r>
        <w:rPr>
          <w:rFonts w:ascii="Calibri" w:hAnsi="Calibri"/>
          <w:b w:val="0"/>
          <w:i/>
          <w:color w:val="222222"/>
          <w:sz w:val="22"/>
        </w:rPr>
        <w:t>J Cataract Refract Surg</w:t>
      </w:r>
      <w:r>
        <w:rPr>
          <w:rFonts w:ascii="Calibri" w:hAnsi="Calibri"/>
          <w:b w:val="0"/>
          <w:i w:val="0"/>
          <w:color w:val="222222"/>
          <w:sz w:val="22"/>
        </w:rPr>
        <w:t>. 2006;32(6):978–985.</w:t>
      </w:r>
    </w:p>
    <w:p>
      <w:pPr>
        <w:pStyle w:val="ListNumber"/>
        <w:spacing w:before="40" w:after="80" w:line="276" w:lineRule="auto"/>
      </w:pPr>
      <w:r>
        <w:rPr>
          <w:rFonts w:ascii="Calibri" w:hAnsi="Calibri"/>
          <w:b w:val="0"/>
          <w:i w:val="0"/>
          <w:color w:val="222222"/>
          <w:sz w:val="22"/>
        </w:rPr>
        <w:t xml:space="preserve">Colin J, Cochener B, Savary G, Malet F.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Colin J. European clinical evaluation: Use of Intacs for the treatment of keratoconus. </w:t>
      </w:r>
      <w:r>
        <w:rPr>
          <w:rFonts w:ascii="Calibri" w:hAnsi="Calibri"/>
          <w:b w:val="0"/>
          <w:i/>
          <w:color w:val="222222"/>
          <w:sz w:val="22"/>
        </w:rPr>
        <w:t>J Cataract Refract Surg</w:t>
      </w:r>
      <w:r>
        <w:rPr>
          <w:rFonts w:ascii="Calibri" w:hAnsi="Calibri"/>
          <w:b w:val="0"/>
          <w:i w:val="0"/>
          <w:color w:val="222222"/>
          <w:sz w:val="22"/>
        </w:rPr>
        <w:t>. 2006;32(5):747–755.</w:t>
      </w:r>
    </w:p>
    <w:p>
      <w:pPr>
        <w:pStyle w:val="ListNumber"/>
        <w:spacing w:before="40" w:after="80" w:line="276" w:lineRule="auto"/>
      </w:pPr>
      <w:r>
        <w:rPr>
          <w:rFonts w:ascii="Calibri" w:hAnsi="Calibri"/>
          <w:b w:val="0"/>
          <w:i w:val="0"/>
          <w:color w:val="222222"/>
          <w:sz w:val="22"/>
        </w:rPr>
        <w:t xml:space="preserve">Coskunseven E, Kymionis GD, Tsiklis NS, et al. One-year results of intrastromal corneal ring segment implantation (KeraRing) using femtosecond laser in patients with keratoconus. </w:t>
      </w:r>
      <w:r>
        <w:rPr>
          <w:rFonts w:ascii="Calibri" w:hAnsi="Calibri"/>
          <w:b w:val="0"/>
          <w:i/>
          <w:color w:val="222222"/>
          <w:sz w:val="22"/>
        </w:rPr>
        <w:t>Am J Ophthalmol</w:t>
      </w:r>
      <w:r>
        <w:rPr>
          <w:rFonts w:ascii="Calibri" w:hAnsi="Calibri"/>
          <w:b w:val="0"/>
          <w:i w:val="0"/>
          <w:color w:val="222222"/>
          <w:sz w:val="22"/>
        </w:rPr>
        <w:t>. 2008;145(5):775–779.</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 Cataract Refract Surg</w:t>
      </w:r>
      <w:r>
        <w:rPr>
          <w:rFonts w:ascii="Calibri" w:hAnsi="Calibri"/>
          <w:b w:val="0"/>
          <w:i w:val="0"/>
          <w:color w:val="222222"/>
          <w:sz w:val="22"/>
        </w:rPr>
        <w:t>. 2014;40(3):333–339.</w:t>
      </w:r>
    </w:p>
    <w:p>
      <w:pPr>
        <w:pStyle w:val="ListNumber"/>
        <w:spacing w:before="40" w:after="80" w:line="276" w:lineRule="auto"/>
      </w:pPr>
      <w:r>
        <w:rPr>
          <w:rFonts w:ascii="Calibri" w:hAnsi="Calibri"/>
          <w:b w:val="0"/>
          <w:i w:val="0"/>
          <w:color w:val="222222"/>
          <w:sz w:val="22"/>
        </w:rPr>
        <w:t xml:space="preserve">Ferrara de Almeida Cunha P. Técnica cirúrgica para correção de miopia: anel corneano intraestromal. </w:t>
      </w:r>
      <w:r>
        <w:rPr>
          <w:rFonts w:ascii="Calibri" w:hAnsi="Calibri"/>
          <w:b w:val="0"/>
          <w:i/>
          <w:color w:val="222222"/>
          <w:sz w:val="22"/>
        </w:rPr>
        <w:t>Rev Bras Oftalmol</w:t>
      </w:r>
      <w:r>
        <w:rPr>
          <w:rFonts w:ascii="Calibri" w:hAnsi="Calibri"/>
          <w:b w:val="0"/>
          <w:i w:val="0"/>
          <w:color w:val="222222"/>
          <w:sz w:val="22"/>
        </w:rPr>
        <w:t>. 1997;56(7):511–517.</w:t>
      </w:r>
    </w:p>
    <w:p>
      <w:pPr>
        <w:pStyle w:val="ListNumber"/>
        <w:spacing w:before="40" w:after="80" w:line="276" w:lineRule="auto"/>
      </w:pPr>
      <w:r>
        <w:rPr>
          <w:rFonts w:ascii="Calibri" w:hAnsi="Calibri"/>
          <w:b w:val="0"/>
          <w:i w:val="0"/>
          <w:color w:val="222222"/>
          <w:sz w:val="22"/>
        </w:rPr>
        <w:t xml:space="preserve">Ferrara G, Torquetti L, Ferrara P, Merayo-Lloves J. Long-term follow-up of intrastromal corneal ring segments in keratoconus. </w:t>
      </w:r>
      <w:r>
        <w:rPr>
          <w:rFonts w:ascii="Calibri" w:hAnsi="Calibri"/>
          <w:b w:val="0"/>
          <w:i/>
          <w:color w:val="222222"/>
          <w:sz w:val="22"/>
        </w:rPr>
        <w:t>J Refract Surg</w:t>
      </w:r>
      <w:r>
        <w:rPr>
          <w:rFonts w:ascii="Calibri" w:hAnsi="Calibri"/>
          <w:b w:val="0"/>
          <w:i w:val="0"/>
          <w:color w:val="222222"/>
          <w:sz w:val="22"/>
        </w:rPr>
        <w:t>. 2011;27(9):702–703.</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Olsen T. Prediction of the effective postoperative (intraocular lens) anterior chamber depth. </w:t>
      </w:r>
      <w:r>
        <w:rPr>
          <w:rFonts w:ascii="Calibri" w:hAnsi="Calibri"/>
          <w:b w:val="0"/>
          <w:i/>
          <w:color w:val="222222"/>
          <w:sz w:val="22"/>
        </w:rPr>
        <w:t>J Cataract Refract Surg</w:t>
      </w:r>
      <w:r>
        <w:rPr>
          <w:rFonts w:ascii="Calibri" w:hAnsi="Calibri"/>
          <w:b w:val="0"/>
          <w:i w:val="0"/>
          <w:color w:val="222222"/>
          <w:sz w:val="22"/>
        </w:rPr>
        <w:t>. 2006;32(3):419–424.</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 Ophthalmol Vis Sci</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Teus MA, Barraquer RI, Uceda-Montañés A. Modeling the intracorneal ring segment effect in keratoconus using refractive, keratometric, and corneal aberrometric data. </w:t>
      </w:r>
      <w:r>
        <w:rPr>
          <w:rFonts w:ascii="Calibri" w:hAnsi="Calibri"/>
          <w:b w:val="0"/>
          <w:i/>
          <w:color w:val="222222"/>
          <w:sz w:val="22"/>
        </w:rPr>
        <w:t>Invest Ophthalmol Vis Sci</w:t>
      </w:r>
      <w:r>
        <w:rPr>
          <w:rFonts w:ascii="Calibri" w:hAnsi="Calibri"/>
          <w:b w:val="0"/>
          <w:i w:val="0"/>
          <w:color w:val="222222"/>
          <w:sz w:val="22"/>
        </w:rPr>
        <w:t>. 2010;51(11):5583–5591.</w:t>
      </w:r>
    </w:p>
    <w:p>
      <w:pPr>
        <w:pStyle w:val="ListNumber"/>
        <w:spacing w:before="40" w:after="80" w:line="276" w:lineRule="auto"/>
      </w:pPr>
      <w:r>
        <w:rPr>
          <w:rFonts w:ascii="Calibri" w:hAnsi="Calibri"/>
          <w:b w:val="0"/>
          <w:i w:val="0"/>
          <w:color w:val="222222"/>
          <w:sz w:val="22"/>
        </w:rPr>
        <w:t xml:space="preserve">Piñero DP, Alio JL,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2009;116(9):1675–1687.</w:t>
      </w:r>
    </w:p>
    <w:p>
      <w:pPr>
        <w:pStyle w:val="ListNumber"/>
        <w:spacing w:before="40" w:after="80" w:line="276" w:lineRule="auto"/>
      </w:pPr>
      <w:r>
        <w:rPr>
          <w:rFonts w:ascii="Calibri" w:hAnsi="Calibri"/>
          <w:b w:val="0"/>
          <w:i w:val="0"/>
          <w:color w:val="222222"/>
          <w:sz w:val="22"/>
        </w:rPr>
        <w:t xml:space="preserve">Sanders DR, Retzlaff J, Kraff MC. Comparison of the SRK II formula and other second generation formulas. </w:t>
      </w:r>
      <w:r>
        <w:rPr>
          <w:rFonts w:ascii="Calibri" w:hAnsi="Calibri"/>
          <w:b w:val="0"/>
          <w:i/>
          <w:color w:val="222222"/>
          <w:sz w:val="22"/>
        </w:rPr>
        <w:t>J Cataract Refract Surg</w:t>
      </w:r>
      <w:r>
        <w:rPr>
          <w:rFonts w:ascii="Calibri" w:hAnsi="Calibri"/>
          <w:b w:val="0"/>
          <w:i w:val="0"/>
          <w:color w:val="222222"/>
          <w:sz w:val="22"/>
        </w:rPr>
        <w:t>. 1988;14(2):136–141.</w:t>
      </w:r>
    </w:p>
    <w:p>
      <w:pPr>
        <w:pStyle w:val="ListNumber"/>
        <w:spacing w:before="40" w:after="80" w:line="276" w:lineRule="auto"/>
      </w:pPr>
      <w:r>
        <w:rPr>
          <w:rFonts w:ascii="Calibri" w:hAnsi="Calibri"/>
          <w:b w:val="0"/>
          <w:i w:val="0"/>
          <w:color w:val="222222"/>
          <w:sz w:val="22"/>
        </w:rPr>
        <w:t xml:space="preserve">Shetty R, Kurian M, Anand D, Mhatre P, Narayana KM, Shetty BK. Intacs in advanced keratoconus. </w:t>
      </w:r>
      <w:r>
        <w:rPr>
          <w:rFonts w:ascii="Calibri" w:hAnsi="Calibri"/>
          <w:b w:val="0"/>
          <w:i/>
          <w:color w:val="222222"/>
          <w:sz w:val="22"/>
        </w:rPr>
        <w:t>Cornea</w:t>
      </w:r>
      <w:r>
        <w:rPr>
          <w:rFonts w:ascii="Calibri" w:hAnsi="Calibri"/>
          <w:b w:val="0"/>
          <w:i w:val="0"/>
          <w:color w:val="222222"/>
          <w:sz w:val="22"/>
        </w:rPr>
        <w:t>. 2014;33(8):853–858.</w:t>
      </w:r>
    </w:p>
    <w:p>
      <w:pPr>
        <w:pStyle w:val="ListNumber"/>
        <w:spacing w:before="40" w:after="80" w:line="276" w:lineRule="auto"/>
      </w:pPr>
      <w:r>
        <w:rPr>
          <w:rFonts w:ascii="Calibri" w:hAnsi="Calibri"/>
          <w:b w:val="0"/>
          <w:i w:val="0"/>
          <w:color w:val="222222"/>
          <w:sz w:val="22"/>
        </w:rPr>
        <w:t xml:space="preserve">Torquetti L, Ferrara P. Corneal ring segment implantation for the correction of keratoconus: 12-month follow-up. </w:t>
      </w:r>
      <w:r>
        <w:rPr>
          <w:rFonts w:ascii="Calibri" w:hAnsi="Calibri"/>
          <w:b w:val="0"/>
          <w:i/>
          <w:color w:val="222222"/>
          <w:sz w:val="22"/>
        </w:rPr>
        <w:t>J Emmetropia</w:t>
      </w:r>
      <w:r>
        <w:rPr>
          <w:rFonts w:ascii="Calibri" w:hAnsi="Calibri"/>
          <w:b w:val="0"/>
          <w:i w:val="0"/>
          <w:color w:val="222222"/>
          <w:sz w:val="22"/>
        </w:rPr>
        <w:t>. 2009;1(1):22–28.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