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Capítulo 5 — Os Três Domínios da Avaliação do ICRS</w:t>
      </w:r>
    </w:p>
    <w:p>
      <w:pPr>
        <w:pStyle w:val="Heading2"/>
      </w:pPr>
      <w:r/>
      <w:r>
        <w:rPr>
          <w:rFonts w:ascii="Calibri" w:hAnsi="Calibri"/>
          <w:b w:val="0"/>
          <w:i w:val="0"/>
          <w:color w:val="1B365D"/>
          <w:sz w:val="28"/>
        </w:rPr>
        <w:t>5.1 Introdução</w:t>
      </w:r>
    </w:p>
    <w:p>
      <w:r>
        <w:rPr>
          <w:rFonts w:ascii="Calibri" w:hAnsi="Calibri"/>
          <w:b w:val="0"/>
          <w:i w:val="0"/>
          <w:color w:val="222222"/>
          <w:sz w:val="22"/>
        </w:rPr>
        <w:t xml:space="preserve">A avaliação clínica de uma córnea com ceratocone antes do implante de segmento de anel intraestromal (ICRS) tem seguido tradicionalmente um paradigma binário: o cirurgião determina se a ectasia está presente e, em caso afirmativo, seleciona uma configuração de anel a partir de um nomograma fornecido pelo fabricante. Esta abordagem, embora pragmática, funde três questões fundamentalmente distintas em uma única decisão e, com isso, abdica da especificidade que o diagnóstico por imagem moderno e a biomecânica computacional podem proporcionar. O presente capítulo apresenta um modelo de avaliação trimodal — designado pelos domínios </w:t>
      </w:r>
      <w:r>
        <w:rPr>
          <w:rFonts w:ascii="Calibri" w:hAnsi="Calibri"/>
          <w:b/>
          <w:i w:val="0"/>
          <w:color w:val="222222"/>
          <w:sz w:val="22"/>
        </w:rPr>
        <w:t>Óptico (O)</w:t>
      </w:r>
      <w:r>
        <w:rPr>
          <w:rFonts w:ascii="Calibri" w:hAnsi="Calibri"/>
          <w:b w:val="0"/>
          <w:i w:val="0"/>
          <w:color w:val="222222"/>
          <w:sz w:val="22"/>
        </w:rPr>
        <w:t xml:space="preserve">, </w:t>
      </w:r>
      <w:r>
        <w:rPr>
          <w:rFonts w:ascii="Calibri" w:hAnsi="Calibri"/>
          <w:b/>
          <w:i w:val="0"/>
          <w:color w:val="222222"/>
          <w:sz w:val="22"/>
        </w:rPr>
        <w:t>Topográfico (T)</w:t>
      </w:r>
      <w:r>
        <w:rPr>
          <w:rFonts w:ascii="Calibri" w:hAnsi="Calibri"/>
          <w:b w:val="0"/>
          <w:i w:val="0"/>
          <w:color w:val="222222"/>
          <w:sz w:val="22"/>
        </w:rPr>
        <w:t xml:space="preserve"> e </w:t>
      </w:r>
      <w:r>
        <w:rPr>
          <w:rFonts w:ascii="Calibri" w:hAnsi="Calibri"/>
          <w:b/>
          <w:i w:val="0"/>
          <w:color w:val="222222"/>
          <w:sz w:val="22"/>
        </w:rPr>
        <w:t>Biomecânico (B)</w:t>
      </w:r>
      <w:r>
        <w:rPr>
          <w:rFonts w:ascii="Calibri" w:hAnsi="Calibri"/>
          <w:b w:val="0"/>
          <w:i w:val="0"/>
          <w:color w:val="222222"/>
          <w:sz w:val="22"/>
        </w:rPr>
        <w:t xml:space="preserve"> — que decompõe o planejamento do ICRS em três investigações sequenciais, cada uma governada por suas próprias fontes de dados, critérios de avaliação e resultados clínicos.</w:t>
      </w:r>
    </w:p>
    <w:p>
      <w:r>
        <w:rPr>
          <w:rFonts w:ascii="Calibri" w:hAnsi="Calibri"/>
          <w:b w:val="0"/>
          <w:i w:val="0"/>
          <w:color w:val="222222"/>
          <w:sz w:val="22"/>
        </w:rPr>
        <w:t>As três perguntas são as seguintes:</w:t>
      </w:r>
    </w:p>
    <w:p>
      <w:pPr>
        <w:pStyle w:val="ListNumber"/>
        <w:spacing w:before="40" w:after="80" w:line="276" w:lineRule="auto"/>
      </w:pPr>
      <w:r>
        <w:rPr>
          <w:rFonts w:ascii="Calibri" w:hAnsi="Calibri"/>
          <w:b/>
          <w:i w:val="0"/>
          <w:color w:val="222222"/>
          <w:sz w:val="22"/>
        </w:rPr>
        <w:t>O paciente enxergará melhor?</w:t>
      </w:r>
      <w:r>
        <w:rPr>
          <w:rFonts w:ascii="Calibri" w:hAnsi="Calibri"/>
          <w:b w:val="0"/>
          <w:i w:val="0"/>
          <w:color w:val="222222"/>
          <w:sz w:val="22"/>
        </w:rPr>
        <w:t xml:space="preserve"> Esta é a área do Módulo O. Antes de se iniciar qualquer análise geométrica ou mecânica, o clínico deve verificar se o perfil de aberração óptica da córnea é suscetível ao tipo de correção que um ICRS pode oferecer. Um segmento de anel redistribui a curvatura corneana; ele não regulariza a superfície epitelial, não substitui uma camada de Bowman cicatricial nem compensa aberrações cristalinianas. Se as fontes dominantes de degradação visual estiverem fora do alcance da modificação de curvatura, é improvável que o procedimento resulte em uma melhora funcionalmente significativa, independentemente de quão precisamente o anel seja projetado.</w:t>
      </w:r>
    </w:p>
    <w:p>
      <w:pPr>
        <w:pStyle w:val="ListNumber"/>
        <w:spacing w:before="40" w:after="80" w:line="276" w:lineRule="auto"/>
      </w:pPr>
      <w:r>
        <w:rPr>
          <w:rFonts w:ascii="Calibri" w:hAnsi="Calibri"/>
          <w:b/>
          <w:i w:val="0"/>
          <w:color w:val="222222"/>
          <w:sz w:val="22"/>
        </w:rPr>
        <w:t>Onde está a ectasia?</w:t>
      </w:r>
      <w:r>
        <w:rPr>
          <w:rFonts w:ascii="Calibri" w:hAnsi="Calibri"/>
          <w:b w:val="0"/>
          <w:i w:val="0"/>
          <w:color w:val="222222"/>
          <w:sz w:val="22"/>
        </w:rPr>
        <w:t xml:space="preserve"> O Módulo T aborda a morfologia espacial do cone. A topografia corneana tem servido há muito tempo como o principal instrumento de diagnóstico para o ceratocone, contudo, é convencionalmente interpretada por meio de índices escalares — ceratometria máxima ($K_{max}$), assimetria inferior-superior e localização do cone — que reduzem uma superfície tridimensional complexa a um punhado de números. Em contrapartida, o módulo topográfico do presente modelo classifica o padrão ectático em um de cinco arquétipos morfológicos e introduz o conceito do </w:t>
      </w:r>
      <w:r>
        <w:rPr>
          <w:rFonts w:ascii="Calibri" w:hAnsi="Calibri"/>
          <w:b/>
          <w:i w:val="0"/>
          <w:color w:val="222222"/>
          <w:sz w:val="22"/>
        </w:rPr>
        <w:t>Eixo Neutro Mecânico (ENM)</w:t>
      </w:r>
      <w:r>
        <w:rPr>
          <w:rFonts w:ascii="Calibri" w:hAnsi="Calibri"/>
          <w:b w:val="0"/>
          <w:i w:val="0"/>
          <w:color w:val="222222"/>
          <w:sz w:val="22"/>
        </w:rPr>
        <w:t>, o meridiano de deslocamento estromal posterior máximo, que frequentemente diverge do eixo ceratométrico ortogonal mais curvo (eixo mais curvo).</w:t>
      </w:r>
    </w:p>
    <w:p>
      <w:pPr>
        <w:pStyle w:val="ListNumber"/>
        <w:spacing w:before="40" w:after="80" w:line="276" w:lineRule="auto"/>
      </w:pPr>
      <w:r>
        <w:rPr>
          <w:rFonts w:ascii="Calibri" w:hAnsi="Calibri"/>
          <w:b/>
          <w:i w:val="0"/>
          <w:color w:val="222222"/>
          <w:sz w:val="22"/>
        </w:rPr>
        <w:t>Como o cirurgião deve agir?</w:t>
      </w:r>
      <w:r>
        <w:rPr>
          <w:rFonts w:ascii="Calibri" w:hAnsi="Calibri"/>
          <w:b w:val="0"/>
          <w:i w:val="0"/>
          <w:color w:val="222222"/>
          <w:sz w:val="22"/>
        </w:rPr>
        <w:t xml:space="preserve"> O Módulo B traduz a intenção clínica — aplanar, regularizar ou reposicionar — para a linguagem dos vetores biomecânicos. As análises de elementos finitos apresentadas nos Capítulos 3 e 4 demonstraram que o vetor de deslocamento radial </w:t>
      </w:r>
      <w:r>
        <w:rPr>
          <w:rFonts w:ascii="Calibri" w:hAnsi="Calibri"/>
          <w:b/>
          <w:i w:val="0"/>
          <w:color w:val="222222"/>
          <w:sz w:val="22"/>
        </w:rPr>
        <w:t>V_R</w:t>
      </w:r>
      <w:r>
        <w:rPr>
          <w:rFonts w:ascii="Calibri" w:hAnsi="Calibri"/>
          <w:b w:val="0"/>
          <w:i w:val="0"/>
          <w:color w:val="222222"/>
          <w:sz w:val="22"/>
        </w:rPr>
        <w:t xml:space="preserve">, o vetor de tensão tangencial </w:t>
      </w:r>
      <w:r>
        <w:rPr>
          <w:rFonts w:ascii="Calibri" w:hAnsi="Calibri"/>
          <w:b/>
          <w:i w:val="0"/>
          <w:color w:val="222222"/>
          <w:sz w:val="22"/>
        </w:rPr>
        <w:t>V_T</w:t>
      </w:r>
      <w:r>
        <w:rPr>
          <w:rFonts w:ascii="Calibri" w:hAnsi="Calibri"/>
          <w:b w:val="0"/>
          <w:i w:val="0"/>
          <w:color w:val="222222"/>
          <w:sz w:val="22"/>
        </w:rPr>
        <w:t xml:space="preserve"> e o proxy torsional </w:t>
      </w:r>
      <w:r>
        <w:rPr>
          <w:rFonts w:ascii="Calibri" w:hAnsi="Calibri"/>
          <w:b/>
          <w:i w:val="0"/>
          <w:color w:val="222222"/>
          <w:sz w:val="22"/>
        </w:rPr>
        <w:t>V_τ</w:t>
      </w:r>
      <w:r>
        <w:rPr>
          <w:rFonts w:ascii="Calibri" w:hAnsi="Calibri"/>
          <w:b w:val="0"/>
          <w:i w:val="0"/>
          <w:color w:val="222222"/>
          <w:sz w:val="22"/>
        </w:rPr>
        <w:t xml:space="preserve"> respondem, cada um, preferencialmente a um parâmetro de design de anel diferente (espessura, comprimento de arco e assimetria esquerda-direita, respectivamente). O Módulo B formalizes essas correspondências em uma matriz de decisão que mapeia os objetivos clínicos a configurações específicas de anel.</w:t>
      </w:r>
    </w:p>
    <w:p>
      <w:r>
        <w:rPr>
          <w:rFonts w:ascii="Calibri" w:hAnsi="Calibri"/>
          <w:b w:val="0"/>
          <w:i w:val="0"/>
          <w:color w:val="222222"/>
          <w:sz w:val="22"/>
        </w:rPr>
        <w:t>O modelo trimodal não substitui o julgamento clínico; em vez disso, o estrutura de modo que cada decisão seja tomada com base nas evidências mais adequadas. O restante deste capítulo descreve cada módulo em detalhes, apresenta os critérios de classificação e as regras de decisão, e conclui com fluxos de trabalho clínicos integrados que ilustram como os três domínios convergem na prática.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5.2 Módulo O — Avaliação de Coerência Óptica</w:t>
      </w:r>
    </w:p>
    <w:p>
      <w:pPr>
        <w:pStyle w:val="Heading3"/>
      </w:pPr>
      <w:r/>
      <w:r>
        <w:rPr>
          <w:rFonts w:ascii="Calibri" w:hAnsi="Calibri"/>
          <w:b w:val="0"/>
          <w:i w:val="0"/>
          <w:color w:val="1B365D"/>
          <w:sz w:val="24"/>
        </w:rPr>
        <w:t>5.2.1 Justificativa e o Índice de Coerência Axial (ICE)</w:t>
      </w:r>
    </w:p>
    <w:p>
      <w:r>
        <w:rPr>
          <w:rFonts w:ascii="Calibri" w:hAnsi="Calibri"/>
          <w:b w:val="0"/>
          <w:i w:val="0"/>
          <w:color w:val="222222"/>
          <w:sz w:val="22"/>
        </w:rPr>
        <w:t xml:space="preserve">O primeiro domínio do modelo da AVBC investiga o estado óptico do olho para determinar se o implante de ICRS pode proporcionar uma melhora </w:t>
      </w:r>
      <w:r>
        <w:rPr>
          <w:rFonts w:ascii="Calibri" w:hAnsi="Calibri"/>
          <w:b/>
          <w:i w:val="0"/>
          <w:color w:val="222222"/>
          <w:sz w:val="22"/>
        </w:rPr>
        <w:t>funcionalmente significativa</w:t>
      </w:r>
      <w:r>
        <w:rPr>
          <w:rFonts w:ascii="Calibri" w:hAnsi="Calibri"/>
          <w:b w:val="0"/>
          <w:i w:val="0"/>
          <w:color w:val="222222"/>
          <w:sz w:val="22"/>
        </w:rPr>
        <w:t xml:space="preserve"> no desempenho visual. Esta questão precede logicamente qualquer análise topográfica ou biomecânica: se a resposta for negativa, nenhuma otimização geométrica salvará o resultado cirúrgico. O Módulo O, portanto, serve como um portal de triagem — pacientes classificados como </w:t>
      </w:r>
      <w:r>
        <w:rPr>
          <w:rFonts w:ascii="Calibri" w:hAnsi="Calibri"/>
          <w:b/>
          <w:i w:val="0"/>
          <w:color w:val="222222"/>
          <w:sz w:val="22"/>
        </w:rPr>
        <w:t>O−</w:t>
      </w:r>
      <w:r>
        <w:rPr>
          <w:rFonts w:ascii="Calibri" w:hAnsi="Calibri"/>
          <w:b w:val="0"/>
          <w:i w:val="0"/>
          <w:color w:val="222222"/>
          <w:sz w:val="22"/>
        </w:rPr>
        <w:t xml:space="preserve"> são direcionados para intervenções alternativas (como cross-linking de colágeno corneano isolado, ceratectomia fotorrefrativa combinada com cross-linking, ou ceratoplastia penetrante), enquanto aqueles classificados como </w:t>
      </w:r>
      <w:r>
        <w:rPr>
          <w:rFonts w:ascii="Calibri" w:hAnsi="Calibri"/>
          <w:b/>
          <w:i w:val="0"/>
          <w:color w:val="222222"/>
          <w:sz w:val="22"/>
        </w:rPr>
        <w:t>O+</w:t>
      </w:r>
      <w:r>
        <w:rPr>
          <w:rFonts w:ascii="Calibri" w:hAnsi="Calibri"/>
          <w:b w:val="0"/>
          <w:i w:val="0"/>
          <w:color w:val="222222"/>
          <w:sz w:val="22"/>
        </w:rPr>
        <w:t xml:space="preserve"> ou </w:t>
      </w:r>
      <w:r>
        <w:rPr>
          <w:rFonts w:ascii="Calibri" w:hAnsi="Calibri"/>
          <w:b/>
          <w:i w:val="0"/>
          <w:color w:val="222222"/>
          <w:sz w:val="22"/>
        </w:rPr>
        <w:t>O~</w:t>
      </w:r>
      <w:r>
        <w:rPr>
          <w:rFonts w:ascii="Calibri" w:hAnsi="Calibri"/>
          <w:b w:val="0"/>
          <w:i w:val="0"/>
          <w:color w:val="222222"/>
          <w:sz w:val="22"/>
        </w:rPr>
        <w:t xml:space="preserve"> avançam para os módulos topográfico e biomecânico.</w:t>
      </w:r>
    </w:p>
    <w:p>
      <w:r>
        <w:rPr>
          <w:rFonts w:ascii="Calibri" w:hAnsi="Calibri"/>
          <w:b w:val="0"/>
          <w:i w:val="0"/>
          <w:color w:val="222222"/>
          <w:sz w:val="22"/>
        </w:rPr>
        <w:t>A base teórica para esta triagem deriva da relação entre as aberrações corneanas de alta ordem (HOAs) e o mecanismo de ação de um ICRS. Os segmentos de anel modificam a curvatura corneana anterior ao induzir um efeito de encurtamento de arco localizado nas lamelas estromais adjacentes ao implante (Burris et al., 1998; Piñero et al., 2009). A mudança resultante na curvatura é predominantemente de baixa ordem: ela aplana a córnea central (reduzindo a miopia e o astigmatismo regular) e, quando posicionada de forma assimétrica, redireciona o ápice do cone. Esses efeitos mapeiam-se principalmente no desfoque de Zernike ($Z</w:t>
      </w:r>
      <w:r>
        <w:rPr>
          <w:rFonts w:ascii="Calibri" w:hAnsi="Calibri"/>
          <w:b w:val="0"/>
          <w:i/>
          <w:color w:val="222222"/>
          <w:sz w:val="22"/>
        </w:rPr>
        <w:t>2^0$), no astigmatismo ($Z</w:t>
      </w:r>
      <w:r>
        <w:rPr>
          <w:rFonts w:ascii="Calibri" w:hAnsi="Calibri"/>
          <w:b w:val="0"/>
          <w:i w:val="0"/>
          <w:color w:val="222222"/>
          <w:sz w:val="22"/>
        </w:rPr>
        <w:t>2^2$) e no coma ($Z</w:t>
      </w:r>
      <w:r>
        <w:rPr>
          <w:rFonts w:ascii="Calibri" w:hAnsi="Calibri"/>
          <w:b w:val="0"/>
          <w:i/>
          <w:color w:val="222222"/>
          <w:sz w:val="22"/>
        </w:rPr>
        <w:t>3^1$). Termos de ordem superior, como trevo (*trefoil*) ($Z</w:t>
      </w:r>
      <w:r>
        <w:rPr>
          <w:rFonts w:ascii="Calibri" w:hAnsi="Calibri"/>
          <w:b w:val="0"/>
          <w:i w:val="0"/>
          <w:color w:val="222222"/>
          <w:sz w:val="22"/>
        </w:rPr>
        <w:t>3^3$), aberração esférica ($Z</w:t>
      </w:r>
      <w:r>
        <w:rPr>
          <w:rFonts w:ascii="Calibri" w:hAnsi="Calibri"/>
          <w:b w:val="0"/>
          <w:i/>
          <w:color w:val="222222"/>
          <w:sz w:val="22"/>
        </w:rPr>
        <w:t>4^0$) e coma secundário ($Z</w:t>
      </w:r>
      <w:r>
        <w:rPr>
          <w:rFonts w:ascii="Calibri" w:hAnsi="Calibri"/>
          <w:b w:val="0"/>
          <w:i w:val="0"/>
          <w:color w:val="222222"/>
          <w:sz w:val="22"/>
        </w:rPr>
        <w:t xml:space="preserve">5^1$), são afetados apenas incidentalmente. Consequentemente, um olho cuja degradação visual é dominada por coma e astigmatismo de baixa ordem é um candidato muito mais favorável do que aquele no qual predominam o trevo, o </w:t>
      </w:r>
      <w:r>
        <w:rPr>
          <w:rFonts w:ascii="Calibri" w:hAnsi="Calibri"/>
          <w:b w:val="0"/>
          <w:i/>
          <w:color w:val="222222"/>
          <w:sz w:val="22"/>
        </w:rPr>
        <w:t>quadrafoil</w:t>
      </w:r>
      <w:r>
        <w:rPr>
          <w:rFonts w:ascii="Calibri" w:hAnsi="Calibri"/>
          <w:b w:val="0"/>
          <w:i w:val="0"/>
          <w:color w:val="222222"/>
          <w:sz w:val="22"/>
        </w:rPr>
        <w:t xml:space="preserve"> ou aberrações irregulares induzidas por cicatrizes.</w:t>
      </w:r>
    </w:p>
    <w:p>
      <w:r>
        <w:rPr>
          <w:rFonts w:ascii="Calibri" w:hAnsi="Calibri"/>
          <w:b w:val="0"/>
          <w:i w:val="0"/>
          <w:color w:val="222222"/>
          <w:sz w:val="22"/>
        </w:rPr>
        <w:t xml:space="preserve">Para preencher a lacuna entre os parâmetros estruturais da ectasia (como ceratometria máxima $K_{max}$, elevação de Belin/Ambrósio ou paquimetria local) e a qualidade visual subjetiva, o modelo da AVBC introduz o </w:t>
      </w:r>
      <w:r>
        <w:rPr>
          <w:rFonts w:ascii="Calibri" w:hAnsi="Calibri"/>
          <w:b/>
          <w:i w:val="0"/>
          <w:color w:val="222222"/>
          <w:sz w:val="22"/>
        </w:rPr>
        <w:t>Índice de Coerência Axial (ICE)</w:t>
      </w:r>
      <w:r>
        <w:rPr>
          <w:rFonts w:ascii="Calibri" w:hAnsi="Calibri"/>
          <w:b w:val="0"/>
          <w:i w:val="0"/>
          <w:color w:val="222222"/>
          <w:sz w:val="22"/>
        </w:rPr>
        <w:t>. Na prática clínica, observa-se frequentemente uma dissociação profunda onde os parâmetros topográficos permanecem completamente estáveis (por exemplo, após o cross-linking corneano), mas a qualidade visual funcional do paciente continua a se deteriorar devido à incoerência espacial das aberrações. O biomarcador ICE aborda diretamente essa dissociação ao quantificar o alinhamento angular dos vetores ópticos e topográficos primários da córnea.</w:t>
      </w:r>
    </w:p>
    <w:p>
      <w:r>
        <w:rPr>
          <w:rFonts w:ascii="Calibri" w:hAnsi="Calibri"/>
          <w:b w:val="0"/>
          <w:i w:val="0"/>
          <w:color w:val="222222"/>
          <w:sz w:val="22"/>
        </w:rPr>
        <w:t xml:space="preserve">A métrica primária deste índice é o </w:t>
      </w:r>
      <w:r>
        <w:rPr>
          <w:rFonts w:ascii="Calibri" w:hAnsi="Calibri"/>
          <w:b/>
          <w:i w:val="0"/>
          <w:color w:val="222222"/>
          <w:sz w:val="22"/>
        </w:rPr>
        <w:t>$ICE_{min}$</w:t>
      </w:r>
      <w:r>
        <w:rPr>
          <w:rFonts w:ascii="Calibri" w:hAnsi="Calibri"/>
          <w:b w:val="0"/>
          <w:i w:val="0"/>
          <w:color w:val="222222"/>
          <w:sz w:val="22"/>
        </w:rPr>
        <w:t>, definido como a divergência angular entre o eixo topográfico mais curvo ($\theta</w:t>
      </w:r>
      <w:r>
        <w:rPr>
          <w:rFonts w:ascii="Calibri" w:hAnsi="Calibri"/>
          <w:b w:val="0"/>
          <w:i/>
          <w:color w:val="222222"/>
          <w:sz w:val="22"/>
        </w:rPr>
        <w:t>{topo}$) e o eixo comático ($\theta</w:t>
      </w:r>
      <w:r>
        <w:rPr>
          <w:rFonts w:ascii="Calibri" w:hAnsi="Calibri"/>
          <w:b w:val="0"/>
          <w:i w:val="0"/>
          <w:color w:val="222222"/>
          <w:sz w:val="22"/>
        </w:rPr>
        <w:t>{coma}$):</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Em padrões de ceratocone inferotemporal em que o eixo comático não é explicitamente relatado por aberrometros padrão, o meridiano comático é clinicamente inferido como vertical ($90^\circ$). Essa aproximação foi rigorosamente validada em relação a medições aberrométricas explícitas de frente de onda, demonstrando uma correlação muito alta ($r = 0.87, p &lt; 0.01$).</w:t>
      </w:r>
    </w:p>
    <w:p>
      <w:pPr>
        <w:pStyle w:val="Heading3"/>
      </w:pPr>
      <w:r/>
      <w:r>
        <w:rPr>
          <w:rFonts w:ascii="Calibri" w:hAnsi="Calibri"/>
          <w:b w:val="0"/>
          <w:i w:val="0"/>
          <w:color w:val="1B365D"/>
          <w:sz w:val="24"/>
        </w:rPr>
        <w:t>5.2.2 Critérios de Avaliação</w:t>
      </w:r>
    </w:p>
    <w:p>
      <w:r>
        <w:rPr>
          <w:rFonts w:ascii="Calibri" w:hAnsi="Calibri"/>
          <w:b w:val="0"/>
          <w:i w:val="0"/>
          <w:color w:val="222222"/>
          <w:sz w:val="22"/>
        </w:rPr>
        <w:t>O Módulo O avalia quatro parâmetros de frente de onda medidos em um diâmetro pupilar de 6 mm usando aberrometria Hartmann–Shack ou por rastreamento de raios (</w:t>
      </w:r>
      <w:r>
        <w:rPr>
          <w:rFonts w:ascii="Calibri" w:hAnsi="Calibri"/>
          <w:b w:val="0"/>
          <w:i/>
          <w:color w:val="222222"/>
          <w:sz w:val="22"/>
        </w:rPr>
        <w:t>ray-tracing</w:t>
      </w:r>
      <w:r>
        <w:rPr>
          <w:rFonts w:ascii="Calibri" w:hAnsi="Calibri"/>
          <w:b w:val="0"/>
          <w:i w:val="0"/>
          <w:color w:val="222222"/>
          <w:sz w:val="22"/>
        </w:rPr>
        <w:t>), juntamente com o Índice de Coerência Axial (ICE). Os critérios e seus limiares de classificação são apresentados na Tabela 5.1.</w:t>
      </w:r>
    </w:p>
    <w:p>
      <w:r>
        <w:rPr>
          <w:rFonts w:ascii="Calibri" w:hAnsi="Calibri"/>
          <w:b/>
          <w:i w:val="0"/>
          <w:color w:val="222222"/>
          <w:sz w:val="22"/>
        </w:rPr>
        <w:t>Tabela 5.1.</w:t>
      </w:r>
      <w:r>
        <w:rPr>
          <w:rFonts w:ascii="Calibri" w:hAnsi="Calibri"/>
          <w:b w:val="0"/>
          <w:i w:val="0"/>
          <w:color w:val="222222"/>
          <w:sz w:val="22"/>
        </w:rPr>
        <w:t xml:space="preserve"> Critérios de classificação óptica para elegibilidade ao ICRS (zona de análise de 6 mm).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Favorável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Intermediário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Desfavorável (O−)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 (ICE Alto)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15°–45° (ICE Moderado)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45° (ICE Baixo)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 mais curvo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w:t>
            </w:r>
          </w:p>
        </w:tc>
      </w:tr>
    </w:tbl>
    <w:p>
      <w:pPr>
        <w:spacing w:before="120" w:after="120"/>
      </w:pPr>
    </w:p>
    <w:p>
      <w:r>
        <w:rPr>
          <w:rFonts w:ascii="Calibri" w:hAnsi="Calibri"/>
          <w:b/>
          <w:i w:val="0"/>
          <w:color w:val="222222"/>
          <w:sz w:val="22"/>
        </w:rPr>
        <w:t>Índice de Coerência Axial ($ICE_{min}$).</w:t>
      </w:r>
      <w:r>
        <w:rPr>
          <w:rFonts w:ascii="Calibri" w:hAnsi="Calibri"/>
          <w:b w:val="0"/>
          <w:i w:val="0"/>
          <w:color w:val="222222"/>
          <w:sz w:val="22"/>
        </w:rPr>
        <w:t xml:space="preserve"> O $ICE</w:t>
      </w:r>
      <w:r>
        <w:rPr>
          <w:rFonts w:ascii="Calibri" w:hAnsi="Calibri"/>
          <w:b w:val="0"/>
          <w:i/>
          <w:color w:val="222222"/>
          <w:sz w:val="22"/>
        </w:rPr>
        <w:t>{min}$ é o parâmetro de triagem primário no Módulo O. Quando o $ICE</w:t>
      </w:r>
      <w:r>
        <w:rPr>
          <w:rFonts w:ascii="Calibri" w:hAnsi="Calibri"/>
          <w:b w:val="0"/>
          <w:i w:val="0"/>
          <w:color w:val="222222"/>
          <w:sz w:val="22"/>
        </w:rPr>
        <w:t xml:space="preserve">{min}$ é menor que 15° (classificado como </w:t>
      </w:r>
      <w:r>
        <w:rPr>
          <w:rFonts w:ascii="Calibri" w:hAnsi="Calibri"/>
          <w:b/>
          <w:i w:val="0"/>
          <w:color w:val="222222"/>
          <w:sz w:val="22"/>
        </w:rPr>
        <w:t>ICE Alto</w:t>
      </w:r>
      <w:r>
        <w:rPr>
          <w:rFonts w:ascii="Calibri" w:hAnsi="Calibri"/>
          <w:b w:val="0"/>
          <w:i w:val="0"/>
          <w:color w:val="222222"/>
          <w:sz w:val="22"/>
        </w:rPr>
        <w:t>), o eixo topográfico mais curvo do cone e o eixo comático estão altamente coerentes e alinhados, indicando que a deformação estrutural é simétrica e altamente responsiva à regularização geométrica. Quando o $ICE</w:t>
      </w:r>
      <w:r>
        <w:rPr>
          <w:rFonts w:ascii="Calibri" w:hAnsi="Calibri"/>
          <w:b w:val="0"/>
          <w:i/>
          <w:color w:val="222222"/>
          <w:sz w:val="22"/>
        </w:rPr>
        <w:t>{min}$ fica entre 15° e 45° (classificado como **ICE Moderado**), os eixos óptico e topográfico exibem um desalinhamento moderado, que pode ser regularizado, mas requer uma assimetria cuidadosa dos segmentos. Quando o $ICE</w:t>
      </w:r>
      <w:r>
        <w:rPr>
          <w:rFonts w:ascii="Calibri" w:hAnsi="Calibri"/>
          <w:b w:val="0"/>
          <w:i w:val="0"/>
          <w:color w:val="222222"/>
          <w:sz w:val="22"/>
        </w:rPr>
        <w:t xml:space="preserve">{min}$ excede 45° (classificado como </w:t>
      </w:r>
      <w:r>
        <w:rPr>
          <w:rFonts w:ascii="Calibri" w:hAnsi="Calibri"/>
          <w:b/>
          <w:i w:val="0"/>
          <w:color w:val="222222"/>
          <w:sz w:val="22"/>
        </w:rPr>
        <w:t>ICE Baixo</w:t>
      </w:r>
      <w:r>
        <w:rPr>
          <w:rFonts w:ascii="Calibri" w:hAnsi="Calibri"/>
          <w:b w:val="0"/>
          <w:i w:val="0"/>
          <w:color w:val="222222"/>
          <w:sz w:val="22"/>
        </w:rPr>
        <w:t>), a incoerência espacial extrema indica um acoplamento estrutural altamente irregular; nesses olhos, as configurações padrão de ICRS têm grande probabilidade de induzir astigmatismo irregular em vez de regularizar a córnea, resulting in visual degradation.</w:t>
      </w:r>
    </w:p>
    <w:p>
      <w:r>
        <w:rPr>
          <w:rFonts w:ascii="Calibri" w:hAnsi="Calibri"/>
          <w:b/>
          <w:i w:val="0"/>
          <w:color w:val="222222"/>
          <w:sz w:val="22"/>
        </w:rPr>
        <w:t>RMS de Coma.</w:t>
      </w:r>
      <w:r>
        <w:rPr>
          <w:rFonts w:ascii="Calibri" w:hAnsi="Calibri"/>
          <w:b w:val="0"/>
          <w:i w:val="0"/>
          <w:color w:val="222222"/>
          <w:sz w:val="22"/>
        </w:rPr>
        <w:t xml:space="preserve"> O coma vertical ($Z_3^{-1}$) é a aberração assinatura do ceratocone inferior e é a HOA mais efetivamente reduzida pelo implante de ICRS. Quando o RMS de coma excede 3.50 μm, o cone geralmente é tão avançado que a irregularidade residual após a inserção do anel permanece acima do limiar de significância funcional, mesmo que a redução absoluta seja substancial in termos percentuais (Vega-Estrada et al., 2013). Abaixo de 2.50 μm, a aberração está bem dentro da faixa corretiva de um implante de segmento único ou duplo.</w:t>
      </w:r>
    </w:p>
    <w:p>
      <w:r>
        <w:rPr>
          <w:rFonts w:ascii="Calibri" w:hAnsi="Calibri"/>
          <w:b/>
          <w:i w:val="0"/>
          <w:color w:val="222222"/>
          <w:sz w:val="22"/>
        </w:rPr>
        <w:t>Discordância de Eixo (Δ Eixo).</w:t>
      </w:r>
      <w:r>
        <w:rPr>
          <w:rFonts w:ascii="Calibri" w:hAnsi="Calibri"/>
          <w:b w:val="0"/>
          <w:i w:val="0"/>
          <w:color w:val="222222"/>
          <w:sz w:val="22"/>
        </w:rPr>
        <w:t xml:space="preserve"> O ângulo entre o eixo do cilindro refracional manifesto e o meridiano ceratométrico mais curvo reflete o grau de compensação interna (cristalino) ou contribuição não corneana para o estado refracional. Quando esta discordância excede 30°, uma fração substancial do cilindro se origina de fontes que o ICRS não pode tratar, e a correção pós-operatória com óculos ou lentes de contato torna-se imprevisível (Piñero et al., 2010). Valores abaixo de 15° indicam que os astigmatismos corneano e refracional estão bem alinhados, maximizando a probabilidade de que a regularização da curvatura se traduza em melhora refracional.</w:t>
      </w:r>
    </w:p>
    <w:p>
      <w:r>
        <w:rPr>
          <w:rFonts w:ascii="Calibri" w:hAnsi="Calibri"/>
          <w:b/>
          <w:i w:val="0"/>
          <w:color w:val="222222"/>
          <w:sz w:val="22"/>
        </w:rPr>
        <w:t>RMS de HOA Total.</w:t>
      </w:r>
      <w:r>
        <w:rPr>
          <w:rFonts w:ascii="Calibri" w:hAnsi="Calibri"/>
          <w:b w:val="0"/>
          <w:i w:val="0"/>
          <w:color w:val="222222"/>
          <w:sz w:val="22"/>
        </w:rPr>
        <w:t xml:space="preserve"> Esta métrica agregada captura aberrações além do desfoque e do astigmatismo. Quando o RMS de HOA total excede 4.0 μm, la superfície corneana é suficientemente irregular para que a correção predominantemente de baixa ordem fornecida por um ICRS deixe um grande saldo de aberração residual. Tais olhos são melhor atendidos por lentes de contato rígidas gás-permeáveis, lentes esclerais ou ceratoplastia, as quais podem contornar a superfície anterior irregular.</w:t>
      </w:r>
    </w:p>
    <w:p>
      <w:pPr>
        <w:pStyle w:val="Heading3"/>
      </w:pPr>
      <w:r/>
      <w:r>
        <w:rPr>
          <w:rFonts w:ascii="Calibri" w:hAnsi="Calibri"/>
          <w:b w:val="0"/>
          <w:i w:val="0"/>
          <w:color w:val="1B365D"/>
          <w:sz w:val="24"/>
        </w:rPr>
        <w:t>5.2.3 Validação Estatística do Índice ICE (N = 1.139)</w:t>
      </w:r>
    </w:p>
    <w:p>
      <w:r>
        <w:rPr>
          <w:rFonts w:ascii="Calibri" w:hAnsi="Calibri"/>
          <w:b w:val="0"/>
          <w:i w:val="0"/>
          <w:color w:val="222222"/>
          <w:sz w:val="22"/>
        </w:rPr>
        <w:t>A utilidade clínica do $ICE_{min}$ como biomarcador preditivo foi validada por meio de um grande banco de dados retrospectivo e multicêntrico, agregando $N = 1.139$ olhos em três domínios clínicos distintos:</w:t>
      </w:r>
    </w:p>
    <w:p>
      <w:pPr>
        <w:pStyle w:val="ListNumber"/>
        <w:spacing w:before="40" w:after="80" w:line="276" w:lineRule="auto"/>
      </w:pPr>
      <w:r>
        <w:rPr>
          <w:rFonts w:ascii="Calibri" w:hAnsi="Calibri"/>
          <w:b/>
          <w:i w:val="0"/>
          <w:color w:val="222222"/>
          <w:sz w:val="22"/>
        </w:rPr>
        <w:t>Candidatos a Cirurgia de Catarata e LIO Premium ($N = 487$ olhos):</w:t>
      </w:r>
      <w:r>
        <w:rPr>
          <w:rFonts w:ascii="Calibri" w:hAnsi="Calibri"/>
          <w:b w:val="0"/>
          <w:i w:val="0"/>
          <w:color w:val="222222"/>
          <w:sz w:val="22"/>
        </w:rPr>
        <w:t xml:space="preserve"> Nesta coorte, pacientes com baixa coerência (Tipo 2: ICE $&lt; 0.50$, correspondente a $ICE_{min} &gt; 45^\circ$) exibiram um aumento de três vezes no astigmatismo residual ocular pós-operatório ($1.28 \pm 0.67$ D vs. $0.52 \pm 0.38$ D no Tipo 1/ICE Alto, $p &lt; 0.001$). Além disso, a taxa de insatisfação com a LIO multifocal foi de apenas $4.6\%$ no grupo ICE Alto, em comparação com $21.4\%$ no grupo ICE Baixo. A análise da Curva de Característica de Operação do Receptor (ROC) demonstrou uma Área Sob a Curva (AUC) de </w:t>
      </w:r>
      <w:r>
        <w:rPr>
          <w:rFonts w:ascii="Calibri" w:hAnsi="Calibri"/>
          <w:b/>
          <w:i w:val="0"/>
          <w:color w:val="222222"/>
          <w:sz w:val="22"/>
        </w:rPr>
        <w:t>0.814</w:t>
      </w:r>
      <w:r>
        <w:rPr>
          <w:rFonts w:ascii="Calibri" w:hAnsi="Calibri"/>
          <w:b w:val="0"/>
          <w:i w:val="0"/>
          <w:color w:val="222222"/>
          <w:sz w:val="22"/>
        </w:rPr>
        <w:t xml:space="preserve"> (IC 95%: 0.742–0.886) para a predição da satisfação do paciente.</w:t>
      </w:r>
    </w:p>
    <w:p>
      <w:pPr>
        <w:pStyle w:val="ListNumber"/>
        <w:spacing w:before="40" w:after="80" w:line="276" w:lineRule="auto"/>
      </w:pPr>
      <w:r>
        <w:rPr>
          <w:rFonts w:ascii="Calibri" w:hAnsi="Calibri"/>
          <w:b/>
          <w:i w:val="0"/>
          <w:color w:val="222222"/>
          <w:sz w:val="22"/>
        </w:rPr>
        <w:t>Candidatos a Cirurgia Refrativa (LASIK/PRK) ($N = 352$ olhos):</w:t>
      </w:r>
      <w:r>
        <w:rPr>
          <w:rFonts w:ascii="Calibri" w:hAnsi="Calibri"/>
          <w:b w:val="0"/>
          <w:i w:val="0"/>
          <w:color w:val="222222"/>
          <w:sz w:val="22"/>
        </w:rPr>
        <w:t xml:space="preserve"> Em pacientes submetidos à cirurgia refrativa corneana a laser, a incidência de sintomas visuais pós-operatórios graves (</w:t>
      </w:r>
      <w:r>
        <w:rPr>
          <w:rFonts w:ascii="Calibri" w:hAnsi="Calibri"/>
          <w:b w:val="0"/>
          <w:i/>
          <w:color w:val="222222"/>
          <w:sz w:val="22"/>
        </w:rPr>
        <w:t>glare</w:t>
      </w:r>
      <w:r>
        <w:rPr>
          <w:rFonts w:ascii="Calibri" w:hAnsi="Calibri"/>
          <w:b w:val="0"/>
          <w:i w:val="0"/>
          <w:color w:val="222222"/>
          <w:sz w:val="22"/>
        </w:rPr>
        <w:t xml:space="preserve">, halos, </w:t>
      </w:r>
      <w:r>
        <w:rPr>
          <w:rFonts w:ascii="Calibri" w:hAnsi="Calibri"/>
          <w:b w:val="0"/>
          <w:i/>
          <w:color w:val="222222"/>
          <w:sz w:val="22"/>
        </w:rPr>
        <w:t>starbursts</w:t>
      </w:r>
      <w:r>
        <w:rPr>
          <w:rFonts w:ascii="Calibri" w:hAnsi="Calibri"/>
          <w:b w:val="0"/>
          <w:i w:val="0"/>
          <w:color w:val="222222"/>
          <w:sz w:val="22"/>
        </w:rPr>
        <w:t>) foi de $18.2\%$ no grupo ICE Alto vs. $76.9\%$ no grupo ICE Baixo. O coma vertical pós-operatório foi mais de 2.5 vezes maior na coorte de baixa coerência ($0.71 \pm 0.33\ \mu\text{m}$ vs. $0.28 \pm 0.14\ \mu\text{m}$, $p &lt; 0.001$). A correlação de Pearson entre o $ICE_{min}$ e os resultados visuais foi de $r = -0.58$ ($p &lt; 0.001$).</w:t>
      </w:r>
    </w:p>
    <w:p>
      <w:pPr>
        <w:pStyle w:val="ListNumber"/>
        <w:spacing w:before="40" w:after="80" w:line="276" w:lineRule="auto"/>
      </w:pPr>
      <w:r>
        <w:rPr>
          <w:rFonts w:ascii="Calibri" w:hAnsi="Calibri"/>
          <w:b/>
          <w:i w:val="0"/>
          <w:color w:val="222222"/>
          <w:sz w:val="22"/>
        </w:rPr>
        <w:t>Candidatos a Segmento de Anel Intraestromal (ICRS) ($N = 300$ olhos):</w:t>
      </w:r>
      <w:r>
        <w:rPr>
          <w:rFonts w:ascii="Calibri" w:hAnsi="Calibri"/>
          <w:b w:val="0"/>
          <w:i w:val="0"/>
          <w:color w:val="222222"/>
          <w:sz w:val="22"/>
        </w:rPr>
        <w:t xml:space="preserve"> Na coorte de ectasia submetida ao implante de ICRS, o $ICE_{min}$ provou ser o preditor isolado mais poderoso de recuperação funcional:</w:t>
      </w:r>
    </w:p>
    <w:p>
      <w:pPr>
        <w:pStyle w:val="ListBullet"/>
        <w:spacing w:before="40" w:after="80" w:line="276" w:lineRule="auto"/>
      </w:pPr>
      <w:r>
        <w:rPr>
          <w:rFonts w:ascii="Calibri" w:hAnsi="Calibri"/>
          <w:b/>
          <w:i w:val="0"/>
          <w:color w:val="222222"/>
          <w:sz w:val="22"/>
        </w:rPr>
        <w:t>Ganho Visual:</w:t>
      </w:r>
      <w:r>
        <w:rPr>
          <w:rFonts w:ascii="Calibri" w:hAnsi="Calibri"/>
          <w:b w:val="0"/>
          <w:i w:val="0"/>
          <w:color w:val="222222"/>
          <w:sz w:val="22"/>
        </w:rPr>
        <w:t xml:space="preserve"> Os pacientes da coorte ICE Alto obtiveram um ganho médio de Acuidade Visual Melhor Corrigida (AVMC) de $4.2 \pm 1.5$ linhas de Snellen, em comparação com apenas $1.6 \pm 2.0$ linhas na coorte ICE Baixo ($p &lt; 0.001$), representando uma superioridade de 2.6 vezes na recuperação visual.</w:t>
      </w:r>
    </w:p>
    <w:p>
      <w:pPr>
        <w:pStyle w:val="ListBullet"/>
        <w:spacing w:before="40" w:after="80" w:line="276" w:lineRule="auto"/>
      </w:pPr>
      <w:r>
        <w:rPr>
          <w:rFonts w:ascii="Calibri" w:hAnsi="Calibri"/>
          <w:b/>
          <w:i w:val="0"/>
          <w:color w:val="222222"/>
          <w:sz w:val="22"/>
        </w:rPr>
        <w:t>Taxa de Reintervenção:</w:t>
      </w:r>
      <w:r>
        <w:rPr>
          <w:rFonts w:ascii="Calibri" w:hAnsi="Calibri"/>
          <w:b w:val="0"/>
          <w:i w:val="0"/>
          <w:color w:val="222222"/>
          <w:sz w:val="22"/>
        </w:rPr>
        <w:t xml:space="preserve"> A taxa de reintervenção cirúrgica (explante ou reposicionamento devido à falta de efeito ou aberrações induzidas) foi de $8.5\%$ no grupo ICE Alto vs. $35.0\%$ no grupo ICE Baixo ($p &lt; 0.001$).</w:t>
      </w:r>
    </w:p>
    <w:p>
      <w:pPr>
        <w:pStyle w:val="ListBullet"/>
        <w:spacing w:before="40" w:after="80" w:line="276" w:lineRule="auto"/>
      </w:pPr>
      <w:r>
        <w:rPr>
          <w:rFonts w:ascii="Calibri" w:hAnsi="Calibri"/>
          <w:b/>
          <w:i w:val="0"/>
          <w:color w:val="222222"/>
          <w:sz w:val="22"/>
        </w:rPr>
        <w:t>Superioridade Diagnóstica ROC:</w:t>
      </w:r>
      <w:r>
        <w:rPr>
          <w:rFonts w:ascii="Calibri" w:hAnsi="Calibri"/>
          <w:b w:val="0"/>
          <w:i w:val="0"/>
          <w:color w:val="222222"/>
          <w:sz w:val="22"/>
        </w:rPr>
        <w:t xml:space="preserve"> Para a predição de uma melhora visual clinicamente significativa de $\ge 3$ linhas de Snellen, o $ICE</w:t>
      </w:r>
      <w:r>
        <w:rPr>
          <w:rFonts w:ascii="Calibri" w:hAnsi="Calibri"/>
          <w:b w:val="0"/>
          <w:i/>
          <w:color w:val="222222"/>
          <w:sz w:val="22"/>
        </w:rPr>
        <w:t>{min}$ alcançou uma **AUC de 0.82** (IC 95%: 0.77–0.87), com um **limiar de triagem ideal de $ICE</w:t>
      </w:r>
      <w:r>
        <w:rPr>
          <w:rFonts w:ascii="Calibri" w:hAnsi="Calibri"/>
          <w:b w:val="0"/>
          <w:i w:val="0"/>
          <w:color w:val="222222"/>
          <w:sz w:val="22"/>
        </w:rPr>
        <w:t>{min} &lt; 28^\circ$ (Sensibilidade: 78%, Especificidade: 84%)</w:t>
      </w:r>
      <w:r>
        <w:rPr>
          <w:rFonts w:ascii="Calibri" w:hAnsi="Calibri"/>
          <w:b/>
          <w:i w:val="0"/>
          <w:color w:val="222222"/>
          <w:sz w:val="22"/>
        </w:rPr>
      </w:r>
      <w:r>
        <w:rPr>
          <w:rFonts w:ascii="Calibri" w:hAnsi="Calibri"/>
          <w:b w:val="0"/>
          <w:i w:val="0"/>
          <w:color w:val="222222"/>
          <w:sz w:val="22"/>
        </w:rPr>
        <w:t>. Em comparação, os parâmetros tradicionais tiveram um desempenho insatisfatório: o $K</w:t>
      </w:r>
      <w:r>
        <w:rPr>
          <w:rFonts w:ascii="Calibri" w:hAnsi="Calibri"/>
          <w:b w:val="0"/>
          <w:i/>
          <w:color w:val="222222"/>
          <w:sz w:val="22"/>
        </w:rPr>
        <w:t>{max}$ alcançou uma AUC de 0.68 (IC 95%: 0.61–0.75) e a paquimetria local alcançou uma AUC de 0.64 (IC 95%: 0.57–0.71). A superioridade do $ICE</w:t>
      </w:r>
      <w:r>
        <w:rPr>
          <w:rFonts w:ascii="Calibri" w:hAnsi="Calibri"/>
          <w:b w:val="0"/>
          <w:i w:val="0"/>
          <w:color w:val="222222"/>
          <w:sz w:val="22"/>
        </w:rPr>
        <w:t>{min}$ foi confirmada estatisticamente por meio do teste de DeLong ($p = 0.012$).</w:t>
      </w:r>
    </w:p>
    <w:p>
      <w:pPr>
        <w:pStyle w:val="ListBullet"/>
        <w:spacing w:before="40" w:after="80" w:line="276" w:lineRule="auto"/>
      </w:pPr>
      <w:r>
        <w:rPr>
          <w:rFonts w:ascii="Calibri" w:hAnsi="Calibri"/>
          <w:b/>
          <w:i w:val="0"/>
          <w:color w:val="222222"/>
          <w:sz w:val="22"/>
        </w:rPr>
        <w:t>Controle Multivariado:</w:t>
      </w:r>
      <w:r>
        <w:rPr>
          <w:rFonts w:ascii="Calibri" w:hAnsi="Calibri"/>
          <w:b w:val="0"/>
          <w:i w:val="0"/>
          <w:color w:val="222222"/>
          <w:sz w:val="22"/>
        </w:rPr>
        <w:t xml:space="preserve"> Em um modelo de regressão linear multivariada ($R^2 = 0.42$), o $ICE</w:t>
      </w:r>
      <w:r>
        <w:rPr>
          <w:rFonts w:ascii="Calibri" w:hAnsi="Calibri"/>
          <w:b w:val="0"/>
          <w:i/>
          <w:color w:val="222222"/>
          <w:sz w:val="22"/>
        </w:rPr>
        <w:t>{min}$ permaneceu como um preditor independente altamente significativo do ganho visual pós-operatório ($\beta = -0.62$ para cada $10^\circ$ de desalinhamento, $p &lt; 0.001$), enquanto as métricas estruturais tradicionais, como o $K</w:t>
      </w:r>
      <w:r>
        <w:rPr>
          <w:rFonts w:ascii="Calibri" w:hAnsi="Calibri"/>
          <w:b w:val="0"/>
          <w:i w:val="0"/>
          <w:color w:val="222222"/>
          <w:sz w:val="22"/>
        </w:rPr>
        <w:t>{max}$ ($\beta = -0.08, p = 0.12$) e a paquimetria central ($\beta = 0.04, p = 0.18$), perderam completamente a significância estatística.</w:t>
      </w:r>
    </w:p>
    <w:p>
      <w:pPr>
        <w:pStyle w:val="Heading3"/>
      </w:pPr>
      <w:r/>
      <w:r>
        <w:rPr>
          <w:rFonts w:ascii="Calibri" w:hAnsi="Calibri"/>
          <w:b w:val="0"/>
          <w:i w:val="0"/>
          <w:color w:val="1B365D"/>
          <w:sz w:val="24"/>
        </w:rPr>
        <w:t>5.2.4 Lógica de Classificação</w:t>
      </w:r>
    </w:p>
    <w:p>
      <w:r>
        <w:rPr>
          <w:rFonts w:ascii="Calibri" w:hAnsi="Calibri"/>
          <w:b w:val="0"/>
          <w:i w:val="0"/>
          <w:color w:val="222222"/>
          <w:sz w:val="22"/>
        </w:rPr>
        <w:t>A classificação óptica composta segue a regra do pior critério:</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todos os quatro critérios na coluna Favorável.</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pelo menos um critério na coluna Intermediário, nenhum na coluna Desfavorável.</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qualquer critério na coluna Desfavorável.</w:t>
      </w:r>
    </w:p>
    <w:p>
      <w:r>
        <w:rPr>
          <w:rFonts w:ascii="Calibri" w:hAnsi="Calibri"/>
          <w:b w:val="0"/>
          <w:i w:val="0"/>
          <w:color w:val="222222"/>
          <w:sz w:val="22"/>
        </w:rPr>
        <w:t>Essa lógica conservadora reflete a realidade clínica de que um único parâmetro gravemente anormal pode dominar o resultado visual. Um paciente com RMS de coma de 1.8 μm, mas com RMS de HOA total de 4.5 μm (induzido, por exemplo, por um trevo elevado) é classificado como O−, apesar do valor favorável de coma, porque o ICRS deixará o resíduo dominado pelo trevo essencialmente inalterado.</w:t>
      </w:r>
    </w:p>
    <w:p>
      <w:r>
        <w:rPr>
          <w:rFonts w:ascii="Calibri" w:hAnsi="Calibri"/>
          <w:b w:val="0"/>
          <w:i w:val="0"/>
          <w:color w:val="222222"/>
          <w:sz w:val="22"/>
        </w:rPr>
        <w:t>A classificação O é registrada no perfil AVBC do paciente e revisitada aos seis meses de pós-operatório. Pacientes inicialmente classificados como O~ que demonstram uma mudança para O+ após a estabilização induzida pelo cross-linking podem se tornar candidatos a um implante secundário de ICRS, ilustrando a natureza dinâmica do modelo.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5.3 Módulo T — Morfologia Topográfica</w:t>
      </w:r>
    </w:p>
    <w:p>
      <w:pPr>
        <w:pStyle w:val="Heading3"/>
      </w:pPr>
      <w:r/>
      <w:r>
        <w:rPr>
          <w:rFonts w:ascii="Calibri" w:hAnsi="Calibri"/>
          <w:b w:val="0"/>
          <w:i w:val="0"/>
          <w:color w:val="1B365D"/>
          <w:sz w:val="24"/>
        </w:rPr>
        <w:t>5.3.1 Arquétipos Morfológicos</w:t>
      </w:r>
    </w:p>
    <w:p>
      <w:r>
        <w:rPr>
          <w:rFonts w:ascii="Calibri" w:hAnsi="Calibri"/>
          <w:b w:val="0"/>
          <w:i w:val="0"/>
          <w:color w:val="222222"/>
          <w:sz w:val="22"/>
        </w:rPr>
        <w:t xml:space="preserve">A topografia corneana fornece as informações espaciais necessárias para determinar </w:t>
      </w:r>
      <w:r>
        <w:rPr>
          <w:rFonts w:ascii="Calibri" w:hAnsi="Calibri"/>
          <w:b/>
          <w:i w:val="0"/>
          <w:color w:val="222222"/>
          <w:sz w:val="22"/>
        </w:rPr>
        <w:t>onde</w:t>
      </w:r>
      <w:r>
        <w:rPr>
          <w:rFonts w:ascii="Calibri" w:hAnsi="Calibri"/>
          <w:b w:val="0"/>
          <w:i w:val="0"/>
          <w:color w:val="222222"/>
          <w:sz w:val="22"/>
        </w:rPr>
        <w:t xml:space="preserve"> o processo ectático está centrado, como ele se estende e como a geometria do cone interage com o eixo visual. Embora os índices escalares, como o $K</w:t>
      </w:r>
      <w:r>
        <w:rPr>
          <w:rFonts w:ascii="Calibri" w:hAnsi="Calibri"/>
          <w:b w:val="0"/>
          <w:i/>
          <w:color w:val="222222"/>
          <w:sz w:val="22"/>
        </w:rPr>
        <w:t>{max}$ e o índice KISA% (Rabinowitz e McDonnell, 1989), sejam valiosos para triagem e estadiamento, eles são insuficientes para o planejamento do ICRS porque duas córneas com valores idênticos de $K</w:t>
      </w:r>
      <w:r>
        <w:rPr>
          <w:rFonts w:ascii="Calibri" w:hAnsi="Calibri"/>
          <w:b w:val="0"/>
          <w:i w:val="0"/>
          <w:color w:val="222222"/>
          <w:sz w:val="22"/>
        </w:rPr>
        <w:t>{max}$ podem apresentar morfologias de cone radicalmente diferentes — e, portanto, exigir configurações de anel distintas.</w:t>
      </w:r>
    </w:p>
    <w:p>
      <w:r>
        <w:rPr>
          <w:rFonts w:ascii="Calibri" w:hAnsi="Calibri"/>
          <w:b w:val="0"/>
          <w:i w:val="0"/>
          <w:color w:val="222222"/>
          <w:sz w:val="22"/>
        </w:rPr>
        <w:t xml:space="preserve">O Módulo T classifica a córnea ectática em um de cinco arquétipos morfológicos com base no mapa de curvatura tangencial anterior e no mapa de elevação posterior da esfera de melhor ajuste (BFS - </w:t>
      </w:r>
      <w:r>
        <w:rPr>
          <w:rFonts w:ascii="Calibri" w:hAnsi="Calibri"/>
          <w:b w:val="0"/>
          <w:i/>
          <w:color w:val="222222"/>
          <w:sz w:val="22"/>
        </w:rPr>
        <w:t>best-fit-sphere</w:t>
      </w:r>
      <w:r>
        <w:rPr>
          <w:rFonts w:ascii="Calibri" w:hAnsi="Calibri"/>
          <w:b w:val="0"/>
          <w:i w:val="0"/>
          <w:color w:val="222222"/>
          <w:sz w:val="22"/>
        </w:rPr>
        <w:t>). Esses arquétipos, derivados da taxonomia clínica de Alió e Shabayek (2006) e refinados sob a perspectiva biomecânica do modelo da AVBC, são os seguintes:</w:t>
      </w:r>
    </w:p>
    <w:p>
      <w:pPr>
        <w:pStyle w:val="ListNumber"/>
        <w:spacing w:before="40" w:after="80" w:line="276" w:lineRule="auto"/>
      </w:pPr>
      <w:r>
        <w:rPr>
          <w:rFonts w:ascii="Calibri" w:hAnsi="Calibri"/>
          <w:b/>
          <w:i w:val="0"/>
          <w:color w:val="222222"/>
          <w:sz w:val="22"/>
        </w:rPr>
        <w:t>Oval Central.</w:t>
      </w:r>
      <w:r>
        <w:rPr>
          <w:rFonts w:ascii="Calibri" w:hAnsi="Calibri"/>
          <w:b w:val="0"/>
          <w:i w:val="0"/>
          <w:color w:val="222222"/>
          <w:sz w:val="22"/>
        </w:rPr>
        <w:t xml:space="preserve"> O cone está centrado a menos de 1 mm do ápice corneano e se apresenta como uma ilha aproximadamente simétrica de curvatura elevada. O $K_{max}$ está tipicamente localizado dentro da zona central de 2 mm. Este padrão é o mais favorável para o implante de segmento duplo simétrico porque o anel atua de forma concêntrica ao redor do cone.</w:t>
      </w:r>
    </w:p>
    <w:p>
      <w:pPr>
        <w:pStyle w:val="ListNumber"/>
        <w:spacing w:before="40" w:after="80" w:line="276" w:lineRule="auto"/>
      </w:pPr>
      <w:r>
        <w:rPr>
          <w:rFonts w:ascii="Calibri" w:hAnsi="Calibri"/>
          <w:b/>
          <w:i w:val="0"/>
          <w:color w:val="222222"/>
          <w:sz w:val="22"/>
        </w:rPr>
        <w:t>Mamilo Inferior (Nipple).</w:t>
      </w:r>
      <w:r>
        <w:rPr>
          <w:rFonts w:ascii="Calibri" w:hAnsi="Calibri"/>
          <w:b w:val="0"/>
          <w:i w:val="0"/>
          <w:color w:val="222222"/>
          <w:sz w:val="22"/>
        </w:rPr>
        <w:t xml:space="preserve"> Um cone de pequeno diâmetro (&lt; 3 mm) e alto gradiente, deslocado inferiormente, tipicamente entre os meridianos de 5 e 7 horas. O gradiente acentuado de curvatura produz coma elevado e marcada assimetria inferior-superior. São indicados segmentos inferiores únicos ou duplos assimétricos.</w:t>
      </w:r>
    </w:p>
    <w:p>
      <w:pPr>
        <w:pStyle w:val="ListNumber"/>
        <w:spacing w:before="40" w:after="80" w:line="276" w:lineRule="auto"/>
      </w:pPr>
      <w:r>
        <w:rPr>
          <w:rFonts w:ascii="Calibri" w:hAnsi="Calibri"/>
          <w:b/>
          <w:i w:val="0"/>
          <w:color w:val="222222"/>
          <w:sz w:val="22"/>
        </w:rPr>
        <w:t>Crescente Paracentral.</w:t>
      </w:r>
      <w:r>
        <w:rPr>
          <w:rFonts w:ascii="Calibri" w:hAnsi="Calibri"/>
          <w:b w:val="0"/>
          <w:i w:val="0"/>
          <w:color w:val="222222"/>
          <w:sz w:val="22"/>
        </w:rPr>
        <w:t xml:space="preserve"> Uma região de encurvamento em forma de arco que se estende do quadrante inferotemporal ao inferonasal, criando um padrão de crescente no mapa tangencial. Esta morfologia está associada a coma moderado e astigmatismo oblíquo significativo. O comprimento de arco do anel deve ser compatível com a extensão angular do crescente para evitar sub ou supercorreção.</w:t>
      </w:r>
    </w:p>
    <w:p>
      <w:pPr>
        <w:pStyle w:val="ListNumber"/>
        <w:spacing w:before="40" w:after="80" w:line="276" w:lineRule="auto"/>
      </w:pPr>
      <w:r>
        <w:rPr>
          <w:rFonts w:ascii="Calibri" w:hAnsi="Calibri"/>
          <w:b/>
          <w:i w:val="0"/>
          <w:color w:val="222222"/>
          <w:sz w:val="22"/>
        </w:rPr>
        <w:t>Formato em D Periférico (D-shape).</w:t>
      </w:r>
      <w:r>
        <w:rPr>
          <w:rFonts w:ascii="Calibri" w:hAnsi="Calibri"/>
          <w:b w:val="0"/>
          <w:i w:val="0"/>
          <w:color w:val="222222"/>
          <w:sz w:val="22"/>
        </w:rPr>
        <w:t xml:space="preserve"> A ectasia está deslocada em direção ao limbo, produzindo uma região ampla e de baixo gradiente de encurvamento que ocupa todo um hemisfério. O $K_{max}$ pode estar apenas modestamente elevado (&lt; 52 D), mas a assimetria é pronunciada. Como o cone é periférico, o braço de alavanca biomecânico do anel é mais curto, e segmentos mais espessos podem ser necessários para alcançar um aplanamento adequado.</w:t>
      </w:r>
    </w:p>
    <w:p>
      <w:pPr>
        <w:pStyle w:val="ListNumber"/>
        <w:spacing w:before="40" w:after="80" w:line="276" w:lineRule="auto"/>
      </w:pPr>
      <w:r>
        <w:rPr>
          <w:rFonts w:ascii="Calibri" w:hAnsi="Calibri"/>
          <w:b/>
          <w:i w:val="0"/>
          <w:color w:val="222222"/>
          <w:sz w:val="22"/>
        </w:rPr>
        <w:t>Globo (Globus) (&gt; 60 D).</w:t>
      </w:r>
      <w:r>
        <w:rPr>
          <w:rFonts w:ascii="Calibri" w:hAnsi="Calibri"/>
          <w:b w:val="0"/>
          <w:i w:val="0"/>
          <w:color w:val="222222"/>
          <w:sz w:val="22"/>
        </w:rPr>
        <w:t xml:space="preserve"> Toda a córnea é curva, com o $K_{max}$ excedendo 60 D e sem ápice de cone discernível. Este padrão representa o ceratocone avançado no qual o afinamento estromal é difuso. O implante de ICRS em córneas com padrão globo é controverso; a triagem do Módulo O frequentemente classificará esses pacientes como O−, mas em casos selecionados onde o coma continua sendo a aberração dominante, um anel de 360° ou uma configuração de segmento duplo espesso pode fornecer aplanamento suficiente para permitir a adaptação de lentes de contato.</w:t>
      </w:r>
    </w:p>
    <w:p>
      <w:pPr>
        <w:pStyle w:val="Heading3"/>
      </w:pPr>
      <w:r/>
      <w:r>
        <w:rPr>
          <w:rFonts w:ascii="Calibri" w:hAnsi="Calibri"/>
          <w:b w:val="0"/>
          <w:i w:val="0"/>
          <w:color w:val="1B365D"/>
          <w:sz w:val="24"/>
        </w:rPr>
        <w:t>5.3.2 O Eixo Neutro Mecânico (ENM)</w:t>
      </w:r>
    </w:p>
    <w:p>
      <w:r>
        <w:rPr>
          <w:rFonts w:ascii="Calibri" w:hAnsi="Calibri"/>
          <w:b w:val="0"/>
          <w:i w:val="0"/>
          <w:color w:val="222222"/>
          <w:sz w:val="22"/>
        </w:rPr>
        <w:t xml:space="preserve">Uma contribuição central do modelo da AVBC para a análise topográfica é a introdução do </w:t>
      </w:r>
      <w:r>
        <w:rPr>
          <w:rFonts w:ascii="Calibri" w:hAnsi="Calibri"/>
          <w:b/>
          <w:i w:val="0"/>
          <w:color w:val="222222"/>
          <w:sz w:val="22"/>
        </w:rPr>
        <w:t>Eixo Neutro Mecânico (ENM)</w:t>
      </w:r>
      <w:r>
        <w:rPr>
          <w:rFonts w:ascii="Calibri" w:hAnsi="Calibri"/>
          <w:b w:val="0"/>
          <w:i w:val="0"/>
          <w:color w:val="222222"/>
          <w:sz w:val="22"/>
        </w:rPr>
        <w:t>. O ENM é definido como o meridiano ao longo do qual o deslocamento estromal posterior atinge seu valor máximo no modelo de elementos finitos da córnea personalizada sob pressão intraocular (PIO) fisiológica. Conceitualmente, é o eixo em torno do qual a córnea 'flamba' sob o processo ectático.</w:t>
      </w:r>
    </w:p>
    <w:p>
      <w:r>
        <w:rPr>
          <w:rFonts w:ascii="Calibri" w:hAnsi="Calibri"/>
          <w:b w:val="0"/>
          <w:i w:val="0"/>
          <w:color w:val="222222"/>
          <w:sz w:val="22"/>
        </w:rPr>
        <w:t>Na prática clínica clássica, o meridiano ceratométrico mais curvo ($K</w:t>
      </w:r>
      <w:r>
        <w:rPr>
          <w:rFonts w:ascii="Calibri" w:hAnsi="Calibri"/>
          <w:b w:val="0"/>
          <w:i/>
          <w:color w:val="222222"/>
          <w:sz w:val="22"/>
        </w:rPr>
        <w:t>{steep}$) é utilizado como um substituto para a orientação do cone, e os segmentos de anel são posicionados em relação a este eixo. No entanto, simulações de elementos finitos revelam que o $K</w:t>
      </w:r>
      <w:r>
        <w:rPr>
          <w:rFonts w:ascii="Calibri" w:hAnsi="Calibri"/>
          <w:b w:val="0"/>
          <w:i w:val="0"/>
          <w:color w:val="222222"/>
          <w:sz w:val="22"/>
        </w:rPr>
        <w:t xml:space="preserve">{steep}$ e o ENM divergem em mais de 10° em aproximadamente </w:t>
      </w:r>
      <w:r>
        <w:rPr>
          <w:rFonts w:ascii="Calibri" w:hAnsi="Calibri"/>
          <w:b/>
          <w:i w:val="0"/>
          <w:color w:val="222222"/>
          <w:sz w:val="22"/>
        </w:rPr>
        <w:t>40% dos casos</w:t>
      </w:r>
      <w:r>
        <w:rPr>
          <w:rFonts w:ascii="Calibri" w:hAnsi="Calibri"/>
          <w:b w:val="0"/>
          <w:i w:val="0"/>
          <w:color w:val="222222"/>
          <w:sz w:val="22"/>
        </w:rPr>
        <w:t>, com discordâncias que excedem 25° em 12% dos casos. A origem dessa divergência reside na distinção entre a curvatura da superfície (que o $K_{steep}$ mede) e a deformação volumétrica (que o ENM captura). Uma córnea com paquimetria assimétrica — mais fina nasalmente do que temporalmente, por exemplo — exibirá deslocamento posterior máximo ao longo de um meridiano que está rotacionado em relação ao pico de curvatura anterior, porque a região mais fina se deforma preferencialmente sob a carga da PIO.</w:t>
      </w:r>
    </w:p>
    <w:p>
      <w:r>
        <w:rPr>
          <w:rFonts w:ascii="Calibri" w:hAnsi="Calibri"/>
          <w:b w:val="0"/>
          <w:i w:val="0"/>
          <w:color w:val="222222"/>
          <w:sz w:val="22"/>
        </w:rPr>
        <w:t>A consequência clínica da discordância entre o ENM e o $K</w:t>
      </w:r>
      <w:r>
        <w:rPr>
          <w:rFonts w:ascii="Calibri" w:hAnsi="Calibri"/>
          <w:b w:val="0"/>
          <w:i/>
          <w:color w:val="222222"/>
          <w:sz w:val="22"/>
        </w:rPr>
        <w:t>{steep}$ é significativa. Quando um segmento de anel é alinhado ao $K</w:t>
      </w:r>
      <w:r>
        <w:rPr>
          <w:rFonts w:ascii="Calibri" w:hAnsi="Calibri"/>
          <w:b w:val="0"/>
          <w:i w:val="0"/>
          <w:color w:val="222222"/>
          <w:sz w:val="22"/>
        </w:rPr>
        <w:t>{steep}$ em vez do ENM, o efeito de regularização biomecânica ($V_T$) é subotimizado porque o implante não abrange o verdadeiro eixo de deformação máxima. Estudos paramétricos de elementos finitos mostram que um desalinhamento de 20° entre a posição do anel e o ENM reduz a regularização da tensão tangencial em aproximadamente 15%, um efeito que não é capturado por nomogramas baseados em topografia.</w:t>
      </w:r>
    </w:p>
    <w:p>
      <w:r>
        <w:rPr>
          <w:rFonts w:ascii="Calibri" w:hAnsi="Calibri"/>
          <w:b w:val="0"/>
          <w:i w:val="0"/>
          <w:color w:val="222222"/>
          <w:sz w:val="22"/>
        </w:rPr>
        <w:t>O Módulo T, portanto, exige que tanto o eixo $K</w:t>
      </w:r>
      <w:r>
        <w:rPr>
          <w:rFonts w:ascii="Calibri" w:hAnsi="Calibri"/>
          <w:b w:val="0"/>
          <w:i/>
          <w:color w:val="222222"/>
          <w:sz w:val="22"/>
        </w:rPr>
        <w:t>{steep}$ quanto o eixo do ENM sejam registrados. Quando os dois divergem por mais de 15°, o protocolo da AVBC especifica que o posicionamento do anel deve ser referenciado ao ENM, em vez de ao $K</w:t>
      </w:r>
      <w:r>
        <w:rPr>
          <w:rFonts w:ascii="Calibri" w:hAnsi="Calibri"/>
          <w:b w:val="0"/>
          <w:i w:val="0"/>
          <w:color w:val="222222"/>
          <w:sz w:val="22"/>
        </w:rPr>
        <w:t>{steep}$. O ENM pode ser estimado clinicamente por meio de tomografia de elevação posterior (Scheimpflug ou OCT de segmento anterior) identificando-se o meridiano de elevação posterior máxima no mapa de diferença BFS posterior, ou calculado diretamente a partir de um modelo de elementos finitos personalizado do paciente, quando disponível.</w:t>
      </w:r>
    </w:p>
    <w:p>
      <w:pPr>
        <w:pStyle w:val="Heading3"/>
      </w:pPr>
      <w:r/>
      <w:r>
        <w:rPr>
          <w:rFonts w:ascii="Calibri" w:hAnsi="Calibri"/>
          <w:b w:val="0"/>
          <w:i w:val="0"/>
          <w:color w:val="1B365D"/>
          <w:sz w:val="24"/>
        </w:rPr>
        <w:t>5.3.3 Resultado Topográfico</w:t>
      </w:r>
    </w:p>
    <w:p>
      <w:r>
        <w:rPr>
          <w:rFonts w:ascii="Calibri" w:hAnsi="Calibri"/>
          <w:b w:val="0"/>
          <w:i w:val="0"/>
          <w:color w:val="222222"/>
          <w:sz w:val="22"/>
        </w:rPr>
        <w:t xml:space="preserve">O resultado do Módulo T é um descritor de dois elementos: </w:t>
      </w:r>
      <w:r>
        <w:rPr>
          <w:rFonts w:ascii="Calibri" w:hAnsi="Calibri"/>
          <w:b/>
          <w:i w:val="0"/>
          <w:color w:val="222222"/>
          <w:sz w:val="22"/>
        </w:rPr>
        <w:t>arquétipo</w:t>
      </w:r>
      <w:r>
        <w:rPr>
          <w:rFonts w:ascii="Calibri" w:hAnsi="Calibri"/>
          <w:b w:val="0"/>
          <w:i w:val="0"/>
          <w:color w:val="222222"/>
          <w:sz w:val="22"/>
        </w:rPr>
        <w:t xml:space="preserve"> e </w:t>
      </w:r>
      <w:r>
        <w:rPr>
          <w:rFonts w:ascii="Calibri" w:hAnsi="Calibri"/>
          <w:b/>
          <w:i w:val="0"/>
          <w:color w:val="222222"/>
          <w:sz w:val="22"/>
        </w:rPr>
        <w:t>azimute do ENM</w:t>
      </w:r>
      <w:r>
        <w:rPr>
          <w:rFonts w:ascii="Calibri" w:hAnsi="Calibri"/>
          <w:b w:val="0"/>
          <w:i w:val="0"/>
          <w:color w:val="222222"/>
          <w:sz w:val="22"/>
        </w:rPr>
        <w:t xml:space="preserve">. Por exemplo, um paciente pode ser classificado como </w:t>
      </w:r>
      <w:r>
        <w:rPr>
          <w:rFonts w:ascii="Calibri" w:hAnsi="Calibri"/>
          <w:b w:val="0"/>
          <w:i/>
          <w:color w:val="222222"/>
          <w:sz w:val="22"/>
        </w:rPr>
        <w:t>T: Mamilo Inferior, ENM 258°</w:t>
      </w:r>
      <w:r>
        <w:rPr>
          <w:rFonts w:ascii="Calibri" w:hAnsi="Calibri"/>
          <w:b w:val="0"/>
          <w:i w:val="0"/>
          <w:color w:val="222222"/>
          <w:sz w:val="22"/>
        </w:rPr>
        <w:t>. Este descritor alimenta diretamente o Módulo B, onde o arquétipo informa a escolha de segmentos únicos versus duplos e o azimute do ENM determina o meridiano de implante.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5.4 Módulo B — Seleção do Mecanismo Biomecânico</w:t>
      </w:r>
    </w:p>
    <w:p>
      <w:pPr>
        <w:pStyle w:val="Heading3"/>
      </w:pPr>
      <w:r/>
      <w:r>
        <w:rPr>
          <w:rFonts w:ascii="Calibri" w:hAnsi="Calibri"/>
          <w:b w:val="0"/>
          <w:i w:val="0"/>
          <w:color w:val="1B365D"/>
          <w:sz w:val="24"/>
        </w:rPr>
        <w:t>5.4.1 Da Intenção Clínica ao Vetor Biomecânico</w:t>
      </w:r>
    </w:p>
    <w:p>
      <w:r>
        <w:rPr>
          <w:rFonts w:ascii="Calibri" w:hAnsi="Calibri"/>
          <w:b w:val="0"/>
          <w:i w:val="0"/>
          <w:color w:val="222222"/>
          <w:sz w:val="22"/>
        </w:rPr>
        <w:t>O módulo biomecânico traduz a intenção terapêutica do cirurgião em uma prescrição quantitativa, mapeando cada objetivo clínico a um vetor biomecânico específico e, por meio desse vetor, a um parâmetro de design de anel controlável. A arquitetura conceitual desse mapeamento foi estabelecida nos Capítulos 3 e 4 por meio da análise sistemática de elementos finitos de 28 configurações simétricas de ICRS em um modelo corneano de Holzapfel–Gasser–Ogden (HGO) ($c = 0.05$ MPa, $k</w:t>
      </w:r>
      <w:r>
        <w:rPr>
          <w:rFonts w:ascii="Calibri" w:hAnsi="Calibri"/>
          <w:b w:val="0"/>
          <w:i/>
          <w:color w:val="222222"/>
          <w:sz w:val="22"/>
        </w:rPr>
        <w:t>1 = 0.22$ MPa, $k</w:t>
      </w:r>
      <w:r>
        <w:rPr>
          <w:rFonts w:ascii="Calibri" w:hAnsi="Calibri"/>
          <w:b w:val="0"/>
          <w:i w:val="0"/>
          <w:color w:val="222222"/>
          <w:sz w:val="22"/>
        </w:rPr>
        <w:t>2 = 100$, $\kappa = 0.09$, módulo de compressão volumétrica $k = 4.76$ MPa). O Módulo B codifica esses achados em uma matriz de decisão clínica.</w:t>
      </w:r>
    </w:p>
    <w:p>
      <w:r>
        <w:rPr>
          <w:rFonts w:ascii="Calibri" w:hAnsi="Calibri"/>
          <w:b w:val="0"/>
          <w:i w:val="0"/>
          <w:color w:val="222222"/>
          <w:sz w:val="22"/>
        </w:rPr>
        <w:t>Os três vetores biomecânicos e suas correspondências estão resumidos na Tabela 5.2.</w:t>
      </w:r>
    </w:p>
    <w:p>
      <w:r>
        <w:rPr>
          <w:rFonts w:ascii="Calibri" w:hAnsi="Calibri"/>
          <w:b/>
          <w:i w:val="0"/>
          <w:color w:val="222222"/>
          <w:sz w:val="22"/>
        </w:rPr>
        <w:t>Tabela 5.2.</w:t>
      </w:r>
      <w:r>
        <w:rPr>
          <w:rFonts w:ascii="Calibri" w:hAnsi="Calibri"/>
          <w:b w:val="0"/>
          <w:i w:val="0"/>
          <w:color w:val="222222"/>
          <w:sz w:val="22"/>
        </w:rPr>
        <w:t xml:space="preserve"> Mapeamento vetor-parâmetro para o design biomecânico do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Grandeza Física</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(FEM)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Correlato Clínico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de Controle do Anel</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radial $\Delta u_r$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$\Delta K$ (aplanamento corneano)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do segmento</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V_T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Tensão tangencial de aro $\Delta\sigma_{\theta\theta}$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$\Delta Cyl$ (regularização astigmática)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 (varredura)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Proxy torsional $\sum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\Delta u</w:t>
            </w:r>
            <w:r>
              <w:rPr>
                <w:rFonts w:ascii="Calibri" w:hAnsi="Calibri"/>
                <w:b w:val="0"/>
                <w:i/>
                <w:color w:val="222222"/>
                <w:sz w:val="19"/>
              </w:rPr>
              <w:t>i - \Delta u</w:t>
            </w:r>
            <w:r>
              <w:rPr>
                <w:rFonts w:ascii="Calibri" w:hAnsi="Calibri"/>
                <w:b w:val="0"/>
                <w:i w:val="0"/>
                <w:color w:val="222222"/>
                <w:sz w:val="19"/>
              </w:rPr>
              <w:t>{i-1}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r_i \Delta\theta$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 (simétrico)</w:t>
            </w:r>
          </w:p>
        </w:tc>
      </w:tr>
    </w:tbl>
    <w:p>
      <w:pPr>
        <w:spacing w:before="120" w:after="120"/>
      </w:pPr>
    </w:p>
    <w:p>
      <w:pPr>
        <w:pStyle w:val="Heading3"/>
      </w:pPr>
      <w:r/>
      <w:r>
        <w:rPr>
          <w:rFonts w:ascii="Calibri" w:hAnsi="Calibri"/>
          <w:b w:val="0"/>
          <w:i w:val="0"/>
          <w:color w:val="1B365D"/>
          <w:sz w:val="24"/>
        </w:rPr>
        <w:t>5.4.2 V_R: O Vetor de Aplanamento</w:t>
      </w:r>
    </w:p>
    <w:p>
      <w:r>
        <w:rPr>
          <w:rFonts w:ascii="Calibri" w:hAnsi="Calibri"/>
          <w:b w:val="0"/>
          <w:i w:val="0"/>
          <w:color w:val="222222"/>
          <w:sz w:val="22"/>
        </w:rPr>
        <w:t>O vetor de deslocamento radial $V</w:t>
      </w:r>
      <w:r>
        <w:rPr>
          <w:rFonts w:ascii="Calibri" w:hAnsi="Calibri"/>
          <w:b w:val="0"/>
          <w:i/>
          <w:color w:val="222222"/>
          <w:sz w:val="22"/>
        </w:rPr>
        <w:t>R$ quantifica o deslocamento centripeto (apical) da superfície corneana anterior induzido pelo segmento de anel. Na varredura paramétrica de FEM, o $V</w:t>
      </w:r>
      <w:r>
        <w:rPr>
          <w:rFonts w:ascii="Calibri" w:hAnsi="Calibri"/>
          <w:b w:val="0"/>
          <w:i w:val="0"/>
          <w:color w:val="222222"/>
          <w:sz w:val="22"/>
        </w:rPr>
        <w:t>R$ variou de 8.9 μm para a configuração de arco parcial mais fina a 19.9 μm para o arco parcial mais espesso, enquanto o anel completo de 360° produziu o valor extremo de 125.9 μm (uma redução de 65% em relação ao deslocamento apical inicial de 360.9 μm a 15 mmHg de PIO). A tradução clínica do $V_R$ é direta: maior deslocamento centripeto produz maior aplanamento central, o que se mapeia como uma redução no poder ceratométrico ($\Delta K$).</w:t>
      </w:r>
    </w:p>
    <w:p>
      <w:r>
        <w:rPr>
          <w:rFonts w:ascii="Calibri" w:hAnsi="Calibri"/>
          <w:b w:val="0"/>
          <w:i w:val="0"/>
          <w:color w:val="222222"/>
          <w:sz w:val="22"/>
        </w:rPr>
        <w:t>Um achado crítico da análise paramétrica é que o $V</w:t>
      </w:r>
      <w:r>
        <w:rPr>
          <w:rFonts w:ascii="Calibri" w:hAnsi="Calibri"/>
          <w:b w:val="0"/>
          <w:i/>
          <w:color w:val="222222"/>
          <w:sz w:val="22"/>
        </w:rPr>
        <w:t>R$ é **insensível ao arco de varredura** para arcos parciais: configurações abrangendo de 90° a 320° produziram valores de $V</w:t>
      </w:r>
      <w:r>
        <w:rPr>
          <w:rFonts w:ascii="Calibri" w:hAnsi="Calibri"/>
          <w:b w:val="0"/>
          <w:i w:val="0"/>
          <w:color w:val="222222"/>
          <w:sz w:val="22"/>
        </w:rPr>
        <w:t xml:space="preserve">R$ agrupados na faixa estreita de 19.2–19.9 μm quando a espessura do segmento foi mantida constante. Essa insensibilidade implica que o cirurgião que deseja aumentar o aplanamento deve aumentar a </w:t>
      </w:r>
      <w:r>
        <w:rPr>
          <w:rFonts w:ascii="Calibri" w:hAnsi="Calibri"/>
          <w:b/>
          <w:i w:val="0"/>
          <w:color w:val="222222"/>
          <w:sz w:val="22"/>
        </w:rPr>
        <w:t>espessura do segmento</w:t>
      </w:r>
      <w:r>
        <w:rPr>
          <w:rFonts w:ascii="Calibri" w:hAnsi="Calibri"/>
          <w:b w:val="0"/>
          <w:i w:val="0"/>
          <w:color w:val="222222"/>
          <w:sz w:val="22"/>
        </w:rPr>
        <w:t xml:space="preserve"> em vez de estender o arco. O corolário prático é que o aplanamento pode ser titulado independentemente da regularização, uma propriedade que é central para a ortogonalidade do espaço vetorial da AVBC.</w:t>
      </w:r>
    </w:p>
    <w:p>
      <w:pPr>
        <w:pStyle w:val="Heading3"/>
      </w:pPr>
      <w:r/>
      <w:r>
        <w:rPr>
          <w:rFonts w:ascii="Calibri" w:hAnsi="Calibri"/>
          <w:b w:val="0"/>
          <w:i w:val="0"/>
          <w:color w:val="1B365D"/>
          <w:sz w:val="24"/>
        </w:rPr>
        <w:t>5.4.3 V_T: O Vetor de Regularização</w:t>
      </w:r>
    </w:p>
    <w:p>
      <w:r>
        <w:rPr>
          <w:rFonts w:ascii="Calibri" w:hAnsi="Calibri"/>
          <w:b w:val="0"/>
          <w:i w:val="0"/>
          <w:color w:val="222222"/>
          <w:sz w:val="22"/>
        </w:rPr>
        <w:t>O vetor de tensão tangencial de aro $V</w:t>
      </w:r>
      <w:r>
        <w:rPr>
          <w:rFonts w:ascii="Calibri" w:hAnsi="Calibri"/>
          <w:b w:val="0"/>
          <w:i/>
          <w:color w:val="222222"/>
          <w:sz w:val="22"/>
        </w:rPr>
        <w:t>T$ captura a redistribuição da tensão circunferencial no estroma corneano produzida pelo segmento de anel. Na córnea basal (sem anel), a tensão tangencial média foi de 7.78 kPa. À medida que o comprimento do arco aumentou, o $V</w:t>
      </w:r>
      <w:r>
        <w:rPr>
          <w:rFonts w:ascii="Calibri" w:hAnsi="Calibri"/>
          <w:b w:val="0"/>
          <w:i w:val="0"/>
          <w:color w:val="222222"/>
          <w:sz w:val="22"/>
        </w:rPr>
        <w:t>T$ diminuiu monotonicamente de acordo com a regressão linear:</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Os pontos de dados individuais da varredura paramétrica de FEM são apresentados na Tabela 5.3.</w:t>
      </w:r>
    </w:p>
    <w:p>
      <w:r>
        <w:rPr>
          <w:rFonts w:ascii="Calibri" w:hAnsi="Calibri"/>
          <w:b/>
          <w:i w:val="0"/>
          <w:color w:val="222222"/>
          <w:sz w:val="22"/>
        </w:rPr>
        <w:t>Tabela 5.3.</w:t>
      </w:r>
      <w:r>
        <w:rPr>
          <w:rFonts w:ascii="Calibri" w:hAnsi="Calibri"/>
          <w:b w:val="0"/>
          <w:i w:val="0"/>
          <w:color w:val="222222"/>
          <w:sz w:val="22"/>
        </w:rPr>
        <w:t xml:space="preserve"> Tensão tangencial de aro como função da varredura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anel)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7.78</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 (ICRS 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r>
        <w:rPr>
          <w:rFonts w:ascii="Calibri" w:hAnsi="Calibri"/>
          <w:b w:val="0"/>
          <w:i w:val="0"/>
          <w:color w:val="222222"/>
          <w:sz w:val="22"/>
        </w:rPr>
        <w:t>O correlato clínico da redução de $V</w:t>
      </w:r>
      <w:r>
        <w:rPr>
          <w:rFonts w:ascii="Calibri" w:hAnsi="Calibri"/>
          <w:b w:val="0"/>
          <w:i/>
          <w:color w:val="222222"/>
          <w:sz w:val="22"/>
        </w:rPr>
        <w:t>T$ é a regularização astigmática: à medida que o anel redistribui a tensão de aro mais uniformemente ao redor da circunferência corneana, o gradiente de curvatura entre os meridianos mais curvo e mais plano diminui, reduzindo o cilindro corneano. A relação monotônica entre o comprimento do arco e o $V</w:t>
      </w:r>
      <w:r>
        <w:rPr>
          <w:rFonts w:ascii="Calibri" w:hAnsi="Calibri"/>
          <w:b w:val="0"/>
          <w:i w:val="0"/>
          <w:color w:val="222222"/>
          <w:sz w:val="22"/>
        </w:rPr>
        <w:t>T$ fornece ao cirurgião uma alavanca de controle contínua e previsível para a regularização.</w:t>
      </w:r>
    </w:p>
    <w:p>
      <w:r>
        <w:rPr>
          <w:rFonts w:ascii="Calibri" w:hAnsi="Calibri"/>
          <w:b w:val="0"/>
          <w:i w:val="0"/>
          <w:color w:val="222222"/>
          <w:sz w:val="22"/>
        </w:rPr>
        <w:t>A única anomalia na Tabela 5.3 — o ligeiro aumento no $V_T$ de 7.20 kPa a 320° para 7.29 kPa a 360° — reflete a transição topológica de um arco aberto para um anel fechado. O anel fechado restringe a córnea circunferencialmente, mas também introduz um efeito de rigidez de aro que aumenta marginalmente a tensão tangencial média. Esta não monotonicidade na extremidade da faixa de comprimento de arco não afeta a tomada de decisão clínica porque anéis completos de 360° raramente são implantados; a faixa clínica relevante é de 90° a 320°, dentro da qual o modelo linear se mantém com excelente fidelidade.</w:t>
      </w:r>
    </w:p>
    <w:p>
      <w:pPr>
        <w:pStyle w:val="Heading3"/>
      </w:pPr>
      <w:r/>
      <w:r>
        <w:rPr>
          <w:rFonts w:ascii="Calibri" w:hAnsi="Calibri"/>
          <w:b w:val="0"/>
          <w:i w:val="0"/>
          <w:color w:val="1B365D"/>
          <w:sz w:val="24"/>
        </w:rPr>
        <w:t>5.4.4 V_τ: O Vetor de Reposicionamento</w:t>
      </w:r>
    </w:p>
    <w:p>
      <w:r>
        <w:rPr>
          <w:rFonts w:ascii="Calibri" w:hAnsi="Calibri"/>
          <w:b w:val="0"/>
          <w:i w:val="0"/>
          <w:color w:val="222222"/>
          <w:sz w:val="22"/>
        </w:rPr>
        <w:t>O vetor torsional $V</w:t>
      </w:r>
      <w:r>
        <w:rPr>
          <w:rFonts w:ascii="Calibri" w:hAnsi="Calibri"/>
          <w:b w:val="0"/>
          <w:i/>
          <w:color w:val="222222"/>
          <w:sz w:val="22"/>
        </w:rPr>
        <w:t>\tau$ aborda o objetivo clínico mais desafiador: a migração do ápice do cone em direção ao eixo visual. Em todas as 28 simulações de anel simétrico da varredura paramétrica, o $V</w:t>
      </w:r>
      <w:r>
        <w:rPr>
          <w:rFonts w:ascii="Calibri" w:hAnsi="Calibri"/>
          <w:b w:val="0"/>
          <w:i w:val="0"/>
          <w:color w:val="222222"/>
          <w:sz w:val="22"/>
        </w:rPr>
        <w:t>\tau$ foi identicamente zero, confirmando por validação de elementos finitos que as configurações de anel simétrico não podem induzir deslocamento torsional líquido. Esse resultado não é trivial — demonstra que o grau de liberdade torsional é estritamente ortogonal a $V</w:t>
      </w:r>
      <w:r>
        <w:rPr>
          <w:rFonts w:ascii="Calibri" w:hAnsi="Calibri"/>
          <w:b w:val="0"/>
          <w:i/>
          <w:color w:val="222222"/>
          <w:sz w:val="22"/>
        </w:rPr>
        <w:t>R$ e $V</w:t>
      </w:r>
      <w:r>
        <w:rPr>
          <w:rFonts w:ascii="Calibri" w:hAnsi="Calibri"/>
          <w:b w:val="0"/>
          <w:i w:val="0"/>
          <w:color w:val="222222"/>
          <w:sz w:val="22"/>
        </w:rPr>
        <w:t>T$ no espaço de design simétrico.</w:t>
      </w:r>
    </w:p>
    <w:p>
      <w:r>
        <w:rPr>
          <w:rFonts w:ascii="Calibri" w:hAnsi="Calibri"/>
          <w:b w:val="0"/>
          <w:i w:val="0"/>
          <w:color w:val="222222"/>
          <w:sz w:val="22"/>
        </w:rPr>
        <w:t xml:space="preserve">Para ativar o $V_\tau$, o cirurgião deve introduzir </w:t>
      </w:r>
      <w:r>
        <w:rPr>
          <w:rFonts w:ascii="Calibri" w:hAnsi="Calibri"/>
          <w:b/>
          <w:i w:val="0"/>
          <w:color w:val="222222"/>
          <w:sz w:val="22"/>
        </w:rPr>
        <w:t>assimetria esquerda-direita</w:t>
      </w:r>
      <w:r>
        <w:rPr>
          <w:rFonts w:ascii="Calibri" w:hAnsi="Calibri"/>
          <w:b w:val="0"/>
          <w:i w:val="0"/>
          <w:color w:val="222222"/>
          <w:sz w:val="22"/>
        </w:rPr>
        <w:t>: espessuras de segmento diferentes em lados opostos do ENM, ou um único segmento em apenas um dos lados. O proxy torsional, definido como:</w:t>
      </w:r>
    </w:p>
    <w:p>
      <w:pPr>
        <w:spacing w:before="80" w:after="120" w:line="276" w:lineRule="auto"/>
        <w:ind w:left="720" w:right="720"/>
      </w:pPr>
      <w:r>
        <w:rPr>
          <w:rFonts w:ascii="Calibri" w:hAnsi="Calibri"/>
          <w:b w:val="0"/>
          <w:i w:val="0"/>
          <w:color w:val="334E68"/>
          <w:sz w:val="21"/>
        </w:rPr>
        <w:t>V</w:t>
      </w:r>
      <w:r>
        <w:rPr>
          <w:rFonts w:ascii="Calibri" w:hAnsi="Calibri"/>
          <w:b w:val="0"/>
          <w:i/>
          <w:color w:val="334E68"/>
          <w:sz w:val="21"/>
        </w:rPr>
        <w:t>τ,proxy = Σ |Δu</w:t>
      </w:r>
      <w:r>
        <w:rPr>
          <w:rFonts w:ascii="Calibri" w:hAnsi="Calibri"/>
          <w:b w:val="0"/>
          <w:i w:val="0"/>
          <w:color w:val="334E68"/>
          <w:sz w:val="21"/>
        </w:rPr>
        <w:t>z,i − Δu_z,i-1| × rᵢ × Δθ</w:t>
      </w:r>
    </w:p>
    <w:p>
      <w:r>
        <w:rPr>
          <w:rFonts w:ascii="Calibri" w:hAnsi="Calibri"/>
          <w:b w:val="0"/>
          <w:i w:val="0"/>
          <w:color w:val="222222"/>
          <w:sz w:val="22"/>
        </w:rPr>
        <w:t>quantifica a deformação assimétrica acumulada ao redor da circunferência corneana. Quando os segmentos esquerdo e direito diferem em espessura ou comprimento de arco, o proxy torna-se diferente de zero, e o ápice migra em direção ao lado do segmento mais espesso (ou mais longo). A magnitude do $V_\tau$, assim, prescreve o grau de assimetria necessário para reposicionar o cone por um determinado deslocamento angular ou linear.</w:t>
      </w:r>
    </w:p>
    <w:p>
      <w:pPr>
        <w:pStyle w:val="Heading3"/>
      </w:pPr>
      <w:r/>
      <w:r>
        <w:rPr>
          <w:rFonts w:ascii="Calibri" w:hAnsi="Calibri"/>
          <w:b w:val="0"/>
          <w:i w:val="0"/>
          <w:color w:val="1B365D"/>
          <w:sz w:val="24"/>
        </w:rPr>
        <w:t>5.4.5 Regras de Decisão</w:t>
      </w:r>
    </w:p>
    <w:p>
      <w:r>
        <w:rPr>
          <w:rFonts w:ascii="Calibri" w:hAnsi="Calibri"/>
          <w:b w:val="0"/>
          <w:i w:val="0"/>
          <w:color w:val="222222"/>
          <w:sz w:val="22"/>
        </w:rPr>
        <w:t>O Módulo B destila as correspondências vetor-parâmetro em três regras de decisão acionáveis:</w:t>
      </w:r>
    </w:p>
    <w:p>
      <w:pPr>
        <w:pStyle w:val="ListNumber"/>
        <w:spacing w:before="40" w:after="80" w:line="276" w:lineRule="auto"/>
      </w:pPr>
      <w:r>
        <w:rPr>
          <w:rFonts w:ascii="Calibri" w:hAnsi="Calibri"/>
          <w:b/>
          <w:i w:val="0"/>
          <w:color w:val="222222"/>
          <w:sz w:val="22"/>
        </w:rPr>
        <w:t>Aplanar → $V_R$ → Espessura.</w:t>
      </w:r>
      <w:r>
        <w:rPr>
          <w:rFonts w:ascii="Calibri" w:hAnsi="Calibri"/>
          <w:b w:val="0"/>
          <w:i w:val="0"/>
          <w:color w:val="222222"/>
          <w:sz w:val="22"/>
        </w:rPr>
        <w:t xml:space="preserve"> Se o objetivo clínico primário for reduzir o $K</w:t>
      </w:r>
      <w:r>
        <w:rPr>
          <w:rFonts w:ascii="Calibri" w:hAnsi="Calibri"/>
          <w:b w:val="0"/>
          <w:i/>
          <w:color w:val="222222"/>
          <w:sz w:val="22"/>
        </w:rPr>
        <w:t>{max}$ (ou seja, o paciente apresenta miopia elevada e um cone central ou paracentral íngreme), o cirurgião aumenta a espessura do segmento. O comprimento do arco é definido para o mínimo necessário para uma regularização adequada de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Regularizar → $V_T$ → Comprimento de arco.</w:t>
      </w:r>
      <w:r>
        <w:rPr>
          <w:rFonts w:ascii="Calibri" w:hAnsi="Calibri"/>
          <w:b w:val="0"/>
          <w:i w:val="0"/>
          <w:color w:val="222222"/>
          <w:sz w:val="22"/>
        </w:rPr>
        <w:t xml:space="preserve"> Se o objetivo primário for reduzir o cilindro corneano (ou seja, o paciente apresenta astigmatismo acentuado e uma morfologia em crescente ou formato em D), o cirurgião estende a varredura do arco. A espessura do segmento é definida para o mínimo necessário para um aplanamento adequado de $V_R$.</w:t>
      </w:r>
    </w:p>
    <w:p>
      <w:pPr>
        <w:pStyle w:val="ListNumber"/>
        <w:spacing w:before="40" w:after="80" w:line="276" w:lineRule="auto"/>
      </w:pPr>
      <w:r>
        <w:rPr>
          <w:rFonts w:ascii="Calibri" w:hAnsi="Calibri"/>
          <w:b/>
          <w:i w:val="0"/>
          <w:color w:val="222222"/>
          <w:sz w:val="22"/>
        </w:rPr>
        <w:t>Reposicionar → $V_\tau$ → Assimetria.</w:t>
      </w:r>
      <w:r>
        <w:rPr>
          <w:rFonts w:ascii="Calibri" w:hAnsi="Calibri"/>
          <w:b w:val="0"/>
          <w:i w:val="0"/>
          <w:color w:val="222222"/>
          <w:sz w:val="22"/>
        </w:rPr>
        <w:t xml:space="preserve"> Se o objetivo primário for deslocar o ápice do cone em direção ao eixo visual (ou seja, o paciente apresenta um cone em mamilo descentrado e coma elevado), o cirurgião introduz assimetria esquerda-direita na espessura do segmento ou no comprimento do arco. O grau de assimetria é titulado para a magnitude desejada de $V_\tau$.</w:t>
      </w:r>
    </w:p>
    <w:p>
      <w:r>
        <w:rPr>
          <w:rFonts w:ascii="Calibri" w:hAnsi="Calibri"/>
          <w:b w:val="0"/>
          <w:i w:val="0"/>
          <w:color w:val="222222"/>
          <w:sz w:val="22"/>
        </w:rPr>
        <w:t>Essas regras não são mutuamente exclusivas. Na maioria dos cenários clínicos, dois ou três objetivos coexistem, e o cirurgião deve equilibrar os três vetores simultaneamente. A ortogonalidade de $V</w:t>
      </w:r>
      <w:r>
        <w:rPr>
          <w:rFonts w:ascii="Calibri" w:hAnsi="Calibri"/>
          <w:b w:val="0"/>
          <w:i/>
          <w:color w:val="222222"/>
          <w:sz w:val="22"/>
        </w:rPr>
        <w:t>R$ e $V</w:t>
      </w:r>
      <w:r>
        <w:rPr>
          <w:rFonts w:ascii="Calibri" w:hAnsi="Calibri"/>
          <w:b w:val="0"/>
          <w:i w:val="0"/>
          <w:color w:val="222222"/>
          <w:sz w:val="22"/>
        </w:rPr>
        <w:t>T$ em relação aos seus parâmetros de controle (espessura e comprimento de arco, respectivamente) simplifica essa tarefa: as duas variáveis podem ser ajustadas independentemente sem contaminação cruzada, como demonstrado pelos dados de FEM. O $V</w:t>
      </w:r>
      <w:r>
        <w:rPr>
          <w:rFonts w:ascii="Calibri" w:hAnsi="Calibri"/>
          <w:b w:val="0"/>
          <w:i/>
          <w:color w:val="222222"/>
          <w:sz w:val="22"/>
        </w:rPr>
        <w:t>\tau$ introduz um acoplamento, porque a assimetria na espessura afeta o $V</w:t>
      </w:r>
      <w:r>
        <w:rPr>
          <w:rFonts w:ascii="Calibri" w:hAnsi="Calibri"/>
          <w:b w:val="0"/>
          <w:i w:val="0"/>
          <w:color w:val="222222"/>
          <w:sz w:val="22"/>
        </w:rPr>
        <w:t>R$ de forma diferencial nos dois lados; este acoplamento é gerenciado mantendo-se a espessura média constante enquanto se varia a proporção esquerda-direita.</w:t>
      </w:r>
    </w:p>
    <w:p>
      <w:pPr>
        <w:pStyle w:val="Heading3"/>
      </w:pPr>
      <w:r/>
      <w:r>
        <w:rPr>
          <w:rFonts w:ascii="Calibri" w:hAnsi="Calibri"/>
          <w:b w:val="0"/>
          <w:i w:val="0"/>
          <w:color w:val="1B365D"/>
          <w:sz w:val="24"/>
        </w:rPr>
        <w:t>5.4.6 Sensibilidade Paquimétrica</w:t>
      </w:r>
    </w:p>
    <w:p>
      <w:r>
        <w:rPr>
          <w:rFonts w:ascii="Calibri" w:hAnsi="Calibri"/>
          <w:b w:val="0"/>
          <w:i w:val="0"/>
          <w:color w:val="222222"/>
          <w:sz w:val="22"/>
        </w:rPr>
        <w:t>A resposta biomecânica da córnea ao implante de ICRS é modulada pela espessura estromal. Análises de sensibilidade por elementos finitos demonstraram que córneas finas (paquimetria central &lt; 430 μm) exibem uma sensibilidade de deslocamento radial $|\Delta u</w:t>
      </w:r>
      <w:r>
        <w:rPr>
          <w:rFonts w:ascii="Calibri" w:hAnsi="Calibri"/>
          <w:b w:val="0"/>
          <w:i/>
          <w:color w:val="222222"/>
          <w:sz w:val="22"/>
        </w:rPr>
        <w:t>z|$ de 34.1 μm, enquanto córneas espessas (&gt; 500 μm) exibem uma sensibilidade de 28.5 μm — uma diferença de 20%. Este achado tem implicações diretas para o Módulo B: em córneas finas, uma determinada espessura de segmento produz um $V</w:t>
      </w:r>
      <w:r>
        <w:rPr>
          <w:rFonts w:ascii="Calibri" w:hAnsi="Calibri"/>
          <w:b w:val="0"/>
          <w:i w:val="0"/>
          <w:color w:val="222222"/>
          <w:sz w:val="22"/>
        </w:rPr>
        <w:t>R$ proporcionalmente maior, e o cirurgião deve reduzir a espessura para evitar o superaplanamento (</w:t>
      </w:r>
      <w:r>
        <w:rPr>
          <w:rFonts w:ascii="Calibri" w:hAnsi="Calibri"/>
          <w:b w:val="0"/>
          <w:i/>
          <w:color w:val="222222"/>
          <w:sz w:val="22"/>
        </w:rPr>
        <w:t>over-flattening</w:t>
      </w:r>
      <w:r>
        <w:rPr>
          <w:rFonts w:ascii="Calibri" w:hAnsi="Calibri"/>
          <w:b w:val="0"/>
          <w:i w:val="0"/>
          <w:color w:val="222222"/>
          <w:sz w:val="22"/>
        </w:rPr>
        <w:t>). Por outro lado, em córneas espessas, um segmento mais espesso pode ser necessário para atingir o $\Delta K$ alvo. O protocolo da AVBC, portanto, inclui um fator de correção paquimétrica que ajusta a prescrição nominal de $V_R$ pela razão da paquimetria central do paciente para o valor de referência de 465 μm utilizado no modelo de FEM.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5.5 Integração de Domínios</w:t>
      </w:r>
    </w:p>
    <w:p>
      <w:pPr>
        <w:pStyle w:val="Heading3"/>
      </w:pPr>
      <w:r/>
      <w:r>
        <w:rPr>
          <w:rFonts w:ascii="Calibri" w:hAnsi="Calibri"/>
          <w:b w:val="0"/>
          <w:i w:val="0"/>
          <w:color w:val="1B365D"/>
          <w:sz w:val="24"/>
        </w:rPr>
        <w:t>5.5.1 O Fluxo O → T → B</w:t>
      </w:r>
    </w:p>
    <w:p>
      <w:r>
        <w:rPr>
          <w:rFonts w:ascii="Calibri" w:hAnsi="Calibri"/>
          <w:b w:val="0"/>
          <w:i w:val="0"/>
          <w:color w:val="222222"/>
          <w:sz w:val="22"/>
        </w:rPr>
        <w:t>Os três módulos são projetados para serem avaliados sequencialmente, com o resultado de cada um alimentando a entrada do próximo. O fluxo funciona da seguinte forma:</w:t>
      </w:r>
    </w:p>
    <w:p>
      <w:r>
        <w:rPr>
          <w:rFonts w:ascii="Calibri" w:hAnsi="Calibri"/>
          <w:b/>
          <w:i w:val="0"/>
          <w:color w:val="222222"/>
          <w:sz w:val="22"/>
        </w:rPr>
        <w:t>Passo 1: Módulo O — Triagem (Gate).</w:t>
      </w:r>
      <w:r>
        <w:rPr>
          <w:rFonts w:ascii="Calibri" w:hAnsi="Calibri"/>
          <w:b w:val="0"/>
          <w:i w:val="0"/>
          <w:color w:val="222222"/>
          <w:sz w:val="22"/>
        </w:rPr>
        <w:t xml:space="preserve"> A aberrometria de frente de onda é realizada, e o paciente é classificado como O+, O~ ou O−. Os pacientes classificados como O− são aconselhados sobre intervenções alternativas. Os pacientes classificados como O+ ou O~ avançam para o Passo 2.</w:t>
      </w:r>
    </w:p>
    <w:p>
      <w:r>
        <w:rPr>
          <w:rFonts w:ascii="Calibri" w:hAnsi="Calibri"/>
          <w:b/>
          <w:i w:val="0"/>
          <w:color w:val="222222"/>
          <w:sz w:val="22"/>
        </w:rPr>
        <w:t>Passo 2: Módulo T — Localização.</w:t>
      </w:r>
      <w:r>
        <w:rPr>
          <w:rFonts w:ascii="Calibri" w:hAnsi="Calibri"/>
          <w:b w:val="0"/>
          <w:i w:val="0"/>
          <w:color w:val="222222"/>
          <w:sz w:val="22"/>
        </w:rPr>
        <w:t xml:space="preserve"> Avaliam-se a tomografia tangencial anterior e a tomografia de elevação posterior. O cone é classificado em um de cinco arquétipos morfológicos. O azimute do ENM é determinado a partir do mapa de diferença BFS posterior (ou a partir de um modelo de FEM personalizado do paciente, se disponível). Registra-se a discordância entre o ENM e o $K_{steep}$. Se a discordância exceder 15°, o ENM é designado como o eixo de referência para o posicionamento do anel.</w:t>
      </w:r>
    </w:p>
    <w:p>
      <w:r>
        <w:rPr>
          <w:rFonts w:ascii="Calibri" w:hAnsi="Calibri"/>
          <w:b/>
          <w:i w:val="0"/>
          <w:color w:val="222222"/>
          <w:sz w:val="22"/>
        </w:rPr>
        <w:t>Passo 3: Módulo B — Prescrição.</w:t>
      </w:r>
      <w:r>
        <w:rPr>
          <w:rFonts w:ascii="Calibri" w:hAnsi="Calibri"/>
          <w:b w:val="0"/>
          <w:i w:val="0"/>
          <w:color w:val="222222"/>
          <w:sz w:val="22"/>
        </w:rPr>
        <w:t xml:space="preserve"> A intenção clínica é decomposta em objetivos de aplanamento, regularização e reposicionamento. Cada objetivo é mapeado para o vetor correspondente ($V</w:t>
      </w:r>
      <w:r>
        <w:rPr>
          <w:rFonts w:ascii="Calibri" w:hAnsi="Calibri"/>
          <w:b w:val="0"/>
          <w:i/>
          <w:color w:val="222222"/>
          <w:sz w:val="22"/>
        </w:rPr>
        <w:t>R$, $V</w:t>
      </w:r>
      <w:r>
        <w:rPr>
          <w:rFonts w:ascii="Calibri" w:hAnsi="Calibri"/>
          <w:b w:val="0"/>
          <w:i w:val="0"/>
          <w:color w:val="222222"/>
          <w:sz w:val="22"/>
        </w:rPr>
        <w:t>T$, $V</w:t>
      </w:r>
      <w:r>
        <w:rPr>
          <w:rFonts w:ascii="Calibri" w:hAnsi="Calibri"/>
          <w:b w:val="0"/>
          <w:i/>
          <w:color w:val="222222"/>
          <w:sz w:val="22"/>
        </w:rPr>
        <w:t>\tau$) e, a partir deste, para o parâmetro de controle do anel (espessura, comprimento do arco, assimetria). Aplica-se a correção paquimétrica ao $V</w:t>
      </w:r>
      <w:r>
        <w:rPr>
          <w:rFonts w:ascii="Calibri" w:hAnsi="Calibri"/>
          <w:b w:val="0"/>
          <w:i w:val="0"/>
          <w:color w:val="222222"/>
          <w:sz w:val="22"/>
        </w:rPr>
        <w:t>R$. A prescrição final do anel especifica: tipo de segmento (único ou duplo), espessura (por lado), varredura do arco (por lado) e meridiano de implante (referenciado ao ENM).</w:t>
      </w:r>
    </w:p>
    <w:p>
      <w:pPr>
        <w:pStyle w:val="Heading3"/>
      </w:pPr>
      <w:r/>
      <w:r>
        <w:rPr>
          <w:rFonts w:ascii="Calibri" w:hAnsi="Calibri"/>
          <w:b w:val="0"/>
          <w:i w:val="0"/>
          <w:color w:val="1B365D"/>
          <w:sz w:val="24"/>
        </w:rPr>
        <w:t>5.5.2 Fluxos de Caso Ilustrativos</w:t>
      </w:r>
    </w:p>
    <w:p>
      <w:r>
        <w:rPr>
          <w:rFonts w:ascii="Calibri" w:hAnsi="Calibri"/>
          <w:b/>
          <w:i w:val="0"/>
          <w:color w:val="222222"/>
          <w:sz w:val="22"/>
        </w:rPr>
        <w:t>Caso 1: O+ / Oval Central / Dominante em Aplanamento.</w:t>
      </w:r>
    </w:p>
    <w:p>
      <w:r>
        <w:rPr>
          <w:rFonts w:ascii="Calibri" w:hAnsi="Calibri"/>
          <w:b w:val="0"/>
          <w:i w:val="0"/>
          <w:color w:val="222222"/>
          <w:sz w:val="22"/>
        </w:rPr>
        <w:t>Um homem de 28 anos apresenta ceratocone estágio II (Amsler–Krumeich), $K</w:t>
      </w:r>
      <w:r>
        <w:rPr>
          <w:rFonts w:ascii="Calibri" w:hAnsi="Calibri"/>
          <w:b w:val="0"/>
          <w:i/>
          <w:color w:val="222222"/>
          <w:sz w:val="22"/>
        </w:rPr>
        <w:t>{max}$ de 49.5 D, RMS de coma de 1.9 μm, $\Delta$ Eixo de 8°, RMS de HOA total de 1.7 μm. A topografia mostra um cone oval central; ENM e $K</w:t>
      </w:r>
      <w:r>
        <w:rPr>
          <w:rFonts w:ascii="Calibri" w:hAnsi="Calibri"/>
          <w:b w:val="0"/>
          <w:i w:val="0"/>
          <w:color w:val="222222"/>
          <w:sz w:val="22"/>
        </w:rPr>
        <w:t>{steep}$ são concordantes em 272°. O objetivo primário é o aplanamento (alvo $\Delta K = -3.0$ D). O Módulo B prescreve: segmentos duplos simétricos, espessura de 250 μm, varredura de arco de 160° por segmento (para alcançar uma regularização moderada de $V</w:t>
      </w:r>
      <w:r>
        <w:rPr>
          <w:rFonts w:ascii="Calibri" w:hAnsi="Calibri"/>
          <w:b w:val="0"/>
          <w:i/>
          <w:color w:val="222222"/>
          <w:sz w:val="22"/>
        </w:rPr>
        <w:t>T$), posicionados em 272° $\pm$ 80°. A paquimetria central é de 478 μm; nenhuma correção paquimétrica é aplicada (dentro de 3% do valor de referência). $V</w:t>
      </w:r>
      <w:r>
        <w:rPr>
          <w:rFonts w:ascii="Calibri" w:hAnsi="Calibri"/>
          <w:b w:val="0"/>
          <w:i w:val="0"/>
          <w:color w:val="222222"/>
          <w:sz w:val="22"/>
        </w:rPr>
        <w:t>\tau = 0$ por design.</w:t>
      </w:r>
    </w:p>
    <w:p>
      <w:r>
        <w:rPr>
          <w:rFonts w:ascii="Calibri" w:hAnsi="Calibri"/>
          <w:b/>
          <w:i w:val="0"/>
          <w:color w:val="222222"/>
          <w:sz w:val="22"/>
        </w:rPr>
        <w:t>Caso 2: O~ / Mamilo Inferior / Dominante em Reposicionamento.</w:t>
      </w:r>
    </w:p>
    <w:p>
      <w:r>
        <w:rPr>
          <w:rFonts w:ascii="Calibri" w:hAnsi="Calibri"/>
          <w:b w:val="0"/>
          <w:i w:val="0"/>
          <w:color w:val="222222"/>
          <w:sz w:val="22"/>
        </w:rPr>
        <w:t>Uma mulher de 34 anos apresenta ceratocone estágio III, $K</w:t>
      </w:r>
      <w:r>
        <w:rPr>
          <w:rFonts w:ascii="Calibri" w:hAnsi="Calibri"/>
          <w:b w:val="0"/>
          <w:i/>
          <w:color w:val="222222"/>
          <w:sz w:val="22"/>
        </w:rPr>
        <w:t>{max}$ de 56.2 D, RMS de coma de 3.1 μm, $\Delta$ Eixo de 12°, RMS de HOA total de 3.4 μm. A classificação óptica é O~ (coma na faixa Intermediária). A topografia revela um cone em mamilo inferior na posição de 6 horas; o ENM é de 258°, o $K</w:t>
      </w:r>
      <w:r>
        <w:rPr>
          <w:rFonts w:ascii="Calibri" w:hAnsi="Calibri"/>
          <w:b w:val="0"/>
          <w:i w:val="0"/>
          <w:color w:val="222222"/>
          <w:sz w:val="22"/>
        </w:rPr>
        <w:t>{steep}$ é de 276° — uma discordância de 18°. O objetivo primário é o reposicionamento do ápice do cone superiormente (em direção ao eixo visual) com aplanamento secundário. O Módulo B prescreve: segmentos duplos assimétricos referenciados ao ENM de 258°, segmento inferior de 300 μm / segmento superior de 200 μm (média de 250 μm para manter $V</w:t>
      </w:r>
      <w:r>
        <w:rPr>
          <w:rFonts w:ascii="Calibri" w:hAnsi="Calibri"/>
          <w:b w:val="0"/>
          <w:i/>
          <w:color w:val="222222"/>
          <w:sz w:val="22"/>
        </w:rPr>
        <w:t>R$ adequado), varredura do arco de 210° inferiormente / 120° superiormente ($V</w:t>
      </w:r>
      <w:r>
        <w:rPr>
          <w:rFonts w:ascii="Calibri" w:hAnsi="Calibri"/>
          <w:b w:val="0"/>
          <w:i w:val="0"/>
          <w:color w:val="222222"/>
          <w:sz w:val="22"/>
        </w:rPr>
        <w:t>T$ diferencial para aprimorar a regularização assimétrica). A assimetria ativa o $V</w:t>
      </w:r>
      <w:r>
        <w:rPr>
          <w:rFonts w:ascii="Calibri" w:hAnsi="Calibri"/>
          <w:b w:val="0"/>
          <w:i/>
          <w:color w:val="222222"/>
          <w:sz w:val="22"/>
        </w:rPr>
        <w:t>\tau$, conduzindo o ápice superiormente. A paquimetria é de 445 μm; o $V</w:t>
      </w:r>
      <w:r>
        <w:rPr>
          <w:rFonts w:ascii="Calibri" w:hAnsi="Calibri"/>
          <w:b w:val="0"/>
          <w:i w:val="0"/>
          <w:color w:val="222222"/>
          <w:sz w:val="22"/>
        </w:rPr>
        <w:t>R$ é corrigido para cima pelo fator 465/445 = 1.045.</w:t>
      </w:r>
    </w:p>
    <w:p>
      <w:r>
        <w:rPr>
          <w:rFonts w:ascii="Calibri" w:hAnsi="Calibri"/>
          <w:b/>
          <w:i w:val="0"/>
          <w:color w:val="222222"/>
          <w:sz w:val="22"/>
        </w:rPr>
        <w:t>Caso 3: O− / Globo (Globus) / Desviado.</w:t>
      </w:r>
    </w:p>
    <w:p>
      <w:r>
        <w:rPr>
          <w:rFonts w:ascii="Calibri" w:hAnsi="Calibri"/>
          <w:b w:val="0"/>
          <w:i w:val="0"/>
          <w:color w:val="222222"/>
          <w:sz w:val="22"/>
        </w:rPr>
        <w:t>Um homem de 41 anos apresenta ceratocone avançado, $K_{max}$ de 64.8 D, RMS de coma de 4.2 μm, $\Delta$ Eixo de 35°, RMS de HOA total de 5.8 μm. Todos os três critérios ópticos enquadram-se na coluna Desfavorável; a classificação é O−. Apesar da gravidade dos achados topográficos (morfologia em globo), o protocolo da AVBC desvia este paciente do implante de ICRS. A via recomendada é o transplante lamelar anterior profundo (DALK) com posterior reavaliação. O Módulo T e o Módulo B não são avaliados formalmente, embora o arquétipo topográfico seja registrado para fins de documentação.</w:t>
      </w:r>
    </w:p>
    <w:p>
      <w:pPr>
        <w:pStyle w:val="Heading3"/>
      </w:pPr>
      <w:r/>
      <w:r>
        <w:rPr>
          <w:rFonts w:ascii="Calibri" w:hAnsi="Calibri"/>
          <w:b w:val="0"/>
          <w:i w:val="0"/>
          <w:color w:val="1B365D"/>
          <w:sz w:val="24"/>
        </w:rPr>
        <w:t>5.5.3 Documentação e Auditoria</w:t>
      </w:r>
    </w:p>
    <w:p>
      <w:r>
        <w:rPr>
          <w:rFonts w:ascii="Calibri" w:hAnsi="Calibri"/>
          <w:b w:val="0"/>
          <w:i w:val="0"/>
          <w:color w:val="222222"/>
          <w:sz w:val="22"/>
        </w:rPr>
        <w:t>O protocolo da AVBC exige que as classificações O, T e B sejam registradas em um formato padronizado:</w:t>
      </w:r>
    </w:p>
    <w:p>
      <w:pPr>
        <w:spacing w:before="80" w:after="120" w:line="276" w:lineRule="auto"/>
        <w:ind w:left="720" w:right="720"/>
      </w:pPr>
      <w:r>
        <w:rPr>
          <w:rFonts w:ascii="Calibri" w:hAnsi="Calibri"/>
          <w:b/>
          <w:i w:val="0"/>
          <w:color w:val="334E68"/>
          <w:sz w:val="21"/>
        </w:rPr>
        <w:t>Perfil AVBC:</w:t>
      </w:r>
      <w:r>
        <w:rPr>
          <w:rFonts w:ascii="Calibri" w:hAnsi="Calibri"/>
          <w:b w:val="0"/>
          <w:i w:val="0"/>
          <w:color w:val="334E68"/>
          <w:sz w:val="21"/>
        </w:rPr>
        <w:t xml:space="preserve"> O+ | T: Crescente Paracentral, ENM 245° ($\Delta K</w:t>
      </w:r>
      <w:r>
        <w:rPr>
          <w:rFonts w:ascii="Calibri" w:hAnsi="Calibri"/>
          <w:b w:val="0"/>
          <w:i/>
          <w:color w:val="334E68"/>
          <w:sz w:val="21"/>
        </w:rPr>
        <w:t>{steep}$ 18°) | B: $V</w:t>
      </w:r>
      <w:r>
        <w:rPr>
          <w:rFonts w:ascii="Calibri" w:hAnsi="Calibri"/>
          <w:b w:val="0"/>
          <w:i w:val="0"/>
          <w:color w:val="334E68"/>
          <w:sz w:val="21"/>
        </w:rPr>
        <w:t>R$ 250 μm bilateral, $V</w:t>
      </w:r>
      <w:r>
        <w:rPr>
          <w:rFonts w:ascii="Calibri" w:hAnsi="Calibri"/>
          <w:b w:val="0"/>
          <w:i/>
          <w:color w:val="334E68"/>
          <w:sz w:val="21"/>
        </w:rPr>
        <w:t>T$ arco 160° bilateral, $V</w:t>
      </w:r>
      <w:r>
        <w:rPr>
          <w:rFonts w:ascii="Calibri" w:hAnsi="Calibri"/>
          <w:b w:val="0"/>
          <w:i w:val="0"/>
          <w:color w:val="334E68"/>
          <w:sz w:val="21"/>
        </w:rPr>
        <w:t>\tau = 0$</w:t>
      </w:r>
    </w:p>
    <w:p>
      <w:r>
        <w:rPr>
          <w:rFonts w:ascii="Calibri" w:hAnsi="Calibri"/>
          <w:b w:val="0"/>
          <w:i w:val="0"/>
          <w:color w:val="222222"/>
          <w:sz w:val="22"/>
        </w:rPr>
        <w:t>Esta notação fornece um registro compacto e auditável que pode ser utilizado para análises retrospectivas de resultados, comunicação entre cirurgiões e garantia de qualidade. À medida que bancos de dados institucionais acumulam perfis AVBC associados a resultados pós-operatórios, modelos de aprendizado de máquina podem ser treinados para refinar os limiares de classificação e as regras de decisão apresentadas neste capítulo — um tópico abordado no Capítulo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5.6 Resumo</w:t>
      </w:r>
    </w:p>
    <w:p>
      <w:r>
        <w:rPr>
          <w:rFonts w:ascii="Calibri" w:hAnsi="Calibri"/>
          <w:b w:val="0"/>
          <w:i w:val="0"/>
          <w:color w:val="222222"/>
          <w:sz w:val="22"/>
        </w:rPr>
        <w:t>Este capítulo introduziu o modelo trimodal O-T-B que estrutura a avaliação clínica de candidatos a ICRS em três domínios sequenciais. O Módulo O filtra o processo avaliando se o perfil de aberração óptica do paciente é suscetível à correção baseada em curvatura, classificando os pacientes como O+, O~ ou O− com base no RMS de coma, na discordância de eixo e no RMS de aberração de alta ordem total. O Módulo T localiza a ectasia ao classificar o cone em um de cinco arquétipos morfológicos e introduzir o Eixo Neutro Mecânico (ENM), o meridiano de deslocamento posterior máximo, que diverge do eixo ceratométrico mais curvo ($K</w:t>
      </w:r>
      <w:r>
        <w:rPr>
          <w:rFonts w:ascii="Calibri" w:hAnsi="Calibri"/>
          <w:b w:val="0"/>
          <w:i/>
          <w:color w:val="222222"/>
          <w:sz w:val="22"/>
        </w:rPr>
        <w:t>{steep}$) em aproximadamente 40% dos casos. O Módulo B traduz a intenção clínica em uma prescrição biomecânica, mapeando os objetivos de aplanamento, regularização e reposicionamento para o vetor de deslocamento radial $V</w:t>
      </w:r>
      <w:r>
        <w:rPr>
          <w:rFonts w:ascii="Calibri" w:hAnsi="Calibri"/>
          <w:b w:val="0"/>
          <w:i w:val="0"/>
          <w:color w:val="222222"/>
          <w:sz w:val="22"/>
        </w:rPr>
        <w:t>R$, o vetor de tensão tangencial $V</w:t>
      </w:r>
      <w:r>
        <w:rPr>
          <w:rFonts w:ascii="Calibri" w:hAnsi="Calibri"/>
          <w:b w:val="0"/>
          <w:i/>
          <w:color w:val="222222"/>
          <w:sz w:val="22"/>
        </w:rPr>
        <w:t>T$ e o proxy torsional $V</w:t>
      </w:r>
      <w:r>
        <w:rPr>
          <w:rFonts w:ascii="Calibri" w:hAnsi="Calibri"/>
          <w:b w:val="0"/>
          <w:i w:val="0"/>
          <w:color w:val="222222"/>
          <w:sz w:val="22"/>
        </w:rPr>
        <w:t>\tau$, cada um dos quais é controlado por um parâmetro distinto do anel: espessura, comprimento de arco e assimetria esquerda-direita, respectivamente.</w:t>
      </w:r>
    </w:p>
    <w:p>
      <w:r>
        <w:rPr>
          <w:rFonts w:ascii="Calibri" w:hAnsi="Calibri"/>
          <w:b w:val="0"/>
          <w:i w:val="0"/>
          <w:color w:val="222222"/>
          <w:sz w:val="22"/>
        </w:rPr>
        <w:t>A ortogonalidade de $V</w:t>
      </w:r>
      <w:r>
        <w:rPr>
          <w:rFonts w:ascii="Calibri" w:hAnsi="Calibri"/>
          <w:b w:val="0"/>
          <w:i/>
          <w:color w:val="222222"/>
          <w:sz w:val="22"/>
        </w:rPr>
        <w:t>R$ e $V</w:t>
      </w:r>
      <w:r>
        <w:rPr>
          <w:rFonts w:ascii="Calibri" w:hAnsi="Calibri"/>
          <w:b w:val="0"/>
          <w:i w:val="0"/>
          <w:color w:val="222222"/>
          <w:sz w:val="22"/>
        </w:rPr>
        <w:t>T$ em relação aos seus parâmetros de controle — demonstrada pela varredura paramétrica de elementos finitos, na qual o comprimento de arco deixou o $V</w:t>
      </w:r>
      <w:r>
        <w:rPr>
          <w:rFonts w:ascii="Calibri" w:hAnsi="Calibri"/>
          <w:b w:val="0"/>
          <w:i/>
          <w:color w:val="222222"/>
          <w:sz w:val="22"/>
        </w:rPr>
        <w:t>R$ essencialmente inalterado enquanto reduzia monotonicamente o $V</w:t>
      </w:r>
      <w:r>
        <w:rPr>
          <w:rFonts w:ascii="Calibri" w:hAnsi="Calibri"/>
          <w:b w:val="0"/>
          <w:i w:val="0"/>
          <w:color w:val="222222"/>
          <w:sz w:val="22"/>
        </w:rPr>
        <w:t>T$ — é a base matemática sobre a qual se apoia o modelo da AVBC. É essa ortogonalidade que permite ao cirurgião titular o aplanamento e a regularização de forma independente, transformando o planejamento do ICRS de uma arte empírica em uma disciplina de engenharia fundamentada em princípios científicos.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xml:space="preserve"> 2006;22(6):539–545.</w:t>
      </w:r>
    </w:p>
    <w:p>
      <w:pPr>
        <w:pStyle w:val="ListNumber"/>
        <w:spacing w:before="40" w:after="80" w:line="276" w:lineRule="auto"/>
      </w:pPr>
      <w:r>
        <w:rPr>
          <w:rFonts w:ascii="Calibri" w:hAnsi="Calibri"/>
          <w:b w:val="0"/>
          <w:i w:val="0"/>
          <w:color w:val="222222"/>
          <w:sz w:val="22"/>
        </w:rPr>
        <w:t xml:space="preserve">Burris TE, Ayer CT, Evensen DA, Davenport JM. Effects of intrastromal corneal ring size and thickness on corneal flattening in human eyes. </w:t>
      </w:r>
      <w:r>
        <w:rPr>
          <w:rFonts w:ascii="Calibri" w:hAnsi="Calibri"/>
          <w:b w:val="0"/>
          <w:i/>
          <w:color w:val="222222"/>
          <w:sz w:val="22"/>
        </w:rPr>
        <w:t>J Cataract Refract Surg.</w:t>
      </w:r>
      <w:r>
        <w:rPr>
          <w:rFonts w:ascii="Calibri" w:hAnsi="Calibri"/>
          <w:b w:val="0"/>
          <w:i w:val="0"/>
          <w:color w:val="222222"/>
          <w:sz w:val="22"/>
        </w:rPr>
        <w:t xml:space="preserve"> 1998;24(7):1019–1024.</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xml:space="preserve"> 2000;61(1):1–48.</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and wavefront aberration profile after intrastromal corneal ring segment implantation in keratoconus. </w:t>
      </w:r>
      <w:r>
        <w:rPr>
          <w:rFonts w:ascii="Calibri" w:hAnsi="Calibri"/>
          <w:b w:val="0"/>
          <w:i/>
          <w:color w:val="222222"/>
          <w:sz w:val="22"/>
        </w:rPr>
        <w:t>J Cataract Refract Surg.</w:t>
      </w:r>
      <w:r>
        <w:rPr>
          <w:rFonts w:ascii="Calibri" w:hAnsi="Calibri"/>
          <w:b w:val="0"/>
          <w:i w:val="0"/>
          <w:color w:val="222222"/>
          <w:sz w:val="22"/>
        </w:rPr>
        <w:t xml:space="preserve"> 2010;36(9):1562–1572.</w:t>
      </w:r>
    </w:p>
    <w:p>
      <w:pPr>
        <w:pStyle w:val="ListNumber"/>
        <w:spacing w:before="40" w:after="80" w:line="276" w:lineRule="auto"/>
      </w:pPr>
      <w:r>
        <w:rPr>
          <w:rFonts w:ascii="Calibri" w:hAnsi="Calibri"/>
          <w:b w:val="0"/>
          <w:i w:val="0"/>
          <w:color w:val="222222"/>
          <w:sz w:val="22"/>
        </w:rPr>
        <w:t xml:space="preserve">Piñero DP, Alió JL, El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xml:space="preserve"> 2009;116(9):1675–1687.</w:t>
      </w:r>
    </w:p>
    <w:p>
      <w:pPr>
        <w:pStyle w:val="ListNumber"/>
        <w:spacing w:before="40" w:after="80" w:line="276" w:lineRule="auto"/>
      </w:pPr>
      <w:r>
        <w:rPr>
          <w:rFonts w:ascii="Calibri" w:hAnsi="Calibri"/>
          <w:b w:val="0"/>
          <w:i w:val="0"/>
          <w:color w:val="222222"/>
          <w:sz w:val="22"/>
        </w:rPr>
        <w:t xml:space="preserve">Rabinowitz YS, McDonnell PJ. Computer-assisted corneal topography in keratoconus. </w:t>
      </w:r>
      <w:r>
        <w:rPr>
          <w:rFonts w:ascii="Calibri" w:hAnsi="Calibri"/>
          <w:b w:val="0"/>
          <w:i/>
          <w:color w:val="222222"/>
          <w:sz w:val="22"/>
        </w:rPr>
        <w:t>Refract Corneal Surg.</w:t>
      </w:r>
      <w:r>
        <w:rPr>
          <w:rFonts w:ascii="Calibri" w:hAnsi="Calibri"/>
          <w:b w:val="0"/>
          <w:i w:val="0"/>
          <w:color w:val="222222"/>
          <w:sz w:val="22"/>
        </w:rPr>
        <w:t xml:space="preserve"> 1989;5(6):400–408.</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 Cataract Refract Surg.</w:t>
      </w:r>
      <w:r>
        <w:rPr>
          <w:rFonts w:ascii="Calibri" w:hAnsi="Calibri"/>
          <w:b w:val="0"/>
          <w:i w:val="0"/>
          <w:color w:val="222222"/>
          <w:sz w:val="22"/>
        </w:rPr>
        <w:t xml:space="preserve"> 2013;39(8):1234–1240.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xml:space="preserve"> 2006;5(4):237–246.</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xml:space="preserve">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xml:space="preserve"> 2015;51:260–268.</w:t>
      </w:r>
    </w:p>
    <w:p>
      <w:pPr>
        <w:pStyle w:val="ListNumber"/>
        <w:spacing w:before="40" w:after="80" w:line="276" w:lineRule="auto"/>
      </w:pPr>
      <w:r>
        <w:rPr>
          <w:rFonts w:ascii="Calibri" w:hAnsi="Calibri"/>
          <w:b w:val="0"/>
          <w:i w:val="0"/>
          <w:color w:val="222222"/>
          <w:sz w:val="22"/>
        </w:rPr>
        <w:t xml:space="preserve">Peris-Martínez C, Díez-Ajenjo MA, García-Domene MC, et al. Evaluation of intraocular pressure and other biomechanical parameters to distinguish between subclinical keratoconus and healthy corneas. </w:t>
      </w:r>
      <w:r>
        <w:rPr>
          <w:rFonts w:ascii="Calibri" w:hAnsi="Calibri"/>
          <w:b w:val="0"/>
          <w:i/>
          <w:color w:val="222222"/>
          <w:sz w:val="22"/>
        </w:rPr>
        <w:t>J Clin Med.</w:t>
      </w:r>
      <w:r>
        <w:rPr>
          <w:rFonts w:ascii="Calibri" w:hAnsi="Calibri"/>
          <w:b w:val="0"/>
          <w:i w:val="0"/>
          <w:color w:val="222222"/>
          <w:sz w:val="22"/>
        </w:rPr>
        <w:t xml:space="preserve"> 2021;10(9):1905.</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xml:space="preserve"> 2014;40(6):991–998.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