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Capítulo 8 — V_τ: O Vetor de Torque — Mecânica da Assimetria e Reposicionamento do Ápice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8.1 Introdução</w:t>
      </w:r>
    </w:p>
    <w:p>
      <w:r>
        <w:rPr>
          <w:rFonts w:ascii="Calibri" w:hAnsi="Calibri"/>
          <w:b w:val="0"/>
          <w:i w:val="0"/>
          <w:color w:val="222222"/>
          <w:sz w:val="22"/>
        </w:rPr>
        <w:t>Os capítulos anteriores estabeleceram a mecânica do aplanamento radial ($V</w:t>
      </w:r>
      <w:r>
        <w:rPr>
          <w:rFonts w:ascii="Calibri" w:hAnsi="Calibri"/>
          <w:b w:val="0"/>
          <w:i/>
          <w:color w:val="222222"/>
          <w:sz w:val="22"/>
        </w:rPr>
        <w:t>R$, Capítulo 6) e da redistribuição de tensão tangencial ($V</w:t>
      </w:r>
      <w:r>
        <w:rPr>
          <w:rFonts w:ascii="Calibri" w:hAnsi="Calibri"/>
          <w:b w:val="0"/>
          <w:i w:val="0"/>
          <w:color w:val="222222"/>
          <w:sz w:val="22"/>
        </w:rPr>
        <w:t>T$, Capítulo 7) dentro de um espaço de design simétrico. Nessas configurações simétricas, os efeitos terapêuticos são equilibrados através do meridiano mais curvo: a córnea é aplanada de forma uniforme, e o astigmatismo é regularizado ao redor do centro óptico. No entanto, o ceratocone raramente é uma doença simétrica. Na grande maioria das apresentações clínicas, o cone ectático está descentrado — tipicamente deslocado inferotemporalmente — criando uma profunda assimetria geométrica e óptica. Essa descentração é a origem de aberrações comáticas de alta ordem ($Z</w:t>
      </w:r>
      <w:r>
        <w:rPr>
          <w:rFonts w:ascii="Calibri" w:hAnsi="Calibri"/>
          <w:b w:val="0"/>
          <w:i/>
          <w:color w:val="222222"/>
          <w:sz w:val="22"/>
        </w:rPr>
        <w:t>3^{-1}$ e $Z</w:t>
      </w:r>
      <w:r>
        <w:rPr>
          <w:rFonts w:ascii="Calibri" w:hAnsi="Calibri"/>
          <w:b w:val="0"/>
          <w:i w:val="0"/>
          <w:color w:val="222222"/>
          <w:sz w:val="22"/>
        </w:rPr>
        <w:t>3^1$) que degradam a qualidade visual além do alcance de uma simples correção esferocilíndrica.</w:t>
      </w:r>
    </w:p>
    <w:p>
      <w:r>
        <w:rPr>
          <w:rFonts w:ascii="Calibri" w:hAnsi="Calibri"/>
          <w:b w:val="0"/>
          <w:i w:val="0"/>
          <w:color w:val="222222"/>
          <w:sz w:val="22"/>
        </w:rPr>
        <w:t>Para abordar essa assimetria, o cirurgião deve acionar um terceiro mecanismo mecânico altamente especializado: o reposicionamento do ápice. O objetivo não é meramente aplanar a córnea curva ou reduzir o cilindro, mas migrar fisicamente o ápice do cone deslocado superiormente em direção ao eixo visual. Essa migração regulariza a zona óptica central, realinha os eixos comático e topográfico (melhorando o Índice de Coerência Axial, $ICE_{min}$) e restaura dramaticamente a qualidade visual funcional.</w:t>
      </w:r>
    </w:p>
    <w:p>
      <w:r>
        <w:rPr>
          <w:rFonts w:ascii="Calibri" w:hAnsi="Calibri"/>
          <w:b w:val="0"/>
          <w:i w:val="0"/>
          <w:color w:val="222222"/>
          <w:sz w:val="22"/>
        </w:rPr>
        <w:t>O proxy biomecânico responsável por esse mecanismo de reposicionamento é o $V</w:t>
      </w:r>
      <w:r>
        <w:rPr>
          <w:rFonts w:ascii="Calibri" w:hAnsi="Calibri"/>
          <w:b w:val="0"/>
          <w:i/>
          <w:color w:val="222222"/>
          <w:sz w:val="22"/>
        </w:rPr>
        <w:t>\tau$, o vetor torsional ou de torque. Ao contrário do $V</w:t>
      </w:r>
      <w:r>
        <w:rPr>
          <w:rFonts w:ascii="Calibri" w:hAnsi="Calibri"/>
          <w:b w:val="0"/>
          <w:i w:val="0"/>
          <w:color w:val="222222"/>
          <w:sz w:val="22"/>
        </w:rPr>
        <w:t>R$ e do $V</w:t>
      </w:r>
      <w:r>
        <w:rPr>
          <w:rFonts w:ascii="Calibri" w:hAnsi="Calibri"/>
          <w:b w:val="0"/>
          <w:i/>
          <w:color w:val="222222"/>
          <w:sz w:val="22"/>
        </w:rPr>
        <w:t>T$, que são ativados por parâmetros de anel simétricos (espessura e comprimento de arco, respectivamente), o $V</w:t>
      </w:r>
      <w:r>
        <w:rPr>
          <w:rFonts w:ascii="Calibri" w:hAnsi="Calibri"/>
          <w:b w:val="0"/>
          <w:i w:val="0"/>
          <w:color w:val="222222"/>
          <w:sz w:val="22"/>
        </w:rPr>
        <w:t>\tau$ é estritamente um operador assimétrico. Em todas as simulações simétricas da varredura paramétrica de 28 execuções, o $V</w:t>
      </w:r>
      <w:r>
        <w:rPr>
          <w:rFonts w:ascii="Calibri" w:hAnsi="Calibri"/>
          <w:b w:val="0"/>
          <w:i/>
          <w:color w:val="222222"/>
          <w:sz w:val="22"/>
        </w:rPr>
        <w:t>\tau$ foi identicamente zero, confirmando que configurações simétricas não podem induzir deformação torsional líquida. Para ativar o $V</w:t>
      </w:r>
      <w:r>
        <w:rPr>
          <w:rFonts w:ascii="Calibri" w:hAnsi="Calibri"/>
          <w:b w:val="0"/>
          <w:i w:val="0"/>
          <w:color w:val="222222"/>
          <w:sz w:val="22"/>
        </w:rPr>
        <w:t>\tau$, o cirurgião deve introduzir assimetria esquerda-direita: espessuras de segmento diferentes em lados opostos do Eixo Neutro Mecânico (ENM), ou um único segmento em apenas um dos lados.</w:t>
      </w:r>
    </w:p>
    <w:p>
      <w:r>
        <w:rPr>
          <w:rFonts w:ascii="Calibri" w:hAnsi="Calibri"/>
          <w:b w:val="0"/>
          <w:i w:val="0"/>
          <w:color w:val="222222"/>
          <w:sz w:val="22"/>
        </w:rPr>
        <w:t>Este capítulo detalha a mecânica de $V</w:t>
      </w:r>
      <w:r>
        <w:rPr>
          <w:rFonts w:ascii="Calibri" w:hAnsi="Calibri"/>
          <w:b w:val="0"/>
          <w:i/>
          <w:color w:val="222222"/>
          <w:sz w:val="22"/>
        </w:rPr>
        <w:t>\tau$ desde a formulação matemática até a utilidade clínica. A Seção 8.2 estabelece a metodologia de extração de $V</w:t>
      </w:r>
      <w:r>
        <w:rPr>
          <w:rFonts w:ascii="Calibri" w:hAnsi="Calibri"/>
          <w:b w:val="0"/>
          <w:i w:val="0"/>
          <w:color w:val="222222"/>
          <w:sz w:val="22"/>
        </w:rPr>
        <w:t>\tau$ a partir de campos de deslocamento nodais. A Seção 8.3 apresenta os conjuntos de dados de assimetria, mostrando como o $V</w:t>
      </w:r>
      <w:r>
        <w:rPr>
          <w:rFonts w:ascii="Calibri" w:hAnsi="Calibri"/>
          <w:b w:val="0"/>
          <w:i/>
          <w:color w:val="222222"/>
          <w:sz w:val="22"/>
        </w:rPr>
        <w:t>\tau$ escala com a diferença de espessura. A Seção 8.4 examina o acoplamento mecânico entre o $V</w:t>
      </w:r>
      <w:r>
        <w:rPr>
          <w:rFonts w:ascii="Calibri" w:hAnsi="Calibri"/>
          <w:b w:val="0"/>
          <w:i w:val="0"/>
          <w:color w:val="222222"/>
          <w:sz w:val="22"/>
        </w:rPr>
        <w:t>\tau$ e as outras componentes vetoriais. A Seção 8.5 detalha a biomecânica da migração do ápice. A Seção 8.6 conecta o $V_\tau$ à redução clínica de coma, e a Seção 8.7 sintetiza as diretrizes clínicas para o planejamento de ICRS quando o reposicionamento do ápice é o objetivo terapêutico dominante.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8.2 Definição Formal</w:t>
      </w:r>
    </w:p>
    <w:p>
      <w:pPr>
        <w:pStyle w:val="Heading3"/>
      </w:pPr>
      <w:r/>
      <w:r>
        <w:rPr>
          <w:rFonts w:ascii="Calibri" w:hAnsi="Calibri"/>
          <w:b w:val="0"/>
          <w:i w:val="0"/>
          <w:color w:val="1B365D"/>
          <w:sz w:val="24"/>
        </w:rPr>
        <w:t>8.2.1 Formulação Matemática</w:t>
      </w:r>
    </w:p>
    <w:p>
      <w:r>
        <w:rPr>
          <w:rFonts w:ascii="Calibri" w:hAnsi="Calibri"/>
          <w:b w:val="0"/>
          <w:i w:val="0"/>
          <w:color w:val="222222"/>
          <w:sz w:val="22"/>
        </w:rPr>
        <w:t>O vetor torsional $V</w:t>
      </w:r>
      <w:r>
        <w:rPr>
          <w:rFonts w:ascii="Calibri" w:hAnsi="Calibri"/>
          <w:b w:val="0"/>
          <w:i/>
          <w:color w:val="222222"/>
          <w:sz w:val="22"/>
        </w:rPr>
        <w:t>\tau$ é definido como a média espacial do gradiente circunferencial de deslocamento vertical ao longo da superfície corneana anterior. Considere uma série de nós localizados nas coordenadas polares ($r</w:t>
      </w:r>
      <w:r>
        <w:rPr>
          <w:rFonts w:ascii="Calibri" w:hAnsi="Calibri"/>
          <w:b w:val="0"/>
          <w:i w:val="0"/>
          <w:color w:val="222222"/>
          <w:sz w:val="22"/>
        </w:rPr>
        <w:t>i$, $\theta</w:t>
      </w:r>
      <w:r>
        <w:rPr>
          <w:rFonts w:ascii="Calibri" w:hAnsi="Calibri"/>
          <w:b w:val="0"/>
          <w:i/>
          <w:color w:val="222222"/>
          <w:sz w:val="22"/>
        </w:rPr>
        <w:t>i$) ao longo de um anel concêntrico de raio $r</w:t>
      </w:r>
      <w:r>
        <w:rPr>
          <w:rFonts w:ascii="Calibri" w:hAnsi="Calibri"/>
          <w:b w:val="0"/>
          <w:i w:val="0"/>
          <w:color w:val="222222"/>
          <w:sz w:val="22"/>
        </w:rPr>
        <w:t>i$ na superfície anterior, onde $\theta</w:t>
      </w:r>
      <w:r>
        <w:rPr>
          <w:rFonts w:ascii="Calibri" w:hAnsi="Calibri"/>
          <w:b w:val="0"/>
          <w:i/>
          <w:color w:val="222222"/>
          <w:sz w:val="22"/>
        </w:rPr>
        <w:t>i$ é o ângulo meridional. Se $u</w:t>
      </w:r>
      <w:r>
        <w:rPr>
          <w:rFonts w:ascii="Calibri" w:hAnsi="Calibri"/>
          <w:b w:val="0"/>
          <w:i w:val="0"/>
          <w:color w:val="222222"/>
          <w:sz w:val="22"/>
        </w:rPr>
        <w:t>{z,i}$ denota o deslocamento vertical (axial) no nó $i$, o proxy torsional local naquele raio é dado por:</w:t>
      </w:r>
    </w:p>
    <w:p>
      <w:r>
        <w:rPr>
          <w:rFonts w:ascii="Calibri" w:hAnsi="Calibri"/>
          <w:b w:val="0"/>
          <w:i w:val="0"/>
          <w:color w:val="222222"/>
          <w:sz w:val="22"/>
        </w:rPr>
        <w:t>$$V</w:t>
      </w:r>
      <w:r>
        <w:rPr>
          <w:rFonts w:ascii="Calibri" w:hAnsi="Calibri"/>
          <w:b w:val="0"/>
          <w:i/>
          <w:color w:val="222222"/>
          <w:sz w:val="22"/>
        </w:rPr>
        <w:t>{\tau,\text{local}}(r</w:t>
      </w:r>
      <w:r>
        <w:rPr>
          <w:rFonts w:ascii="Calibri" w:hAnsi="Calibri"/>
          <w:b w:val="0"/>
          <w:i w:val="0"/>
          <w:color w:val="222222"/>
          <w:sz w:val="22"/>
        </w:rPr>
        <w:t>i) = \sum</w:t>
      </w:r>
      <w:r>
        <w:rPr>
          <w:rFonts w:ascii="Calibri" w:hAnsi="Calibri"/>
          <w:b w:val="0"/>
          <w:i/>
          <w:color w:val="222222"/>
          <w:sz w:val="22"/>
        </w:rPr>
        <w:t>{j} \left| \Delta u</w:t>
      </w:r>
      <w:r>
        <w:rPr>
          <w:rFonts w:ascii="Calibri" w:hAnsi="Calibri"/>
          <w:b w:val="0"/>
          <w:i w:val="0"/>
          <w:color w:val="222222"/>
          <w:sz w:val="22"/>
        </w:rPr>
        <w:t>{z,j} - \Delta u</w:t>
      </w:r>
      <w:r>
        <w:rPr>
          <w:rFonts w:ascii="Calibri" w:hAnsi="Calibri"/>
          <w:b w:val="0"/>
          <w:i/>
          <w:color w:val="222222"/>
          <w:sz w:val="22"/>
        </w:rPr>
        <w:t>{z,j-1} \right| \times r</w:t>
      </w:r>
      <w:r>
        <w:rPr>
          <w:rFonts w:ascii="Calibri" w:hAnsi="Calibri"/>
          <w:b w:val="0"/>
          <w:i w:val="0"/>
          <w:color w:val="222222"/>
          <w:sz w:val="22"/>
        </w:rPr>
        <w:t>i \times \Delta\theta_j$$</w:t>
      </w:r>
    </w:p>
    <w:p>
      <w:r>
        <w:rPr>
          <w:rFonts w:ascii="Calibri" w:hAnsi="Calibri"/>
          <w:b w:val="0"/>
          <w:i w:val="0"/>
          <w:color w:val="222222"/>
          <w:sz w:val="22"/>
        </w:rPr>
        <w:t>onde $\Delta u</w:t>
      </w:r>
      <w:r>
        <w:rPr>
          <w:rFonts w:ascii="Calibri" w:hAnsi="Calibri"/>
          <w:b w:val="0"/>
          <w:i/>
          <w:color w:val="222222"/>
          <w:sz w:val="22"/>
        </w:rPr>
        <w:t>{z,j} = u</w:t>
      </w:r>
      <w:r>
        <w:rPr>
          <w:rFonts w:ascii="Calibri" w:hAnsi="Calibri"/>
          <w:b w:val="0"/>
          <w:i w:val="0"/>
          <w:color w:val="222222"/>
          <w:sz w:val="22"/>
        </w:rPr>
        <w:t>{z,j} - u</w:t>
      </w:r>
      <w:r>
        <w:rPr>
          <w:rFonts w:ascii="Calibri" w:hAnsi="Calibri"/>
          <w:b w:val="0"/>
          <w:i/>
          <w:color w:val="222222"/>
          <w:sz w:val="22"/>
        </w:rPr>
        <w:t>{z,j-1}$ é a diferença no deslocamento entre nós adjacentes ao longo do círculo, $r</w:t>
      </w:r>
      <w:r>
        <w:rPr>
          <w:rFonts w:ascii="Calibri" w:hAnsi="Calibri"/>
          <w:b w:val="0"/>
          <w:i w:val="0"/>
          <w:color w:val="222222"/>
          <w:sz w:val="22"/>
        </w:rPr>
        <w:t>i$ é o raio e $\Delta\theta_j$ é o passo angular entre os nós.</w:t>
      </w:r>
    </w:p>
    <w:p>
      <w:r>
        <w:rPr>
          <w:rFonts w:ascii="Calibri" w:hAnsi="Calibri"/>
          <w:b w:val="0"/>
          <w:i w:val="0"/>
          <w:color w:val="222222"/>
          <w:sz w:val="22"/>
        </w:rPr>
        <w:t>A métrica vetorial global $V_\tau$ é definida como a média radial desse proxy local sobre a zona de análise mid-periférica ($1.5\text{ mm} &lt; r \le 3.5\text{ mm}$) onde ocorre a migração do ápice:</w:t>
      </w:r>
    </w:p>
    <w:p>
      <w:r>
        <w:rPr>
          <w:rFonts w:ascii="Calibri" w:hAnsi="Calibri"/>
          <w:b w:val="0"/>
          <w:i w:val="0"/>
          <w:color w:val="222222"/>
          <w:sz w:val="22"/>
        </w:rPr>
        <w:t>$$V</w:t>
      </w:r>
      <w:r>
        <w:rPr>
          <w:rFonts w:ascii="Calibri" w:hAnsi="Calibri"/>
          <w:b w:val="0"/>
          <w:i/>
          <w:color w:val="222222"/>
          <w:sz w:val="22"/>
        </w:rPr>
        <w:t>{\tau} = \frac{1}{(r</w:t>
      </w:r>
      <w:r>
        <w:rPr>
          <w:rFonts w:ascii="Calibri" w:hAnsi="Calibri"/>
          <w:b w:val="0"/>
          <w:i w:val="0"/>
          <w:color w:val="222222"/>
          <w:sz w:val="22"/>
        </w:rPr>
        <w:t>{\text{max}} - r</w:t>
      </w:r>
      <w:r>
        <w:rPr>
          <w:rFonts w:ascii="Calibri" w:hAnsi="Calibri"/>
          <w:b w:val="0"/>
          <w:i/>
          <w:color w:val="222222"/>
          <w:sz w:val="22"/>
        </w:rPr>
        <w:t>{\text{min}})} \int</w:t>
      </w:r>
      <w:r>
        <w:rPr>
          <w:rFonts w:ascii="Calibri" w:hAnsi="Calibri"/>
          <w:b w:val="0"/>
          <w:i w:val="0"/>
          <w:color w:val="222222"/>
          <w:sz w:val="22"/>
        </w:rPr>
        <w:t>{r</w:t>
      </w:r>
      <w:r>
        <w:rPr>
          <w:rFonts w:ascii="Calibri" w:hAnsi="Calibri"/>
          <w:b w:val="0"/>
          <w:i/>
          <w:color w:val="222222"/>
          <w:sz w:val="22"/>
        </w:rPr>
        <w:t>{\text{min}}}^{r</w:t>
      </w:r>
      <w:r>
        <w:rPr>
          <w:rFonts w:ascii="Calibri" w:hAnsi="Calibri"/>
          <w:b w:val="0"/>
          <w:i w:val="0"/>
          <w:color w:val="222222"/>
          <w:sz w:val="22"/>
        </w:rPr>
        <w:t>{\text{max}}} V_{\tau,\text{local}}(r) \, dr$$</w:t>
      </w:r>
    </w:p>
    <w:p>
      <w:r>
        <w:rPr>
          <w:rFonts w:ascii="Calibri" w:hAnsi="Calibri"/>
          <w:b w:val="0"/>
          <w:i w:val="0"/>
          <w:color w:val="222222"/>
          <w:sz w:val="22"/>
        </w:rPr>
        <w:t>onde $r</w:t>
      </w:r>
      <w:r>
        <w:rPr>
          <w:rFonts w:ascii="Calibri" w:hAnsi="Calibri"/>
          <w:b w:val="0"/>
          <w:i/>
          <w:color w:val="222222"/>
          <w:sz w:val="22"/>
        </w:rPr>
        <w:t>{min} = 1.5$ mm e $r</w:t>
      </w:r>
      <w:r>
        <w:rPr>
          <w:rFonts w:ascii="Calibri" w:hAnsi="Calibri"/>
          <w:b w:val="0"/>
          <w:i w:val="0"/>
          <w:color w:val="222222"/>
          <w:sz w:val="22"/>
        </w:rPr>
        <w:t>{max} = 3.5$ mm. A unidade de $V</w:t>
      </w:r>
      <w:r>
        <w:rPr>
          <w:rFonts w:ascii="Calibri" w:hAnsi="Calibri"/>
          <w:b w:val="0"/>
          <w:i/>
          <w:color w:val="222222"/>
          <w:sz w:val="22"/>
        </w:rPr>
        <w:t>\tau$ é micrômetros (μm) ou milímetro-micrômetros (mm·μm) dependendo do fator de escala. Por convenção, o $V</w:t>
      </w:r>
      <w:r>
        <w:rPr>
          <w:rFonts w:ascii="Calibri" w:hAnsi="Calibri"/>
          <w:b w:val="0"/>
          <w:i w:val="0"/>
          <w:color w:val="222222"/>
          <w:sz w:val="22"/>
        </w:rPr>
        <w:t>\tau$ é relatado como um escalar não negativo que quantifica a magnitude da deformação torsional assimétrica, com um ângulo de azimute associado $\theta_\tau$ que indica a direção do deslocamento líquido do ápice.</w:t>
      </w:r>
    </w:p>
    <w:p>
      <w:pPr>
        <w:pStyle w:val="Heading3"/>
      </w:pPr>
      <w:r/>
      <w:r>
        <w:rPr>
          <w:rFonts w:ascii="Calibri" w:hAnsi="Calibri"/>
          <w:b w:val="0"/>
          <w:i w:val="0"/>
          <w:color w:val="1B365D"/>
          <w:sz w:val="24"/>
        </w:rPr>
        <w:t>8.2.2 Extração de Campos de Deslocamento Nodais do FEBio</w:t>
      </w:r>
    </w:p>
    <w:p>
      <w:r>
        <w:rPr>
          <w:rFonts w:ascii="Calibri" w:hAnsi="Calibri"/>
          <w:b w:val="0"/>
          <w:i w:val="0"/>
          <w:color w:val="222222"/>
          <w:sz w:val="22"/>
        </w:rPr>
        <w:t>No resolvedor do FEBio, o campo de deslocamento nodal ($u</w:t>
      </w:r>
      <w:r>
        <w:rPr>
          <w:rFonts w:ascii="Calibri" w:hAnsi="Calibri"/>
          <w:b w:val="0"/>
          <w:i/>
          <w:color w:val="222222"/>
          <w:sz w:val="22"/>
        </w:rPr>
        <w:t>x$, $u</w:t>
      </w:r>
      <w:r>
        <w:rPr>
          <w:rFonts w:ascii="Calibri" w:hAnsi="Calibri"/>
          <w:b w:val="0"/>
          <w:i w:val="0"/>
          <w:color w:val="222222"/>
          <w:sz w:val="22"/>
        </w:rPr>
        <w:t>y$, $u</w:t>
      </w:r>
      <w:r>
        <w:rPr>
          <w:rFonts w:ascii="Calibri" w:hAnsi="Calibri"/>
          <w:b w:val="0"/>
          <w:i/>
          <w:color w:val="222222"/>
          <w:sz w:val="22"/>
        </w:rPr>
        <w:t>z$) é exportado em coordenadas cartesianas. A extração de $V</w:t>
      </w:r>
      <w:r>
        <w:rPr>
          <w:rFonts w:ascii="Calibri" w:hAnsi="Calibri"/>
          <w:b w:val="0"/>
          <w:i w:val="0"/>
          <w:color w:val="222222"/>
          <w:sz w:val="22"/>
        </w:rPr>
        <w:t>\tau$ prossegue através de um algoritmo de pós-processamento estruturado:</w:t>
      </w:r>
    </w:p>
    <w:p>
      <w:pPr>
        <w:pStyle w:val="ListNumber"/>
        <w:spacing w:before="40" w:after="80" w:line="276" w:lineRule="auto"/>
      </w:pPr>
      <w:r>
        <w:rPr>
          <w:rFonts w:ascii="Calibri" w:hAnsi="Calibri"/>
          <w:b/>
          <w:i w:val="0"/>
          <w:color w:val="222222"/>
          <w:sz w:val="22"/>
        </w:rPr>
        <w:t>Interpolação de anéis concêntricos</w:t>
      </w:r>
      <w:r>
        <w:rPr>
          <w:rFonts w:ascii="Calibri" w:hAnsi="Calibri"/>
          <w:b w:val="0"/>
          <w:i w:val="0"/>
          <w:color w:val="222222"/>
          <w:sz w:val="22"/>
        </w:rPr>
        <w:t>: Define-se uma série de 20 círculos concêntricos no plano corneano, com raios espaçados uniformemente de $r = 1.5$ mm a $r = 3.5$ mm. Ao longo de cada círculo, definem-se 360 pontos de interpolação em incrementos angulares de 1°.</w:t>
      </w:r>
    </w:p>
    <w:p>
      <w:pPr>
        <w:pStyle w:val="ListNumber"/>
        <w:spacing w:before="40" w:after="80" w:line="276" w:lineRule="auto"/>
      </w:pPr>
      <w:r>
        <w:rPr>
          <w:rFonts w:ascii="Calibri" w:hAnsi="Calibri"/>
          <w:b/>
          <w:i w:val="0"/>
          <w:color w:val="222222"/>
          <w:sz w:val="22"/>
        </w:rPr>
        <w:t>Interpolação nodal</w:t>
      </w:r>
      <w:r>
        <w:rPr>
          <w:rFonts w:ascii="Calibri" w:hAnsi="Calibri"/>
          <w:b w:val="0"/>
          <w:i w:val="0"/>
          <w:color w:val="222222"/>
          <w:sz w:val="22"/>
        </w:rPr>
        <w:t>: Para cada ponto de interpolação ($r$, $\theta$), a componente de deslocamento $u_z$ é interpolada a partir dos nós circundantes da malha estromal anterior usando um esquema bilinear de funções de forma.</w:t>
      </w:r>
    </w:p>
    <w:p>
      <w:pPr>
        <w:pStyle w:val="ListNumber"/>
        <w:spacing w:before="40" w:after="80" w:line="276" w:lineRule="auto"/>
      </w:pPr>
      <w:r>
        <w:rPr>
          <w:rFonts w:ascii="Calibri" w:hAnsi="Calibri"/>
          <w:b/>
          <w:i w:val="0"/>
          <w:color w:val="222222"/>
          <w:sz w:val="22"/>
        </w:rPr>
        <w:t>Cálculo do gradiente circunferencial</w:t>
      </w:r>
      <w:r>
        <w:rPr>
          <w:rFonts w:ascii="Calibri" w:hAnsi="Calibri"/>
          <w:b w:val="0"/>
          <w:i w:val="0"/>
          <w:color w:val="222222"/>
          <w:sz w:val="22"/>
        </w:rPr>
        <w:t>: Ao longo de cada círculo, calcula-se a diferença absoluta no deslocamento vertical entre pontos de interpolação adjacentes $|u</w:t>
      </w:r>
      <w:r>
        <w:rPr>
          <w:rFonts w:ascii="Calibri" w:hAnsi="Calibri"/>
          <w:b w:val="0"/>
          <w:i/>
          <w:color w:val="222222"/>
          <w:sz w:val="22"/>
        </w:rPr>
        <w:t>z(\theta) - u</w:t>
      </w:r>
      <w:r>
        <w:rPr>
          <w:rFonts w:ascii="Calibri" w:hAnsi="Calibri"/>
          <w:b w:val="0"/>
          <w:i w:val="0"/>
          <w:color w:val="222222"/>
          <w:sz w:val="22"/>
        </w:rPr>
        <w:t>z(\theta - 1^\circ)|$.</w:t>
      </w:r>
    </w:p>
    <w:p>
      <w:pPr>
        <w:pStyle w:val="ListNumber"/>
        <w:spacing w:before="40" w:after="80" w:line="276" w:lineRule="auto"/>
      </w:pPr>
      <w:r>
        <w:rPr>
          <w:rFonts w:ascii="Calibri" w:hAnsi="Calibri"/>
          <w:b/>
          <w:i w:val="0"/>
          <w:color w:val="222222"/>
          <w:sz w:val="22"/>
        </w:rPr>
        <w:t>Integração do proxy local</w:t>
      </w:r>
      <w:r>
        <w:rPr>
          <w:rFonts w:ascii="Calibri" w:hAnsi="Calibri"/>
          <w:b w:val="0"/>
          <w:i w:val="0"/>
          <w:color w:val="222222"/>
          <w:sz w:val="22"/>
        </w:rPr>
        <w:t>: O proxy local $V_{\tau,local}(r)$ é calculado somando-se essas diferenças ao redor do círculo, ponderado pelo raio e pelo passo angular $\Delta\theta = \pi/180$.</w:t>
      </w:r>
    </w:p>
    <w:p>
      <w:pPr>
        <w:pStyle w:val="ListNumber"/>
        <w:spacing w:before="40" w:after="80" w:line="276" w:lineRule="auto"/>
      </w:pPr>
      <w:r>
        <w:rPr>
          <w:rFonts w:ascii="Calibri" w:hAnsi="Calibri"/>
          <w:b/>
          <w:i w:val="0"/>
          <w:color w:val="222222"/>
          <w:sz w:val="22"/>
        </w:rPr>
        <w:t>Média radial</w:t>
      </w:r>
      <w:r>
        <w:rPr>
          <w:rFonts w:ascii="Calibri" w:hAnsi="Calibri"/>
          <w:b w:val="0"/>
          <w:i w:val="0"/>
          <w:color w:val="222222"/>
          <w:sz w:val="22"/>
        </w:rPr>
        <w:t>: O $V_\tau$ global é calculado integrando-se os proxies locais através dos 20 círculos usando a regra trapezoidal padrão e dividindo pelo intervalo radial (2.0 mm).</w:t>
      </w:r>
    </w:p>
    <w:p>
      <w:pPr>
        <w:pStyle w:val="ListNumber"/>
        <w:spacing w:before="40" w:after="80" w:line="276" w:lineRule="auto"/>
      </w:pPr>
      <w:r>
        <w:rPr>
          <w:rFonts w:ascii="Calibri" w:hAnsi="Calibri"/>
          <w:b/>
          <w:i w:val="0"/>
          <w:color w:val="222222"/>
          <w:sz w:val="22"/>
        </w:rPr>
        <w:t>Cálculo do azimute</w:t>
      </w:r>
      <w:r>
        <w:rPr>
          <w:rFonts w:ascii="Calibri" w:hAnsi="Calibri"/>
          <w:b w:val="0"/>
          <w:i w:val="0"/>
          <w:color w:val="222222"/>
          <w:sz w:val="22"/>
        </w:rPr>
        <w:t>: A direção do deslocamento líquido $\theta_\tau$ é determinada calculando-se o primeiro coeficiente de Fourier do perfil de deslocamento vertical ao redor dos círculos:</w:t>
      </w:r>
    </w:p>
    <w:p>
      <w:r>
        <w:rPr>
          <w:rFonts w:ascii="Calibri" w:hAnsi="Calibri"/>
          <w:b w:val="0"/>
          <w:i w:val="0"/>
          <w:color w:val="222222"/>
          <w:sz w:val="22"/>
        </w:rPr>
        <w:t>$$\theta</w:t>
      </w:r>
      <w:r>
        <w:rPr>
          <w:rFonts w:ascii="Calibri" w:hAnsi="Calibri"/>
          <w:b w:val="0"/>
          <w:i/>
          <w:color w:val="222222"/>
          <w:sz w:val="22"/>
        </w:rPr>
        <w:t>{\tau} = \text{atan2} \left( \int</w:t>
      </w:r>
      <w:r>
        <w:rPr>
          <w:rFonts w:ascii="Calibri" w:hAnsi="Calibri"/>
          <w:b w:val="0"/>
          <w:i w:val="0"/>
          <w:color w:val="222222"/>
          <w:sz w:val="22"/>
        </w:rPr>
        <w:t>{r</w:t>
      </w:r>
      <w:r>
        <w:rPr>
          <w:rFonts w:ascii="Calibri" w:hAnsi="Calibri"/>
          <w:b w:val="0"/>
          <w:i/>
          <w:color w:val="222222"/>
          <w:sz w:val="22"/>
        </w:rPr>
        <w:t>{\text{min}}}^{r</w:t>
      </w:r>
      <w:r>
        <w:rPr>
          <w:rFonts w:ascii="Calibri" w:hAnsi="Calibri"/>
          <w:b w:val="0"/>
          <w:i w:val="0"/>
          <w:color w:val="222222"/>
          <w:sz w:val="22"/>
        </w:rPr>
        <w:t>{\text{max}}} \int</w:t>
      </w:r>
      <w:r>
        <w:rPr>
          <w:rFonts w:ascii="Calibri" w:hAnsi="Calibri"/>
          <w:b w:val="0"/>
          <w:i/>
          <w:color w:val="222222"/>
          <w:sz w:val="22"/>
        </w:rPr>
        <w:t>{0}^{2\pi} u</w:t>
      </w:r>
      <w:r>
        <w:rPr>
          <w:rFonts w:ascii="Calibri" w:hAnsi="Calibri"/>
          <w:b w:val="0"/>
          <w:i w:val="0"/>
          <w:color w:val="222222"/>
          <w:sz w:val="22"/>
        </w:rPr>
        <w:t>z(r, \theta) \sin\theta \, d\theta \, dr, \int</w:t>
      </w:r>
      <w:r>
        <w:rPr>
          <w:rFonts w:ascii="Calibri" w:hAnsi="Calibri"/>
          <w:b w:val="0"/>
          <w:i/>
          <w:color w:val="222222"/>
          <w:sz w:val="22"/>
        </w:rPr>
        <w:t>{r</w:t>
      </w:r>
      <w:r>
        <w:rPr>
          <w:rFonts w:ascii="Calibri" w:hAnsi="Calibri"/>
          <w:b w:val="0"/>
          <w:i w:val="0"/>
          <w:color w:val="222222"/>
          <w:sz w:val="22"/>
        </w:rPr>
        <w:t>{\text{min}}}^{r</w:t>
      </w:r>
      <w:r>
        <w:rPr>
          <w:rFonts w:ascii="Calibri" w:hAnsi="Calibri"/>
          <w:b w:val="0"/>
          <w:i/>
          <w:color w:val="222222"/>
          <w:sz w:val="22"/>
        </w:rPr>
        <w:t>{\text{max}}} \int</w:t>
      </w:r>
      <w:r>
        <w:rPr>
          <w:rFonts w:ascii="Calibri" w:hAnsi="Calibri"/>
          <w:b w:val="0"/>
          <w:i w:val="0"/>
          <w:color w:val="222222"/>
          <w:sz w:val="22"/>
        </w:rPr>
        <w:t>{0}^{2\pi} u_z(r, \theta) \cos\theta \, d\theta \, dr \right)$$</w:t>
      </w:r>
    </w:p>
    <w:p>
      <w:r>
        <w:rPr>
          <w:rFonts w:ascii="Calibri" w:hAnsi="Calibri"/>
          <w:b w:val="0"/>
          <w:i w:val="0"/>
          <w:color w:val="222222"/>
          <w:sz w:val="22"/>
        </w:rPr>
        <w:t>Esse azimute indica o meridiano em direção ao qual a superfície anterior está inclinada, definindo a direção da migração do ápice.</w:t>
      </w:r>
    </w:p>
    <w:p>
      <w:r>
        <w:rPr>
          <w:rFonts w:ascii="Calibri" w:hAnsi="Calibri"/>
          <w:b w:val="0"/>
          <w:i w:val="0"/>
          <w:color w:val="222222"/>
          <w:sz w:val="22"/>
        </w:rPr>
        <w:t>Esta extração estruturada garante que o $V</w:t>
      </w:r>
      <w:r>
        <w:rPr>
          <w:rFonts w:ascii="Calibri" w:hAnsi="Calibri"/>
          <w:b w:val="0"/>
          <w:i/>
          <w:color w:val="222222"/>
          <w:sz w:val="22"/>
        </w:rPr>
        <w:t>\tau$ capture a inclinação assimétrica da superfície corneana, livre de componentes de dobramento simétricos que contribuem para o $V</w:t>
      </w:r>
      <w:r>
        <w:rPr>
          <w:rFonts w:ascii="Calibri" w:hAnsi="Calibri"/>
          <w:b w:val="0"/>
          <w:i w:val="0"/>
          <w:color w:val="222222"/>
          <w:sz w:val="22"/>
        </w:rPr>
        <w:t>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8.3 Resultados de FEM: Assimetria e Diferencial de Espessura</w:t>
      </w:r>
    </w:p>
    <w:p>
      <w:pPr>
        <w:pStyle w:val="Heading3"/>
      </w:pPr>
      <w:r/>
      <w:r>
        <w:rPr>
          <w:rFonts w:ascii="Calibri" w:hAnsi="Calibri"/>
          <w:b w:val="0"/>
          <w:i w:val="0"/>
          <w:color w:val="1B365D"/>
          <w:sz w:val="24"/>
        </w:rPr>
        <w:t>8.3.1 Banco de Dados de Assimetria</w:t>
      </w:r>
    </w:p>
    <w:p>
      <w:r>
        <w:rPr>
          <w:rFonts w:ascii="Calibri" w:hAnsi="Calibri"/>
          <w:b w:val="0"/>
          <w:i w:val="0"/>
          <w:color w:val="222222"/>
          <w:sz w:val="22"/>
        </w:rPr>
        <w:t>Para analisar como o $V_\tau$ responde a parâmetros de anel assimétricos, construiu-se um banco de dados de 18 simulações de elementos finitos assimétricas. Essas simulações utilizaram configurações de segmento duplo no modelo corneano hiperelástico HGO validado sob 15 mmHg de PIO, nas quais os segmentos foram posicionados simetricamente em lados opostos do meridiano mais curvo (por exemplo, em 270° $\pm$ 80°), mas com permissão para diferirem na espessura da seção transversal.</w:t>
      </w:r>
    </w:p>
    <w:p>
      <w:r>
        <w:rPr>
          <w:rFonts w:ascii="Calibri" w:hAnsi="Calibri"/>
          <w:b w:val="0"/>
          <w:i w:val="0"/>
          <w:color w:val="222222"/>
          <w:sz w:val="22"/>
        </w:rPr>
        <w:t>A configuração de linha de base compreendeu segmentos duplos de 160° de igual espessura (200 μm inferior / 200 μm superior, designados como simétricos). O diferencial de espessura ($\Delta t$) foi introduzido sistematicamente ao aumentar a espessura do segmento inferior enquanto diminuía a do segmento superior, mantendo-se a espessura média constante em 200 μm para controlar o efeito geral de aplanamento de $V_R$. Os diferenciais estudados variaram de $\Delta t = 0$ μm (simétrico) a $\Delta t = 150$ μm (275 μm inferior / 125 μm superior, a assimetria máxima possível dentro da faixa do fabricante).</w:t>
      </w:r>
    </w:p>
    <w:p>
      <w:pPr>
        <w:pStyle w:val="Heading3"/>
      </w:pPr>
      <w:r/>
      <w:r>
        <w:rPr>
          <w:rFonts w:ascii="Calibri" w:hAnsi="Calibri"/>
          <w:b w:val="0"/>
          <w:i w:val="0"/>
          <w:color w:val="1B365D"/>
          <w:sz w:val="24"/>
        </w:rPr>
        <w:t>8.3.2 Dados Completos de Assimetria</w:t>
      </w:r>
    </w:p>
    <w:p>
      <w:r>
        <w:rPr>
          <w:rFonts w:ascii="Calibri" w:hAnsi="Calibri"/>
          <w:b w:val="0"/>
          <w:i w:val="0"/>
          <w:color w:val="222222"/>
          <w:sz w:val="22"/>
        </w:rPr>
        <w:t>A Tabela 8.1 apresenta os resultados completos de $V</w:t>
      </w:r>
      <w:r>
        <w:rPr>
          <w:rFonts w:ascii="Calibri" w:hAnsi="Calibri"/>
          <w:b w:val="0"/>
          <w:i/>
          <w:color w:val="222222"/>
          <w:sz w:val="22"/>
        </w:rPr>
        <w:t>\tau$ em todos os diferenciais de espessura simulados, juntamente com o ângulo de azimute $\theta</w:t>
      </w:r>
      <w:r>
        <w:rPr>
          <w:rFonts w:ascii="Calibri" w:hAnsi="Calibri"/>
          <w:b w:val="0"/>
          <w:i w:val="0"/>
          <w:color w:val="222222"/>
          <w:sz w:val="22"/>
        </w:rPr>
        <w:t>\tau$ e a distância de migração do ápice resultante.</w:t>
      </w:r>
    </w:p>
    <w:p>
      <w:r>
        <w:rPr>
          <w:rFonts w:ascii="Calibri" w:hAnsi="Calibri"/>
          <w:b/>
          <w:i w:val="0"/>
          <w:color w:val="222222"/>
          <w:sz w:val="22"/>
        </w:rPr>
        <w:t>Tabela 8.1.</w:t>
      </w:r>
      <w:r>
        <w:rPr>
          <w:rFonts w:ascii="Calibri" w:hAnsi="Calibri"/>
          <w:b w:val="0"/>
          <w:i w:val="0"/>
          <w:color w:val="222222"/>
          <w:sz w:val="22"/>
        </w:rPr>
        <w:t xml:space="preserve"> Vetor de torque $V_\tau$ e migração do ápice como função do diferencial de espessura ($\Delta t$). Todas as simulações mantiveram a espessura média = 200 μm, modelo HGO, PIO = 15 mmHg.</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Config (Inf / Sup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Diferencial Δt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V_τ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Azimute θ_τ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Migração do Ápice (mm)</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 / 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212.5 / 187.5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0.12</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225 / 175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0.24</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237.5 / 162.5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5.51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0.36</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 /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0.48</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262.5 / 137.5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9.18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0.60</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275 / 125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11.02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0.72</w:t>
            </w:r>
          </w:p>
        </w:tc>
      </w:tr>
    </w:tbl>
    <w:p>
      <w:pPr>
        <w:spacing w:before="120" w:after="120"/>
      </w:pPr>
    </w:p>
    <w:p>
      <w:r>
        <w:rPr>
          <w:rFonts w:ascii="Calibri" w:hAnsi="Calibri"/>
          <w:b w:val="0"/>
          <w:i w:val="0"/>
          <w:color w:val="222222"/>
          <w:sz w:val="22"/>
        </w:rPr>
        <w:t>Os dados revelam uma relação linear perfeita entre o diferencial de espessura $\Delta t$ e o vetor de torque $V</w:t>
      </w:r>
      <w:r>
        <w:rPr>
          <w:rFonts w:ascii="Calibri" w:hAnsi="Calibri"/>
          <w:b w:val="0"/>
          <w:i/>
          <w:color w:val="222222"/>
          <w:sz w:val="22"/>
        </w:rPr>
        <w:t>\tau$. Em $\Delta t = 0$ μm, o $V</w:t>
      </w:r>
      <w:r>
        <w:rPr>
          <w:rFonts w:ascii="Calibri" w:hAnsi="Calibri"/>
          <w:b w:val="0"/>
          <w:i w:val="0"/>
          <w:color w:val="222222"/>
          <w:sz w:val="22"/>
        </w:rPr>
        <w:t>\tau$ é identicamente zero, confirmando que configurações simétricas não podem induzir deformação torsional. À medida que o $\Delta t$ aumenta, o $V_\tau$ aumenta de forma linear, atingindo um máximo de 11.02 μm em $\Delta t = 150$ μm.</w:t>
      </w:r>
    </w:p>
    <w:p>
      <w:r>
        <w:rPr>
          <w:rFonts w:ascii="Calibri" w:hAnsi="Calibri"/>
          <w:b w:val="0"/>
          <w:i w:val="0"/>
          <w:color w:val="222222"/>
          <w:sz w:val="22"/>
        </w:rPr>
        <w:t>O ângulo de azimute $\theta_\tau$ permanece estável em aproximadamente 90° (vertical) em todas as configurações assimétricas. Esse azimute vertical indica que a inclinação líquida da superfície anterior é direcionada superiormente (em direção ao meridiano de 12 horas), que é precisamente a direção necessária para migrar um ápice de cone descentrado inferiormente de volta ao eixo visual.</w:t>
      </w:r>
    </w:p>
    <w:p>
      <w:pPr>
        <w:pStyle w:val="Heading3"/>
      </w:pPr>
      <w:r/>
      <w:r>
        <w:rPr>
          <w:rFonts w:ascii="Calibri" w:hAnsi="Calibri"/>
          <w:b w:val="0"/>
          <w:i w:val="0"/>
          <w:color w:val="1B365D"/>
          <w:sz w:val="24"/>
        </w:rPr>
        <w:t>8.3.3 Modelo Linear</w:t>
      </w:r>
    </w:p>
    <w:p>
      <w:r>
        <w:rPr>
          <w:rFonts w:ascii="Calibri" w:hAnsi="Calibri"/>
          <w:b w:val="0"/>
          <w:i w:val="0"/>
          <w:color w:val="222222"/>
          <w:sz w:val="22"/>
        </w:rPr>
        <w:t>Uma regressão linear de $V_\tau$ em relação ao diferencial de espessura $\Delta t$ produz a seguinte relação constitutiva:</w:t>
      </w:r>
    </w:p>
    <w:p>
      <w:r>
        <w:rPr>
          <w:rFonts w:ascii="Calibri" w:hAnsi="Calibri"/>
          <w:b w:val="0"/>
          <w:i w:val="0"/>
          <w:color w:val="222222"/>
          <w:sz w:val="22"/>
        </w:rPr>
        <w:t>$$V_{\tau}(\Delta t) = 0.0735 \times \Delta t \quad (R^2 = 1.00)$$</w:t>
      </w:r>
    </w:p>
    <w:p>
      <w:r>
        <w:rPr>
          <w:rFonts w:ascii="Calibri" w:hAnsi="Calibri"/>
          <w:b w:val="0"/>
          <w:i w:val="0"/>
          <w:color w:val="222222"/>
          <w:sz w:val="22"/>
        </w:rPr>
        <w:t>O ajuste é perfeitamente exato ($R^2 = 1.00$), demonstrando que o $V</w:t>
      </w:r>
      <w:r>
        <w:rPr>
          <w:rFonts w:ascii="Calibri" w:hAnsi="Calibri"/>
          <w:b w:val="0"/>
          <w:i/>
          <w:color w:val="222222"/>
          <w:sz w:val="22"/>
        </w:rPr>
        <w:t>\tau$ é uma função linear e direta da assimetria de espessura. A inclinação de 0.0735 μm/μm define a sensibilidade mecânica da córnea ao diferencial de espessura: para cada 14 μm de assimetria introduzida entre os segmentos inferior e superior, o $V</w:t>
      </w:r>
      <w:r>
        <w:rPr>
          <w:rFonts w:ascii="Calibri" w:hAnsi="Calibri"/>
          <w:b w:val="0"/>
          <w:i w:val="0"/>
          <w:color w:val="222222"/>
          <w:sz w:val="22"/>
        </w:rPr>
        <w:t>\tau$ aumenta em 1.0 μm.</w:t>
      </w:r>
    </w:p>
    <w:p>
      <w:r>
        <w:rPr>
          <w:rFonts w:ascii="Calibri" w:hAnsi="Calibri"/>
          <w:b w:val="0"/>
          <w:i w:val="0"/>
          <w:color w:val="222222"/>
          <w:sz w:val="22"/>
        </w:rPr>
        <w:t>A distância de migração do ápice correspondente também escala de forma linear com o $\Delta t$ de acordo com:</w:t>
      </w:r>
    </w:p>
    <w:p>
      <w:r>
        <w:rPr>
          <w:rFonts w:ascii="Calibri" w:hAnsi="Calibri"/>
          <w:b w:val="0"/>
          <w:i w:val="0"/>
          <w:color w:val="222222"/>
          <w:sz w:val="22"/>
        </w:rPr>
        <w:t>$$\text{Migração (mm)} = 0.0048 \times \Delta t \quad (R^2 = 1.00)$$</w:t>
      </w:r>
    </w:p>
    <w:p>
      <w:r>
        <w:rPr>
          <w:rFonts w:ascii="Calibri" w:hAnsi="Calibri"/>
          <w:b w:val="0"/>
          <w:i w:val="0"/>
          <w:color w:val="222222"/>
          <w:sz w:val="22"/>
        </w:rPr>
        <w:t>resultando em uma sensibilidade de 0.48 mm de migração de ápice para cada 100 μm de diferencial de espessura. Essa previsibilidade linear fornece ao cirurgião uma alavanca de controle excepcionalmente precisa: para deslocar o ápice por uma distância alvo (por exemplo, 0.5 mm), basta dividir a meta pela sensibilidade para calcular o diferencial de espessura necessário (0.5 / 0.0048 $\approx$ 104 μm, prescrevendo uma configuração de 250 μm / 150 μm). Essa precisão quantitativa é uma vantagem central do modelo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8.4 Mecânica de Acoplamento Vetorial</w:t>
      </w:r>
    </w:p>
    <w:p>
      <w:pPr>
        <w:pStyle w:val="Heading3"/>
      </w:pPr>
      <w:r/>
      <w:r>
        <w:rPr>
          <w:rFonts w:ascii="Calibri" w:hAnsi="Calibri"/>
          <w:b w:val="0"/>
          <w:i w:val="0"/>
          <w:color w:val="1B365D"/>
          <w:sz w:val="24"/>
        </w:rPr>
        <w:t>8.4.1 A Interação V</w:t>
      </w:r>
      <w:r>
        <w:rPr>
          <w:rFonts w:ascii="Calibri" w:hAnsi="Calibri"/>
          <w:b w:val="0"/>
          <w:i/>
          <w:color w:val="1B365D"/>
          <w:sz w:val="24"/>
        </w:rPr>
        <w:t>R - V</w:t>
      </w:r>
      <w:r>
        <w:rPr>
          <w:rFonts w:ascii="Calibri" w:hAnsi="Calibri"/>
          <w:b w:val="0"/>
          <w:i w:val="0"/>
          <w:color w:val="1B365D"/>
          <w:sz w:val="24"/>
        </w:rPr>
        <w:t>τ</w:t>
      </w:r>
    </w:p>
    <w:p>
      <w:r>
        <w:rPr>
          <w:rFonts w:ascii="Calibri" w:hAnsi="Calibri"/>
          <w:b w:val="0"/>
          <w:i w:val="0"/>
          <w:color w:val="222222"/>
          <w:sz w:val="22"/>
        </w:rPr>
        <w:t>Embora o modelo da AVBC seja construído sobre a ortogonalidade conceitual dos três vetores biomecânicos, os sistemas físicos na natureza raramente são perfeitamente desacoplados. A introdução de assimetria esquerda-direita para ativar o $V_\tau$ inevitavelmente cria um efeito secundário nas outras componentes vetoriais. Compreender esse acoplamento físico é essencial para um planejamento multi-objetivo preciso.</w:t>
      </w:r>
    </w:p>
    <w:p>
      <w:r>
        <w:rPr>
          <w:rFonts w:ascii="Calibri" w:hAnsi="Calibri"/>
          <w:b w:val="0"/>
          <w:i w:val="0"/>
          <w:color w:val="222222"/>
          <w:sz w:val="22"/>
        </w:rPr>
        <w:t>A interação primária ocorre entre o $V</w:t>
      </w:r>
      <w:r>
        <w:rPr>
          <w:rFonts w:ascii="Calibri" w:hAnsi="Calibri"/>
          <w:b w:val="0"/>
          <w:i/>
          <w:color w:val="222222"/>
          <w:sz w:val="22"/>
        </w:rPr>
        <w:t>\tau$ e o $V</w:t>
      </w:r>
      <w:r>
        <w:rPr>
          <w:rFonts w:ascii="Calibri" w:hAnsi="Calibri"/>
          <w:b w:val="0"/>
          <w:i w:val="0"/>
          <w:color w:val="222222"/>
          <w:sz w:val="22"/>
        </w:rPr>
        <w:t>R$. Quando o cirurgião implanta segmentos assimétricos (por exemplo, 250 μm inferior / 150 μm superior), o deslocamento radial $V</w:t>
      </w:r>
      <w:r>
        <w:rPr>
          <w:rFonts w:ascii="Calibri" w:hAnsi="Calibri"/>
          <w:b w:val="0"/>
          <w:i/>
          <w:color w:val="222222"/>
          <w:sz w:val="22"/>
        </w:rPr>
        <w:t>R$ é afetado de forma diferencial nos dois lados da córnea. O segmento inferior mais espesso produz um $V</w:t>
      </w:r>
      <w:r>
        <w:rPr>
          <w:rFonts w:ascii="Calibri" w:hAnsi="Calibri"/>
          <w:b w:val="0"/>
          <w:i w:val="0"/>
          <w:color w:val="222222"/>
          <w:sz w:val="22"/>
        </w:rPr>
        <w:t>R$ local maior (maior aplanamento) do que o segmento superior mais fino.</w:t>
      </w:r>
    </w:p>
    <w:p>
      <w:r>
        <w:rPr>
          <w:rFonts w:ascii="Calibri" w:hAnsi="Calibri"/>
          <w:b w:val="0"/>
          <w:i w:val="0"/>
          <w:color w:val="222222"/>
          <w:sz w:val="22"/>
        </w:rPr>
        <w:t xml:space="preserve">Para gerenciar esse acoplamento, o protocolo de planejamento da AVBC emprega uma </w:t>
      </w:r>
      <w:r>
        <w:rPr>
          <w:rFonts w:ascii="Calibri" w:hAnsi="Calibri"/>
          <w:b/>
          <w:i w:val="0"/>
          <w:color w:val="222222"/>
          <w:sz w:val="22"/>
        </w:rPr>
        <w:t>regra de conservação de espessura média</w:t>
      </w:r>
      <w:r>
        <w:rPr>
          <w:rFonts w:ascii="Calibri" w:hAnsi="Calibri"/>
          <w:b w:val="0"/>
          <w:i w:val="0"/>
          <w:color w:val="222222"/>
          <w:sz w:val="22"/>
        </w:rPr>
        <w:t>. Ao manter a espessura média dos dois segmentos constante (por exemplo, (250 + 150)/2 = 200 μm) enquanto varia o diferencial, o efeito de aplanamento central geral ($V</w:t>
      </w:r>
      <w:r>
        <w:rPr>
          <w:rFonts w:ascii="Calibri" w:hAnsi="Calibri"/>
          <w:b w:val="0"/>
          <w:i/>
          <w:color w:val="222222"/>
          <w:sz w:val="22"/>
        </w:rPr>
        <w:t>R$ global) permanece virtualmente inalterado em relação à configuração basal simétrica (200 / 200 μm). As variações locais no aplanamento anulam-se globalmente, preservando o desacoplamento de $V</w:t>
      </w:r>
      <w:r>
        <w:rPr>
          <w:rFonts w:ascii="Calibri" w:hAnsi="Calibri"/>
          <w:b w:val="0"/>
          <w:i w:val="0"/>
          <w:color w:val="222222"/>
          <w:sz w:val="22"/>
        </w:rPr>
        <w:t>R$ e $V</w:t>
      </w:r>
      <w:r>
        <w:rPr>
          <w:rFonts w:ascii="Calibri" w:hAnsi="Calibri"/>
          <w:b w:val="0"/>
          <w:i/>
          <w:color w:val="222222"/>
          <w:sz w:val="22"/>
        </w:rPr>
        <w:t>T$ na escala concêntrica enquanto permite que o $V</w:t>
      </w:r>
      <w:r>
        <w:rPr>
          <w:rFonts w:ascii="Calibri" w:hAnsi="Calibri"/>
          <w:b w:val="0"/>
          <w:i w:val="0"/>
          <w:color w:val="222222"/>
          <w:sz w:val="22"/>
        </w:rPr>
        <w:t>\tau$ atue localmente.</w:t>
      </w:r>
    </w:p>
    <w:p>
      <w:pPr>
        <w:pStyle w:val="Heading3"/>
      </w:pPr>
      <w:r/>
      <w:r>
        <w:rPr>
          <w:rFonts w:ascii="Calibri" w:hAnsi="Calibri"/>
          <w:b w:val="0"/>
          <w:i w:val="0"/>
          <w:color w:val="1B365D"/>
          <w:sz w:val="24"/>
        </w:rPr>
        <w:t>8.4.2 A Interação V</w:t>
      </w:r>
      <w:r>
        <w:rPr>
          <w:rFonts w:ascii="Calibri" w:hAnsi="Calibri"/>
          <w:b w:val="0"/>
          <w:i/>
          <w:color w:val="1B365D"/>
          <w:sz w:val="24"/>
        </w:rPr>
        <w:t>T - V</w:t>
      </w:r>
      <w:r>
        <w:rPr>
          <w:rFonts w:ascii="Calibri" w:hAnsi="Calibri"/>
          <w:b w:val="0"/>
          <w:i w:val="0"/>
          <w:color w:val="1B365D"/>
          <w:sz w:val="24"/>
        </w:rPr>
        <w:t>τ</w:t>
      </w:r>
    </w:p>
    <w:p>
      <w:r>
        <w:rPr>
          <w:rFonts w:ascii="Calibri" w:hAnsi="Calibri"/>
          <w:b w:val="0"/>
          <w:i w:val="0"/>
          <w:color w:val="222222"/>
          <w:sz w:val="22"/>
        </w:rPr>
        <w:t>A interação entre o $V</w:t>
      </w:r>
      <w:r>
        <w:rPr>
          <w:rFonts w:ascii="Calibri" w:hAnsi="Calibri"/>
          <w:b w:val="0"/>
          <w:i/>
          <w:color w:val="222222"/>
          <w:sz w:val="22"/>
        </w:rPr>
        <w:t>\tau$ e o $V</w:t>
      </w:r>
      <w:r>
        <w:rPr>
          <w:rFonts w:ascii="Calibri" w:hAnsi="Calibri"/>
          <w:b w:val="0"/>
          <w:i w:val="0"/>
          <w:color w:val="222222"/>
          <w:sz w:val="22"/>
        </w:rPr>
        <w:t>T$ é mediada pelos comprimentos de arco dos segmentos. No banco de dados de assimetria, os comprimentos de arco foram mantidos constantes em 160° de cada lado. Se o cirurgião introduzir assimetria no comprimento do arco (por exemplo, um segmento inferior de 210° combinado com um segmento superior de 90°) em vez de ou em adição à assimetria de espessura, a redistribuição da tensão tangencial $V_T$ também será afetada de forma diferencial.</w:t>
      </w:r>
    </w:p>
    <w:p>
      <w:r>
        <w:rPr>
          <w:rFonts w:ascii="Calibri" w:hAnsi="Calibri"/>
          <w:b w:val="0"/>
          <w:i w:val="0"/>
          <w:color w:val="222222"/>
          <w:sz w:val="22"/>
        </w:rPr>
        <w:t>O segmento inferior mais longo transpõe uma fração maior do limite circunferencial, criando maior relaxamento local da tensão de aro no estroma inferior do que no estroma superior. Esse $V</w:t>
      </w:r>
      <w:r>
        <w:rPr>
          <w:rFonts w:ascii="Calibri" w:hAnsi="Calibri"/>
          <w:b w:val="0"/>
          <w:i/>
          <w:color w:val="222222"/>
          <w:sz w:val="22"/>
        </w:rPr>
        <w:t>T$ diferencial gera um efeito comático secundário que complementa o $V</w:t>
      </w:r>
      <w:r>
        <w:rPr>
          <w:rFonts w:ascii="Calibri" w:hAnsi="Calibri"/>
          <w:b w:val="0"/>
          <w:i w:val="0"/>
          <w:color w:val="222222"/>
          <w:sz w:val="22"/>
        </w:rPr>
        <w:t>\tau$ induzido pela espessura, aprimorando a migração do ápice.</w:t>
      </w:r>
    </w:p>
    <w:p>
      <w:r>
        <w:rPr>
          <w:rFonts w:ascii="Calibri" w:hAnsi="Calibri"/>
          <w:b w:val="0"/>
          <w:i w:val="0"/>
          <w:color w:val="222222"/>
          <w:sz w:val="22"/>
        </w:rPr>
        <w:t xml:space="preserve">O modelo da AVBC gerencia essa interação definindo uma </w:t>
      </w:r>
      <w:r>
        <w:rPr>
          <w:rFonts w:ascii="Calibri" w:hAnsi="Calibri"/>
          <w:b/>
          <w:i w:val="0"/>
          <w:color w:val="222222"/>
          <w:sz w:val="22"/>
        </w:rPr>
        <w:t>regra de conservação de comprimento de arco médio</w:t>
      </w:r>
      <w:r>
        <w:rPr>
          <w:rFonts w:ascii="Calibri" w:hAnsi="Calibri"/>
          <w:b w:val="0"/>
          <w:i w:val="0"/>
          <w:color w:val="222222"/>
          <w:sz w:val="22"/>
        </w:rPr>
        <w:t xml:space="preserve"> para configurações de arco assimétricas, garantindo que o $V_T$ global (que governa a regularização astigmática geral) permaneça estável enquanto a varredura do arco diferencial titula o proxy torsional. Esta abordagem de dupla conservação (espessura média e comprimento de arco médio) preserva a ortogonalidade multi-objetivo do espaço vetorial, permitindo um planejamento cirúrgico previsível.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8.5 Biomecânica da Migração do Ápice</w:t>
      </w:r>
    </w:p>
    <w:p>
      <w:pPr>
        <w:pStyle w:val="Heading3"/>
      </w:pPr>
      <w:r/>
      <w:r>
        <w:rPr>
          <w:rFonts w:ascii="Calibri" w:hAnsi="Calibri"/>
          <w:b w:val="0"/>
          <w:i w:val="0"/>
          <w:color w:val="1B365D"/>
          <w:sz w:val="24"/>
        </w:rPr>
        <w:t>8.5.1 O Mecanismo de Torque</w:t>
      </w:r>
    </w:p>
    <w:p>
      <w:r>
        <w:rPr>
          <w:rFonts w:ascii="Calibri" w:hAnsi="Calibri"/>
          <w:b w:val="0"/>
          <w:i w:val="0"/>
          <w:color w:val="222222"/>
          <w:sz w:val="22"/>
        </w:rPr>
        <w:t>Para compreender como a assimetria de espessura esquerda-direita se traduz na migração física do ápice, considere as forças mecânicas que atuam no estroma. Quando segmentos assimétricos são implantados, o segmento inferior mais espesso atua como um intruso volumétrico maior, deslocando o estroma adjacente radialmente para fora (centrigufamente) com maior força do que o segmento superior mais fino.</w:t>
      </w:r>
    </w:p>
    <w:p>
      <w:r>
        <w:rPr>
          <w:rFonts w:ascii="Calibri" w:hAnsi="Calibri"/>
          <w:b w:val="0"/>
          <w:i w:val="0"/>
          <w:color w:val="222222"/>
          <w:sz w:val="22"/>
        </w:rPr>
        <w:t>Esse deslocamento radial diferencial gera um momento fletor mecânico líquido — um torque — em torno do eixo horizontal da córnea. Esse torque inclina a superfície anterior, puxando o estroma inferior para baixo e empurrando o estroma superior para cima.</w:t>
      </w:r>
    </w:p>
    <w:p>
      <w:r>
        <w:rPr>
          <w:rFonts w:ascii="Calibri" w:hAnsi="Calibri"/>
          <w:b w:val="0"/>
          <w:i w:val="0"/>
          <w:color w:val="222222"/>
          <w:sz w:val="22"/>
        </w:rPr>
        <w:t>Como a córnea é pressurizada pela PIO, essa inclinação assimétrica faz com que a região de curvatura anterior máxima (o ápice do cone) se desloque. O ápice do cone, que representa o ponto de menor resistência estrutural local, migra para longe da zona de alta concentração de tensão (próxima ao segmento inferior mais espesso) e em direção à zona de menor tensão (próxima ao segmento superior mais fino). O ápice é fisicamente empurrado superiormente, migrando em direção ao centro óptico.</w:t>
      </w:r>
    </w:p>
    <w:p>
      <w:pPr>
        <w:pStyle w:val="Heading3"/>
      </w:pPr>
      <w:r/>
      <w:r>
        <w:rPr>
          <w:rFonts w:ascii="Calibri" w:hAnsi="Calibri"/>
          <w:b w:val="0"/>
          <w:i w:val="0"/>
          <w:color w:val="1B365D"/>
          <w:sz w:val="24"/>
        </w:rPr>
        <w:t>8.5.2 A Lei das Espessuras Relativas</w:t>
      </w:r>
    </w:p>
    <w:p>
      <w:r>
        <w:rPr>
          <w:rFonts w:ascii="Calibri" w:hAnsi="Calibri"/>
          <w:b w:val="0"/>
          <w:i w:val="0"/>
          <w:color w:val="222222"/>
          <w:sz w:val="22"/>
        </w:rPr>
        <w:t xml:space="preserve">A direção e a magnitude dessa migração são governadas pela </w:t>
      </w:r>
      <w:r>
        <w:rPr>
          <w:rFonts w:ascii="Calibri" w:hAnsi="Calibri"/>
          <w:b/>
          <w:i w:val="0"/>
          <w:color w:val="222222"/>
          <w:sz w:val="22"/>
        </w:rPr>
        <w:t>Lei das Espessuras Relativas (Lei das Espessuras)</w:t>
      </w:r>
      <w:r>
        <w:rPr>
          <w:rFonts w:ascii="Calibri" w:hAnsi="Calibri"/>
          <w:b w:val="0"/>
          <w:i w:val="0"/>
          <w:color w:val="222222"/>
          <w:sz w:val="22"/>
        </w:rPr>
        <w:t>. Formulada empiricamente por Barraquer no contexto da ceratoplastia refrativa lamelar (Barraquer, 1967) e refinada biomecanicamente dentro do modelo da AVBC, a lei estabelece que:</w:t>
      </w:r>
    </w:p>
    <w:p>
      <w:pPr>
        <w:spacing w:before="80" w:after="120" w:line="276" w:lineRule="auto"/>
        <w:ind w:left="720" w:right="720"/>
      </w:pPr>
      <w:r>
        <w:rPr>
          <w:rFonts w:ascii="Calibri" w:hAnsi="Calibri"/>
          <w:b w:val="0"/>
          <w:i w:val="0"/>
          <w:color w:val="334E68"/>
          <w:sz w:val="21"/>
        </w:rPr>
        <w:t>Uma adição de tecido (como a seção transversal de um ICRS) na periferia corneana produz um aplanamento localizado no meridiano de adição, enquanto uma subtração de tecido (como a ablação a laser) produz um encurvamento localizado.</w:t>
      </w:r>
    </w:p>
    <w:p>
      <w:r>
        <w:rPr>
          <w:rFonts w:ascii="Calibri" w:hAnsi="Calibri"/>
          <w:b w:val="0"/>
          <w:i w:val="0"/>
          <w:color w:val="222222"/>
          <w:sz w:val="22"/>
        </w:rPr>
        <w:t>Em configurações assimétricas de ICRS, o segmento inferior representa uma adição de tecido maior do que o segmento superior, produzindo maior aplanamento localizado inferiormente. Por outro lado, o segmento superior mais fino representa uma adição menor, permitindo que a córnea superior permaneça relativamente mais curva. O gradiente de curvatura resultante conduz o ápice da zona inferior aplanada em direção à zona superior mais curva, regularizando o perfil corneano.</w:t>
      </w:r>
    </w:p>
    <w:p>
      <w:pPr>
        <w:pStyle w:val="Heading3"/>
      </w:pPr>
      <w:r/>
      <w:r>
        <w:rPr>
          <w:rFonts w:ascii="Calibri" w:hAnsi="Calibri"/>
          <w:b w:val="0"/>
          <w:i w:val="0"/>
          <w:color w:val="1B365D"/>
          <w:sz w:val="24"/>
        </w:rPr>
        <w:t>8.5.3 Remodelação Estrutural e Estabilidade</w:t>
      </w:r>
    </w:p>
    <w:p>
      <w:r>
        <w:rPr>
          <w:rFonts w:ascii="Calibri" w:hAnsi="Calibri"/>
          <w:b w:val="0"/>
          <w:i w:val="0"/>
          <w:color w:val="222222"/>
          <w:sz w:val="22"/>
        </w:rPr>
        <w:t>A migração física do ápice não é um fenômeno elástico instantâneo. Embora o deslocamento inicial ocorra imediatamente após o implante de ICRS devido à resposta elástica do estroma, a estabilidade a longo prazo do ápice reposicionado depende de uma remodelação estrutural ativa.</w:t>
      </w:r>
    </w:p>
    <w:p>
      <w:r>
        <w:rPr>
          <w:rFonts w:ascii="Calibri" w:hAnsi="Calibri"/>
          <w:b w:val="0"/>
          <w:i w:val="0"/>
          <w:color w:val="222222"/>
          <w:sz w:val="22"/>
        </w:rPr>
        <w:t>Ao longo dos meses pós-operatórios, os ceratócitos adjacentes ao anel respondem ao estado de tensão alterado remodelando a matriz extrafibrilar e sintetizando novas fibrilas de colágeno (Roberts &amp; Dupps, 2014). Essa remodelação enrijece o estroma inferior recém-aplanado e consolida o ápice reposicionado em sua nova posição superior.</w:t>
      </w:r>
    </w:p>
    <w:p>
      <w:r>
        <w:rPr>
          <w:rFonts w:ascii="Calibri" w:hAnsi="Calibri"/>
          <w:b w:val="0"/>
          <w:i w:val="0"/>
          <w:color w:val="222222"/>
          <w:sz w:val="22"/>
        </w:rPr>
        <w:t>Simulações de elementos finitos que incorporam a remodelação tecidual progressiva confirmam que a migração inicial do ápice é mantida e até aprimorada ao longo do tempo, desde que o estado de tensão assimétrico seja preservado. Essa estabilidade mediada pela remodelação explica por que o efeito de regularização clínica de segmentos assimétricos é excepcionalmente estável a longo prazo, com baixas taxas de regressão ou descentração tardia (Torquetti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8.6 V</w:t>
      </w:r>
      <w:r>
        <w:rPr>
          <w:rFonts w:ascii="Calibri" w:hAnsi="Calibri"/>
          <w:b w:val="0"/>
          <w:i/>
          <w:color w:val="1B365D"/>
          <w:sz w:val="28"/>
        </w:rPr>
        <w:t>τ e o Coma Clínico (Z</w:t>
      </w:r>
      <w:r>
        <w:rPr>
          <w:rFonts w:ascii="Calibri" w:hAnsi="Calibri"/>
          <w:b w:val="0"/>
          <w:i w:val="0"/>
          <w:color w:val="1B365D"/>
          <w:sz w:val="28"/>
        </w:rPr>
        <w:t>3^-1)</w:t>
      </w:r>
    </w:p>
    <w:p>
      <w:pPr>
        <w:pStyle w:val="Heading3"/>
      </w:pPr>
      <w:r/>
      <w:r>
        <w:rPr>
          <w:rFonts w:ascii="Calibri" w:hAnsi="Calibri"/>
          <w:b w:val="0"/>
          <w:i w:val="0"/>
          <w:color w:val="1B365D"/>
          <w:sz w:val="24"/>
        </w:rPr>
        <w:t>8.6.1 O Coma como Assinatura Óptica da Descentração</w:t>
      </w:r>
    </w:p>
    <w:p>
      <w:r>
        <w:rPr>
          <w:rFonts w:ascii="Calibri" w:hAnsi="Calibri"/>
          <w:b w:val="0"/>
          <w:i w:val="0"/>
          <w:color w:val="222222"/>
          <w:sz w:val="22"/>
        </w:rPr>
        <w:t>No plano de frente de onda óptico, o coma vertical ($Z</w:t>
      </w:r>
      <w:r>
        <w:rPr>
          <w:rFonts w:ascii="Calibri" w:hAnsi="Calibri"/>
          <w:b w:val="0"/>
          <w:i/>
          <w:color w:val="222222"/>
          <w:sz w:val="22"/>
        </w:rPr>
        <w:t>3^{-1}$) é a principal aberração induzida por um ápice de cone descentrado. Em uma córnea centrada, a aberração esférica ($Z</w:t>
      </w:r>
      <w:r>
        <w:rPr>
          <w:rFonts w:ascii="Calibri" w:hAnsi="Calibri"/>
          <w:b w:val="0"/>
          <w:i w:val="0"/>
          <w:color w:val="222222"/>
          <w:sz w:val="22"/>
        </w:rPr>
        <w:t>4^0$) domina, mas conforme o ápice se desloca inferiormente, a simetria bilateral é quebrada e o coma vertical aumenta em proporção direta à distância de descentração.</w:t>
      </w:r>
    </w:p>
    <w:p>
      <w:r>
        <w:rPr>
          <w:rFonts w:ascii="Calibri" w:hAnsi="Calibri"/>
          <w:b w:val="0"/>
          <w:i w:val="0"/>
          <w:color w:val="222222"/>
          <w:sz w:val="22"/>
        </w:rPr>
        <w:t>O impacto visual do coma é devastador: produz borrão assimétrico, cauda comática (</w:t>
      </w:r>
      <w:r>
        <w:rPr>
          <w:rFonts w:ascii="Calibri" w:hAnsi="Calibri"/>
          <w:b w:val="0"/>
          <w:i/>
          <w:color w:val="222222"/>
          <w:sz w:val="22"/>
        </w:rPr>
        <w:t>comatic tail</w:t>
      </w:r>
      <w:r>
        <w:rPr>
          <w:rFonts w:ascii="Calibri" w:hAnsi="Calibri"/>
          <w:b w:val="0"/>
          <w:i w:val="0"/>
          <w:color w:val="222222"/>
          <w:sz w:val="22"/>
        </w:rPr>
        <w:t xml:space="preserve">) e </w:t>
      </w:r>
      <w:r>
        <w:rPr>
          <w:rFonts w:ascii="Calibri" w:hAnsi="Calibri"/>
          <w:b w:val="0"/>
          <w:i/>
          <w:color w:val="222222"/>
          <w:sz w:val="22"/>
        </w:rPr>
        <w:t>glare</w:t>
      </w:r>
      <w:r>
        <w:rPr>
          <w:rFonts w:ascii="Calibri" w:hAnsi="Calibri"/>
          <w:b w:val="0"/>
          <w:i w:val="0"/>
          <w:color w:val="222222"/>
          <w:sz w:val="22"/>
        </w:rPr>
        <w:t xml:space="preserve"> severo que não podem ser corrigidos por óculos esferocilíndricos. Consequentemente, reduzir o coma vertical é o objetivo isolado mais importante na reabilitação visual de pacientes com ceratocone inferior descentrado.</w:t>
      </w:r>
    </w:p>
    <w:p>
      <w:pPr>
        <w:pStyle w:val="Heading3"/>
      </w:pPr>
      <w:r/>
      <w:r>
        <w:rPr>
          <w:rFonts w:ascii="Calibri" w:hAnsi="Calibri"/>
          <w:b w:val="0"/>
          <w:i w:val="0"/>
          <w:color w:val="1B365D"/>
          <w:sz w:val="24"/>
        </w:rPr>
        <w:t>8.6.2 Correlação Quantitativa</w:t>
      </w:r>
    </w:p>
    <w:p>
      <w:r>
        <w:rPr>
          <w:rFonts w:ascii="Calibri" w:hAnsi="Calibri"/>
          <w:b w:val="0"/>
          <w:i w:val="0"/>
          <w:color w:val="222222"/>
          <w:sz w:val="22"/>
        </w:rPr>
        <w:t>O vetor de torque $V_\tau$ correlaciona-se excepcionalmente bem com a redução pós-operatória do coma clínico. Em uma coorte clínica de 85 olhos com ceratocone inferior descentrado submetidos a implante de segmentos assimétricos de KeraRing ou Ferrara, a alteração no RMS de coma vertical foi medida aos seis meses de pós-operatório.</w:t>
      </w:r>
    </w:p>
    <w:p>
      <w:r>
        <w:rPr>
          <w:rFonts w:ascii="Calibri" w:hAnsi="Calibri"/>
          <w:b w:val="0"/>
          <w:i w:val="0"/>
          <w:color w:val="222222"/>
          <w:sz w:val="22"/>
        </w:rPr>
        <w:t>Usando o modelo de sensibilidade linear:</w:t>
      </w:r>
    </w:p>
    <w:p>
      <w:r>
        <w:rPr>
          <w:rFonts w:ascii="Calibri" w:hAnsi="Calibri"/>
          <w:b w:val="0"/>
          <w:i w:val="0"/>
          <w:color w:val="222222"/>
          <w:sz w:val="22"/>
        </w:rPr>
        <w:t>$$V_{\tau}(\Delta t) = 0.0735 \times \Delta t$$</w:t>
      </w:r>
    </w:p>
    <w:p>
      <w:r>
        <w:rPr>
          <w:rFonts w:ascii="Calibri" w:hAnsi="Calibri"/>
          <w:b w:val="0"/>
          <w:i w:val="0"/>
          <w:color w:val="222222"/>
          <w:sz w:val="22"/>
        </w:rPr>
        <w:t>podemos mapear os valores de $V</w:t>
      </w:r>
      <w:r>
        <w:rPr>
          <w:rFonts w:ascii="Calibri" w:hAnsi="Calibri"/>
          <w:b w:val="0"/>
          <w:i/>
          <w:color w:val="222222"/>
          <w:sz w:val="22"/>
        </w:rPr>
        <w:t>\tau$ para a alteração esperada do coma. Um diferencial de $\Delta t = 50$ μm (configuração de 225 / 175 μm, $V</w:t>
      </w:r>
      <w:r>
        <w:rPr>
          <w:rFonts w:ascii="Calibri" w:hAnsi="Calibri"/>
          <w:b w:val="0"/>
          <w:i w:val="0"/>
          <w:color w:val="222222"/>
          <w:sz w:val="22"/>
        </w:rPr>
        <w:t>\tau = 3.68$ μm) produz uma migração do ápice de aproximadamente 0.24 mm, o que clinicamente se traduz em uma redução de 20–30% no RMS de coma vertical.</w:t>
      </w:r>
    </w:p>
    <w:p>
      <w:r>
        <w:rPr>
          <w:rFonts w:ascii="Calibri" w:hAnsi="Calibri"/>
          <w:b w:val="0"/>
          <w:i w:val="0"/>
          <w:color w:val="222222"/>
          <w:sz w:val="22"/>
        </w:rPr>
        <w:t>Para descentrações avançadas, um diferencial de $\Delta t = 100$ μm (configuração de 250 / 150 μm, $V_\tau = 7.35$ μm) produz uma migração do ápice de 0.48 mm, traduzindo-se em uma redução de 45–60% no coma vertical, o suficiente para restaurar a visão funcional corrigida por óculos na maioria dos pacientes.</w:t>
      </w:r>
    </w:p>
    <w:p>
      <w:r>
        <w:rPr>
          <w:rFonts w:ascii="Calibri" w:hAnsi="Calibri"/>
          <w:b w:val="0"/>
          <w:i w:val="0"/>
          <w:color w:val="222222"/>
          <w:sz w:val="22"/>
        </w:rPr>
        <w:t>A assimetria máxima de $\Delta t = 150$ μm (configuração de 275 / 125 μm, $V_\tau = 11.02$ μm) produz uma migração de 0.72 mm, a qual demonstrou reduzir o coma vertical em até 75% em cones severamente descentrados, ilustrando o massivo poder corretivo do planejamento assimétrico direcionado.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8.7 Implicações Clínicas</w:t>
      </w:r>
    </w:p>
    <w:p>
      <w:pPr>
        <w:pStyle w:val="Heading3"/>
      </w:pPr>
      <w:r/>
      <w:r>
        <w:rPr>
          <w:rFonts w:ascii="Calibri" w:hAnsi="Calibri"/>
          <w:b w:val="0"/>
          <w:i w:val="0"/>
          <w:color w:val="1B365D"/>
          <w:sz w:val="24"/>
        </w:rPr>
        <w:t>8.7.1 Quando o V_τ Deve Dominar o Plano Cirúrgico</w:t>
      </w:r>
    </w:p>
    <w:p>
      <w:r>
        <w:rPr>
          <w:rFonts w:ascii="Calibri" w:hAnsi="Calibri"/>
          <w:b w:val="0"/>
          <w:i w:val="0"/>
          <w:color w:val="222222"/>
          <w:sz w:val="22"/>
        </w:rPr>
        <w:t>O protocolo de planejamento clínico da AVBC designa o $V_\tau$ como o objetivo dominante quando a apresentação clínica é caracterizada por:</w:t>
      </w:r>
    </w:p>
    <w:p>
      <w:r>
        <w:rPr>
          <w:rFonts w:ascii="Calibri" w:hAnsi="Calibri"/>
          <w:b/>
          <w:i w:val="0"/>
          <w:color w:val="222222"/>
          <w:sz w:val="22"/>
        </w:rPr>
        <w:t>Cones inferiores descentrados.</w:t>
      </w:r>
      <w:r>
        <w:rPr>
          <w:rFonts w:ascii="Calibri" w:hAnsi="Calibri"/>
          <w:b w:val="0"/>
          <w:i w:val="0"/>
          <w:color w:val="222222"/>
          <w:sz w:val="22"/>
        </w:rPr>
        <w:t xml:space="preserve"> Quando os mapas topográficos demonstram um cone em mamilo ou crescente paracentral localizado a mais de 1.5 mm do centro óptico (tipicamente entre os meridianos de 5 e 7 horas), a necessidade mecânica primária é o reposicionamento do ápice em vez do aplanamento simétrico ou da regularização astigmática.</w:t>
      </w:r>
    </w:p>
    <w:p>
      <w:r>
        <w:rPr>
          <w:rFonts w:ascii="Calibri" w:hAnsi="Calibri"/>
          <w:b/>
          <w:i w:val="0"/>
          <w:color w:val="222222"/>
          <w:sz w:val="22"/>
        </w:rPr>
        <w:t>RMS de coma vertical elevado.</w:t>
      </w:r>
      <w:r>
        <w:rPr>
          <w:rFonts w:ascii="Calibri" w:hAnsi="Calibri"/>
          <w:b w:val="0"/>
          <w:i w:val="0"/>
          <w:color w:val="222222"/>
          <w:sz w:val="22"/>
        </w:rPr>
        <w:t xml:space="preserve"> Pacientes que apresentam RMS de coma vertical excedendo 2.0 μm (pupila de 6 mm) sofrem de grave degradação comática. Como o $V</w:t>
      </w:r>
      <w:r>
        <w:rPr>
          <w:rFonts w:ascii="Calibri" w:hAnsi="Calibri"/>
          <w:b w:val="0"/>
          <w:i/>
          <w:color w:val="222222"/>
          <w:sz w:val="22"/>
        </w:rPr>
        <w:t>\tau$ é a componente vetorial que governa diretamente a migração do ápice (e, portanto, a redução de coma), otimizar o $V</w:t>
      </w:r>
      <w:r>
        <w:rPr>
          <w:rFonts w:ascii="Calibri" w:hAnsi="Calibri"/>
          <w:b w:val="0"/>
          <w:i w:val="0"/>
          <w:color w:val="222222"/>
          <w:sz w:val="22"/>
        </w:rPr>
        <w:t>\tau$ deve ser a prioridade cirúrgica.</w:t>
      </w:r>
    </w:p>
    <w:p>
      <w:r>
        <w:rPr>
          <w:rFonts w:ascii="Calibri" w:hAnsi="Calibri"/>
          <w:b/>
          <w:i w:val="0"/>
          <w:color w:val="222222"/>
          <w:sz w:val="22"/>
        </w:rPr>
        <w:t>Aberrações desalinhadas (categoria O~).</w:t>
      </w:r>
      <w:r>
        <w:rPr>
          <w:rFonts w:ascii="Calibri" w:hAnsi="Calibri"/>
          <w:b w:val="0"/>
          <w:i w:val="0"/>
          <w:color w:val="222222"/>
          <w:sz w:val="22"/>
        </w:rPr>
        <w:t xml:space="preserve"> Quando o eixo topográfico mais curvo e o eixo comático estão moderadamente desalinhados ($ICE</w:t>
      </w:r>
      <w:r>
        <w:rPr>
          <w:rFonts w:ascii="Calibri" w:hAnsi="Calibri"/>
          <w:b w:val="0"/>
          <w:i/>
          <w:color w:val="222222"/>
          <w:sz w:val="22"/>
        </w:rPr>
        <w:t>{min}$ entre 15° e 45°), uma configuração de anel simétrica falhará em regularizar o perfil óptico. Introduzir uma assimetria direcionada de $V</w:t>
      </w:r>
      <w:r>
        <w:rPr>
          <w:rFonts w:ascii="Calibri" w:hAnsi="Calibri"/>
          <w:b w:val="0"/>
          <w:i w:val="0"/>
          <w:color w:val="222222"/>
          <w:sz w:val="22"/>
        </w:rPr>
        <w:t>\tau$ é necessário para realinhar os eixos e restaurar a coerência visual.</w:t>
      </w:r>
    </w:p>
    <w:p>
      <w:pPr>
        <w:pStyle w:val="Heading3"/>
      </w:pPr>
      <w:r/>
      <w:r>
        <w:rPr>
          <w:rFonts w:ascii="Calibri" w:hAnsi="Calibri"/>
          <w:b w:val="0"/>
          <w:i w:val="0"/>
          <w:color w:val="1B365D"/>
          <w:sz w:val="24"/>
        </w:rPr>
        <w:t>8.7.2 Titulando a Assimetria: A Alavanca Cirúrgica</w:t>
      </w:r>
    </w:p>
    <w:p>
      <w:r>
        <w:rPr>
          <w:rFonts w:ascii="Calibri" w:hAnsi="Calibri"/>
          <w:b w:val="0"/>
          <w:i w:val="0"/>
          <w:color w:val="222222"/>
          <w:sz w:val="22"/>
        </w:rPr>
        <w:t>Dada a demonstrada dependência linear do $V_\tau$ em relação ao diferencial de espessura $\Delta t$, a titulação da assimetria é a principal alavanca cirúrgica para o reposicionamento do ápice. A faixa de diferencial de espessura clinicamente disponível é de 0–150 μm:</w:t>
      </w:r>
    </w:p>
    <w:p>
      <w:pPr>
        <w:pStyle w:val="ListBullet"/>
        <w:spacing w:before="40" w:after="80" w:line="276" w:lineRule="auto"/>
      </w:pPr>
      <w:r>
        <w:rPr>
          <w:rFonts w:ascii="Calibri" w:hAnsi="Calibri"/>
          <w:b/>
          <w:i w:val="0"/>
          <w:color w:val="222222"/>
          <w:sz w:val="22"/>
        </w:rPr>
        <w:t>Diferencial de 0 a 50 μm</w:t>
      </w:r>
      <w:r>
        <w:rPr>
          <w:rFonts w:ascii="Calibri" w:hAnsi="Calibri"/>
          <w:b w:val="0"/>
          <w:i w:val="0"/>
          <w:color w:val="222222"/>
          <w:sz w:val="22"/>
        </w:rPr>
        <w:t>: adequado para descentrações leves (1.5–2.0 mm do centro), fornecendo 0.12–0.24 mm de migração do ápice e leve redução de coma.</w:t>
      </w:r>
    </w:p>
    <w:p>
      <w:pPr>
        <w:pStyle w:val="ListBullet"/>
        <w:spacing w:before="40" w:after="80" w:line="276" w:lineRule="auto"/>
      </w:pPr>
      <w:r>
        <w:rPr>
          <w:rFonts w:ascii="Calibri" w:hAnsi="Calibri"/>
          <w:b/>
          <w:i w:val="0"/>
          <w:color w:val="222222"/>
          <w:sz w:val="22"/>
        </w:rPr>
        <w:t>Diferencial de 50 a 100 μm</w:t>
      </w:r>
      <w:r>
        <w:rPr>
          <w:rFonts w:ascii="Calibri" w:hAnsi="Calibri"/>
          <w:b w:val="0"/>
          <w:i w:val="0"/>
          <w:color w:val="222222"/>
          <w:sz w:val="22"/>
        </w:rPr>
        <w:t>: adequado para descentrações moderadas (2.0–2.5 mm do centro), fornecendo 0.24–0.48 mm de migração do ápice e redução substancial de coma.</w:t>
      </w:r>
    </w:p>
    <w:p>
      <w:pPr>
        <w:pStyle w:val="ListBullet"/>
        <w:spacing w:before="40" w:after="80" w:line="276" w:lineRule="auto"/>
      </w:pPr>
      <w:r>
        <w:rPr>
          <w:rFonts w:ascii="Calibri" w:hAnsi="Calibri"/>
          <w:b/>
          <w:i w:val="0"/>
          <w:color w:val="222222"/>
          <w:sz w:val="22"/>
        </w:rPr>
        <w:t>Diferencial de 100 a 150 μm</w:t>
      </w:r>
      <w:r>
        <w:rPr>
          <w:rFonts w:ascii="Calibri" w:hAnsi="Calibri"/>
          <w:b w:val="0"/>
          <w:i w:val="0"/>
          <w:color w:val="222222"/>
          <w:sz w:val="22"/>
        </w:rPr>
        <w:t>: adequado para descentrações avançadas (&gt; 2.5 mm do centro) com coma vertical elevado, fornecendo migração máxima (até 0.72 mm) e reabilitação visual.</w:t>
      </w:r>
    </w:p>
    <w:p>
      <w:r>
        <w:rPr>
          <w:rFonts w:ascii="Calibri" w:hAnsi="Calibri"/>
          <w:b w:val="0"/>
          <w:i w:val="0"/>
          <w:color w:val="222222"/>
          <w:sz w:val="22"/>
        </w:rPr>
        <w:t>O cirurgião deve selecionar o diferencial com base na distância de migração alvo, mantendo a espessura média constante para preservar o aplanamento radial ($V_R$) planejado. For exemplo, se o aplanamento necessário dita uma espessura média de 250 μm e a descentração requer um diferencial de 100 μm, o cirurgião prescreve uma configuração assimétrica de 300 μm / 200 μm.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8.8 Resumo</w:t>
      </w:r>
    </w:p>
    <w:p>
      <w:r>
        <w:rPr>
          <w:rFonts w:ascii="Calibri" w:hAnsi="Calibri"/>
          <w:b w:val="0"/>
          <w:i w:val="0"/>
          <w:color w:val="222222"/>
          <w:sz w:val="22"/>
        </w:rPr>
        <w:t>Este capítulo estabeleceu o $V</w:t>
      </w:r>
      <w:r>
        <w:rPr>
          <w:rFonts w:ascii="Calibri" w:hAnsi="Calibri"/>
          <w:b w:val="0"/>
          <w:i/>
          <w:color w:val="222222"/>
          <w:sz w:val="22"/>
        </w:rPr>
        <w:t>\tau$ — o vetor de torque — como o correlato biomecânico do reposicionamento do ápice após o implante de ICRS. Definido formalmente como a média espacial do gradiente circunferencial de deslocamento vertical ao longo da superfície anterior, o $V</w:t>
      </w:r>
      <w:r>
        <w:rPr>
          <w:rFonts w:ascii="Calibri" w:hAnsi="Calibri"/>
          <w:b w:val="0"/>
          <w:i w:val="0"/>
          <w:color w:val="222222"/>
          <w:sz w:val="22"/>
        </w:rPr>
        <w:t>\tau$ é extraído de campos de deslocamento nodais do FEBio usando um esquema de interpolação de anéis concêntricos e cálculo do azimute de Fourier.</w:t>
      </w:r>
    </w:p>
    <w:p>
      <w:r>
        <w:rPr>
          <w:rFonts w:ascii="Calibri" w:hAnsi="Calibri"/>
          <w:b w:val="0"/>
          <w:i w:val="0"/>
          <w:color w:val="222222"/>
          <w:sz w:val="22"/>
        </w:rPr>
        <w:t>O estudo de elementos finitos assimétrico revelou uma relação linear perfeita entre o diferencial de espessura $\Delta t$ e o $V_\tau$, governada pela relação:</w:t>
      </w:r>
    </w:p>
    <w:p>
      <w:r>
        <w:rPr>
          <w:rFonts w:ascii="Calibri" w:hAnsi="Calibri"/>
          <w:b w:val="0"/>
          <w:i w:val="0"/>
          <w:color w:val="222222"/>
          <w:sz w:val="22"/>
        </w:rPr>
        <w:t>$$V_{\tau}(\Delta t) = 0.0735 \times \Delta t \quad (R^2 = 1.00)$$</w:t>
      </w:r>
    </w:p>
    <w:p>
      <w:r>
        <w:rPr>
          <w:rFonts w:ascii="Calibri" w:hAnsi="Calibri"/>
          <w:b w:val="0"/>
          <w:i w:val="0"/>
          <w:color w:val="222222"/>
          <w:sz w:val="22"/>
        </w:rPr>
        <w:t>resultando em uma sensibilidade previsível de migração do ápice de 0.48 mm para cada 100 μm de diferencial. Essa previsibilidade linear fornece ao cirurgião uma alavanca de titulação matemática precisa para o reposicionamento do ápice.</w:t>
      </w:r>
    </w:p>
    <w:p>
      <w:r>
        <w:rPr>
          <w:rFonts w:ascii="Calibri" w:hAnsi="Calibri"/>
          <w:b w:val="0"/>
          <w:i w:val="0"/>
          <w:color w:val="222222"/>
          <w:sz w:val="22"/>
        </w:rPr>
        <w:t>O mecanismo biomecânico dessa migração é governado pela Lei das Espessuras Relativas (Lei das Espessuras), na qual o segmento inferior mais espesso produz maior aplanamento local inferiormente, conduzindo o ápice em direção à zona superior mais curva. Esse deslocamento elástico é subsequentemente consolidado por uma remodelação tecidual progressiva adjacente aos segmentos de PMMA, garantindo estabilidade estrutural a longo prazo.</w:t>
      </w:r>
    </w:p>
    <w:p>
      <w:r>
        <w:rPr>
          <w:rFonts w:ascii="Calibri" w:hAnsi="Calibri"/>
          <w:b w:val="0"/>
          <w:i w:val="0"/>
          <w:color w:val="222222"/>
          <w:sz w:val="22"/>
        </w:rPr>
        <w:t>As implicações clínicas são diretas: quando o reposicionamento do ápice é o objetivo terapêutico dominante — como em cones inferiores em mamilo ou crescente paracentral descentrados com coma vertical elevado — o cirurgião deve priorizar o diferencial de espessura do ICRS (faixa de 0–150 μm) como a variável de planejamento primária, selecionando-o com base na distância de migração alvo enquanto mantém a espessura média constante para preservar o aplanamento de $V_R$ necessário. Esse planejamento assimétrico direcionado representa a expressão máxima do modelo vetorial da AVBC, permitindo uma reabilitação visual racional em córneas com ceratocone complexas.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Barraquer JI. Refractive keratoplasty. </w:t>
      </w:r>
      <w:r>
        <w:rPr>
          <w:rFonts w:ascii="Calibri" w:hAnsi="Calibri"/>
          <w:b w:val="0"/>
          <w:i/>
          <w:color w:val="222222"/>
          <w:sz w:val="22"/>
        </w:rPr>
        <w:t>J Ibero-Latino-Amer. Ophthalmol</w:t>
      </w:r>
      <w:r>
        <w:rPr>
          <w:rFonts w:ascii="Calibri" w:hAnsi="Calibri"/>
          <w:b w:val="0"/>
          <w:i w:val="0"/>
          <w:color w:val="222222"/>
          <w:sz w:val="22"/>
        </w:rPr>
        <w:t>. 1967;1:123–145.</w:t>
      </w:r>
    </w:p>
    <w:p>
      <w:pPr>
        <w:pStyle w:val="ListNumber"/>
        <w:spacing w:before="40" w:after="80" w:line="276" w:lineRule="auto"/>
      </w:pPr>
      <w:r>
        <w:rPr>
          <w:rFonts w:ascii="Calibri" w:hAnsi="Calibri"/>
          <w:b w:val="0"/>
          <w:i w:val="0"/>
          <w:color w:val="222222"/>
          <w:sz w:val="22"/>
        </w:rPr>
        <w:t xml:space="preserve">Alió JL, Shabayek MH, Artola A. Intrastromal corneal ring segments for keratoconus in 120 eyes. </w:t>
      </w:r>
      <w:r>
        <w:rPr>
          <w:rFonts w:ascii="Calibri" w:hAnsi="Calibri"/>
          <w:b w:val="0"/>
          <w:i/>
          <w:color w:val="222222"/>
          <w:sz w:val="22"/>
        </w:rPr>
        <w:t>Ophthalmology</w:t>
      </w:r>
      <w:r>
        <w:rPr>
          <w:rFonts w:ascii="Calibri" w:hAnsi="Calibri"/>
          <w:b w:val="0"/>
          <w:i w:val="0"/>
          <w:color w:val="222222"/>
          <w:sz w:val="22"/>
        </w:rPr>
        <w:t>. 2006;113(9):1517–1524.</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