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11 — Fluxo de Trabalho Clínico: Do Mapa ao Anel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Análise Vetorial Biomecânica Corneana para Planejamento de Segmento de Anel Intraestromal</w:t>
      </w:r>
      <w:r>
        <w:rPr>
          <w:rFonts w:ascii="Calibri" w:hAnsi="Calibri"/>
          <w:b w:val="0"/>
          <w:i w:val="0"/>
          <w:color w:val="334E68"/>
          <w:sz w:val="21"/>
        </w:rPr>
        <w:t xml:space="preserve"> </w:t>
      </w:r>
      <w:r>
        <w:rPr>
          <w:rFonts w:ascii="Calibri" w:hAnsi="Calibri"/>
          <w:b w:val="0"/>
          <w:i/>
          <w:color w:val="334E68"/>
          <w:sz w:val="21"/>
        </w:rPr>
        <w:t>Parte IV — Aplicação Clínica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Os capítulos anteriores estabeleceram o arcabouço teórico: os três vetores biomecânicos (VR, VT, Vτ), sua extração de modelos de elementos finitos, sua dependência dos parâmetros do anel e o sistema de classificação integrado AVBC. O desafio agora é a tradução — converter este arcabouço em um fluxo de trabalho clínico reprodutível que um cirurgião de córnea possa aplicar em seu consultório.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Este capítulo apresenta o protocolo clínico AVBC como uma árvore de decisão sequencial. O fluxo de trabalho destila a avaliação trimodal (O, T, B) em uma série de etapas práticas, cada uma apoiada por critérios quantitativos e vinculada a instrumentos específicos de exame. Dois exemplos clínicos práticos ilustram o protocolo desde a avaliação inicial até a seleção do anel e a estimativa do resultado esperado.</w:t>
      </w:r>
    </w:p>
    <w:p>
      <w:r>
        <w:rPr>
          <w:rFonts w:ascii="Calibri" w:hAnsi="Calibri"/>
          <w:b w:val="0"/>
          <w:i w:val="0"/>
          <w:color w:val="222222"/>
          <w:sz w:val="22"/>
        </w:rPr>
        <w:t>O protocolo foi projetado para ser aditivo, e não disruptivo: ele adiciona o raciocínio biomecânico ao exame clínico existente em vez de substituí-lo. O cirurgião que já realiza a tomografia de Pentacam, a aberrometria de frente de onda e a refração clínica sob cicloplegia possui todos os dados necessários para a avaliação do AVBC. O arcabouço reorganiza e reinterpreta esses dados dentro de um contexto mecânico.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11.2 Avaliação Pré-Operatória: A Sequência de Exames AVBC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Etapa 1 — Exame Oftalmológico Padrão</w:t>
      </w:r>
    </w:p>
    <w:p>
      <w:r>
        <w:rPr>
          <w:rFonts w:ascii="Calibri" w:hAnsi="Calibri"/>
          <w:b w:val="0"/>
          <w:i w:val="0"/>
          <w:color w:val="222222"/>
          <w:sz w:val="22"/>
        </w:rPr>
        <w:t>Antes de qualquer avaliação biomecânica, a avaliação clínica padrão deve ser concluída: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Acuidade visual melhor corrigida (AVMC):</w:t>
      </w:r>
      <w:r>
        <w:rPr>
          <w:rFonts w:ascii="Calibri" w:hAnsi="Calibri"/>
          <w:b w:val="0"/>
          <w:i w:val="0"/>
          <w:color w:val="222222"/>
          <w:sz w:val="22"/>
        </w:rPr>
        <w:t xml:space="preserve"> Snellen ou logMAR, com correção de óculos e com teste de lente de contato rígida. A diferença entre a AVMC com óculos e com lente de contato é um indicador aproximado da carga de astigmatismo irregular.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Refração sob cicloplegia e manifesta:</w:t>
      </w:r>
      <w:r>
        <w:rPr>
          <w:rFonts w:ascii="Calibri" w:hAnsi="Calibri"/>
          <w:b w:val="0"/>
          <w:i w:val="0"/>
          <w:color w:val="222222"/>
          <w:sz w:val="22"/>
        </w:rPr>
        <w:t xml:space="preserve"> Esfera, cilindro, eixo. Esses dados alimentam o módulo Óptico.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Biomicroscopia em lâmpada de fenda: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Avaliar a transparência corneana, estrias de Vogt, anel de Fleischer, cicatrizes. Cicatrizes centrais significativas podem contraindicar o ICRS ou exigir ceratoplastia lamelar.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Paquimetria no local do túnel: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espessura estromal mínima no raio de implantação planejado (tipicamente 5,0–6,0 mm do eixo visual) deve exceder 400 μm para acomodar o anel com segurança em uma profundidade de 70–80%. A espessura corneana local ($CT$) no meridiano exato planejado para a implantação deve ser registrada para calcular a espessura máxima segura do anel ($RT_{max}$) sob a </w:t>
      </w:r>
      <w:r>
        <w:rPr>
          <w:rFonts w:ascii="Calibri" w:hAnsi="Calibri"/>
          <w:b/>
          <w:i w:val="0"/>
          <w:color w:val="222222"/>
          <w:sz w:val="22"/>
        </w:rPr>
        <w:t>Lei das Espessuras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Pressão intraocular:</w:t>
      </w:r>
      <w:r>
        <w:rPr>
          <w:rFonts w:ascii="Calibri" w:hAnsi="Calibri"/>
          <w:b w:val="0"/>
          <w:i w:val="0"/>
          <w:color w:val="222222"/>
          <w:sz w:val="22"/>
        </w:rPr>
        <w:t xml:space="preserve"> Tonometria de Goldmann ou de contorno dinâmico. Os valores da PIO informam a condição de carregamento do FEM (15 mmHg é a suposição de modelagem padrão; desvios significativos exigem ajuste do modelo).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Etapa 2 — Tomografia Corneana (Entrada do Módulo T)</w:t>
      </w:r>
    </w:p>
    <w:p>
      <w:r>
        <w:rPr>
          <w:rFonts w:ascii="Calibri" w:hAnsi="Calibri"/>
          <w:b w:val="0"/>
          <w:i w:val="0"/>
          <w:color w:val="222222"/>
          <w:sz w:val="22"/>
        </w:rPr>
        <w:t>A tomografia de Scheimpflug (Pentacam, Galilei ou equivalente) fornece o mapa espacial da ectasia: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Mapa de curvatura sagital: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Identificar o padrão topográfico — oval central, mamilo (nipple) inferior, crescente paracentral, formato D periférico ou globus.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Mapa de elevação posterior:</w:t>
      </w:r>
      <w:r>
        <w:rPr>
          <w:rFonts w:ascii="Calibri" w:hAnsi="Calibri"/>
          <w:b w:val="0"/>
          <w:i w:val="0"/>
          <w:color w:val="222222"/>
          <w:sz w:val="22"/>
        </w:rPr>
        <w:t xml:space="preserve"> Calcular o ENM (Eixo Neutro Mecânico) — o meridiano de elevação posterior máxima em relação à esfera de melhor ajuste. Registrar o ângulo do ENM (°) e comparar com o eixo K-steep.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Localização e valor do ponto mais fino: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ponto paquimétrico mais fino frequentemente se correlaciona com o ápice do cone. Registrar sua distância do eixo visual (mm) e o meridiano.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Valores de KMax e K-steep:</w:t>
      </w:r>
      <w:r>
        <w:rPr>
          <w:rFonts w:ascii="Calibri" w:hAnsi="Calibri"/>
          <w:b w:val="0"/>
          <w:i w:val="0"/>
          <w:color w:val="222222"/>
          <w:sz w:val="22"/>
        </w:rPr>
        <w:t xml:space="preserve"> Registrar para comparação com o nomograma e estimativa do VR.</w:t>
      </w:r>
    </w:p>
    <w:p>
      <w:r>
        <w:rPr>
          <w:rFonts w:ascii="Calibri" w:hAnsi="Calibri"/>
          <w:b/>
          <w:i w:val="0"/>
          <w:color w:val="222222"/>
          <w:sz w:val="22"/>
        </w:rPr>
        <w:t>Protocolo de determinação do ENM: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Abra o mapa de elevação posterior (tela refrativa de 4 mapas).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Selecione a esfera de melhor ajuste (BFS) com um diâmetro de 8,0 mm.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Identifique o meridiano que passa pelo ponto de elevação posterior máxima.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Registre este meridiano como o ENM.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Compare com o eixo K-steep: se |ENM − K-steep| &gt; 15°, a avaliação do AVBC é indicada; se &gt; 45°, o planejamento por nomogramas não é confiável.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Etapa 3 — Aberrometria de Frente de Onda (Entrada do Módulo O)</w:t>
      </w:r>
    </w:p>
    <w:p>
      <w:r>
        <w:rPr>
          <w:rFonts w:ascii="Calibri" w:hAnsi="Calibri"/>
          <w:b w:val="0"/>
          <w:i w:val="0"/>
          <w:color w:val="222222"/>
          <w:sz w:val="22"/>
        </w:rPr>
        <w:t>A análise de frente de onda fornece o contexto óptico: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RMS de Coma (pupila de 6 mm):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aberração de alta ordem primária no ceratocone. Valores &lt; 2,50 μm são favoráveis; &gt; 3.50 μm são desfavoráveis para melhoria funcional apenas com ICRS.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RMS de HOA Total (pupila de 6 mm):</w:t>
      </w:r>
      <w:r>
        <w:rPr>
          <w:rFonts w:ascii="Calibri" w:hAnsi="Calibri"/>
          <w:b w:val="0"/>
          <w:i w:val="0"/>
          <w:color w:val="222222"/>
          <w:sz w:val="22"/>
        </w:rPr>
        <w:t xml:space="preserve"> Valores &lt; 2,0 μm são favoráveis; &gt; 4,0 μm sugerem que a correção geométrica isolada pode não restaurar uma óptica útil.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Alinhamento de eixos:</w:t>
      </w:r>
      <w:r>
        <w:rPr>
          <w:rFonts w:ascii="Calibri" w:hAnsi="Calibri"/>
          <w:b w:val="0"/>
          <w:i w:val="0"/>
          <w:color w:val="222222"/>
          <w:sz w:val="22"/>
        </w:rPr>
        <w:t xml:space="preserve"> Comparar o eixo do cilindro refrativo com o eixo topográfico íngreme. Divergência &gt; 30° sugere que o perfil de aberração é complexo e pode não responder ao posicionamento padrão do anel.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Vetor de coma versus ápice do cone:</w:t>
      </w:r>
      <w:r>
        <w:rPr>
          <w:rFonts w:ascii="Calibri" w:hAnsi="Calibri"/>
          <w:b w:val="0"/>
          <w:i w:val="0"/>
          <w:color w:val="222222"/>
          <w:sz w:val="22"/>
        </w:rPr>
        <w:t xml:space="preserve"> Determinar se o vetor de coma é ipsilateral (favorável) ou contralateral (desfavorável) ao ápice do cone.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Etapa 4 — Avaliação Biomecânica (Entrada do Módulo B)</w:t>
      </w:r>
    </w:p>
    <w:p>
      <w:r>
        <w:rPr>
          <w:rFonts w:ascii="Calibri" w:hAnsi="Calibri"/>
          <w:b w:val="0"/>
          <w:i w:val="0"/>
          <w:color w:val="222222"/>
          <w:sz w:val="22"/>
        </w:rPr>
        <w:t>Se disponíveis, medições biomecânicas diretas refinam a avaliação: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Corvis ST:</w:t>
      </w:r>
      <w:r>
        <w:rPr>
          <w:rFonts w:ascii="Calibri" w:hAnsi="Calibri"/>
          <w:b w:val="0"/>
          <w:i w:val="0"/>
          <w:color w:val="222222"/>
          <w:sz w:val="22"/>
        </w:rPr>
        <w:t xml:space="preserve"> Amplitude de deformação, parâmetro de rigidez (SP-A1), CBI. Estes fornecem confirmação qualitativa do comprometimento biomecânico.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ORA:</w:t>
      </w:r>
      <w:r>
        <w:rPr>
          <w:rFonts w:ascii="Calibri" w:hAnsi="Calibri"/>
          <w:b w:val="0"/>
          <w:i w:val="0"/>
          <w:color w:val="222222"/>
          <w:sz w:val="22"/>
        </w:rPr>
        <w:t xml:space="preserve"> CH e CRF. Valores reduzidos apoiam o modelo biomecânico da doença.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Microscopia de Brillouin (se disponível):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mapeamento de rigidez regional fornece a avaliação mais direta da variação das propriedades do material.</w:t>
      </w:r>
    </w:p>
    <w:p>
      <w:r>
        <w:rPr>
          <w:rFonts w:ascii="Calibri" w:hAnsi="Calibri"/>
          <w:b w:val="0"/>
          <w:i w:val="0"/>
          <w:color w:val="222222"/>
          <w:sz w:val="22"/>
        </w:rPr>
        <w:t>Na ausência de medições biomecânicas diretas — que continuam a ser a realidade clínica na maioria dos centros —, o arcabouço AVBC utiliza substitutos (surrogates) topográficos e tomográficos: a distribuição paquimétrica, o padrão de elevação posterior e a divergência do ENM servem como indicadores indiretos do estado biomecânico.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11.3 Classificação do Módulo O</w:t>
      </w:r>
    </w:p>
    <w:p>
      <w:r>
        <w:rPr>
          <w:rFonts w:ascii="Calibri" w:hAnsi="Calibri"/>
          <w:b w:val="0"/>
          <w:i w:val="0"/>
          <w:color w:val="222222"/>
          <w:sz w:val="22"/>
        </w:rPr>
        <w:t>Aplicar os critérios ópticos do Capítulo 5: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Critério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Favorável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Intermediário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Desfavorável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Coma (6 mm)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2,50 μm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2,50–3,50 μm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3,50 μm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Δ Eixo (refração vs K)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15°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15°–30°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30°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HOA total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2,0 μm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2,0–4,0 μm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4,0 μm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Coma vs ápice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Ipsilateral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Ambíguo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Contralateral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Regra de classificação: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O+</w:t>
      </w:r>
      <w:r>
        <w:rPr>
          <w:rFonts w:ascii="Calibri" w:hAnsi="Calibri"/>
          <w:b w:val="0"/>
          <w:i w:val="0"/>
          <w:color w:val="222222"/>
          <w:sz w:val="22"/>
        </w:rPr>
        <w:t xml:space="preserve"> (≥ 3 favoráveis): Prosseguir com o ICRS; esperar melhoria tanto topográfica quanto funcional.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O~</w:t>
      </w:r>
      <w:r>
        <w:rPr>
          <w:rFonts w:ascii="Calibri" w:hAnsi="Calibri"/>
          <w:b w:val="0"/>
          <w:i w:val="0"/>
          <w:color w:val="222222"/>
          <w:sz w:val="22"/>
        </w:rPr>
        <w:t xml:space="preserve"> (misto): Prosseguir, mas aconselhar o paciente que a melhoria funcional pode ser parcial; considerar correção adjuvante.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O−</w:t>
      </w:r>
      <w:r>
        <w:rPr>
          <w:rFonts w:ascii="Calibri" w:hAnsi="Calibri"/>
          <w:b w:val="0"/>
          <w:i w:val="0"/>
          <w:color w:val="222222"/>
          <w:sz w:val="22"/>
        </w:rPr>
        <w:t xml:space="preserve"> (≥ 3 desfavoráveis): O ICRS ainda pode ser implantado para manejo topográfico, mas alinhar as expectativas adequadamente. Considerar que o objetivo principal pode ser facilitar a adaptação de lentes de contato em vez de independência de óculos.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11.4 Classificação do Módulo T</w:t>
      </w:r>
    </w:p>
    <w:p>
      <w:r>
        <w:rPr>
          <w:rFonts w:ascii="Calibri" w:hAnsi="Calibri"/>
          <w:b w:val="0"/>
          <w:i w:val="0"/>
          <w:color w:val="222222"/>
          <w:sz w:val="22"/>
        </w:rPr>
        <w:t>Determinar a morfologia topográfica e o ENM: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Morfologia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ENM Típico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Estratégia de Posicionamento do Anel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Oval central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Próximo ao eixo visual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Anel simétrico, centrado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Mamilo inferior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 horas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Segmento inferior, mais espesso inferiormente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Crescente paracentral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Variável, descentrado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Segmento único ou par assimétrico, direcionado ao cone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Formato D periférico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Periférico, &gt; 2 mm do eixo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amplo ou dois segmentos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Globus (KMax &gt; 60 D)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Estabilização estrutural / tolerância a LC (até 85 D)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Registrar a divergência do ENM: |ENM − K-steep|.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11.5 Módulo B: Seleção do Vetor</w:t>
      </w:r>
    </w:p>
    <w:p>
      <w:r>
        <w:rPr>
          <w:rFonts w:ascii="Calibri" w:hAnsi="Calibri"/>
          <w:b w:val="0"/>
          <w:i w:val="0"/>
          <w:color w:val="222222"/>
          <w:sz w:val="22"/>
        </w:rPr>
        <w:t>Com base na necessidade clínica identificada através dos Módulos O e T, determinar o vetor dominante:</w:t>
      </w:r>
    </w:p>
    <w:p>
      <w:r>
        <w:rPr>
          <w:rFonts w:ascii="Calibri" w:hAnsi="Calibri"/>
          <w:b/>
          <w:i w:val="0"/>
          <w:color w:val="222222"/>
          <w:sz w:val="22"/>
        </w:rPr>
        <w:t>Árvore de decisão: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 necessidade primária é o aplanamento (K-steep elevado, astigmatismo alinhado)?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→ </w:t>
      </w:r>
      <w:r>
        <w:rPr>
          <w:rFonts w:ascii="Calibri" w:hAnsi="Calibri"/>
          <w:b/>
          <w:i w:val="0"/>
          <w:color w:val="222222"/>
          <w:sz w:val="22"/>
        </w:rPr>
        <w:t>VR dominante</w:t>
      </w:r>
      <w:r>
        <w:rPr>
          <w:rFonts w:ascii="Calibri" w:hAnsi="Calibri"/>
          <w:b w:val="0"/>
          <w:i w:val="0"/>
          <w:color w:val="222222"/>
          <w:sz w:val="22"/>
        </w:rPr>
        <w:t xml:space="preserve"> → Aumentar a </w:t>
      </w:r>
      <w:r>
        <w:rPr>
          <w:rFonts w:ascii="Calibri" w:hAnsi="Calibri"/>
          <w:b/>
          <w:i w:val="0"/>
          <w:color w:val="222222"/>
          <w:sz w:val="22"/>
        </w:rPr>
        <w:t>espessura</w:t>
      </w:r>
      <w:r>
        <w:rPr>
          <w:rFonts w:ascii="Calibri" w:hAnsi="Calibri"/>
          <w:b w:val="0"/>
          <w:i w:val="0"/>
          <w:color w:val="222222"/>
          <w:sz w:val="22"/>
        </w:rPr>
        <w:t xml:space="preserve"> do anel (300–400 μm). Comprimento de arco secundário.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 necessidade primária é a regularização do astigmatismo (Cil irregular elevado, ENM ≠ K-steep)?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→ </w:t>
      </w:r>
      <w:r>
        <w:rPr>
          <w:rFonts w:ascii="Calibri" w:hAnsi="Calibri"/>
          <w:b/>
          <w:i w:val="0"/>
          <w:color w:val="222222"/>
          <w:sz w:val="22"/>
        </w:rPr>
        <w:t>VT dominant</w:t>
      </w:r>
      <w:r>
        <w:rPr>
          <w:rFonts w:ascii="Calibri" w:hAnsi="Calibri"/>
          <w:b w:val="0"/>
          <w:i w:val="0"/>
          <w:color w:val="222222"/>
          <w:sz w:val="22"/>
        </w:rPr>
        <w:t xml:space="preserve"> → Aumentar o </w:t>
      </w:r>
      <w:r>
        <w:rPr>
          <w:rFonts w:ascii="Calibri" w:hAnsi="Calibri"/>
          <w:b/>
          <w:i w:val="0"/>
          <w:color w:val="222222"/>
          <w:sz w:val="22"/>
        </w:rPr>
        <w:t>comprimento de arco</w:t>
      </w:r>
      <w:r>
        <w:rPr>
          <w:rFonts w:ascii="Calibri" w:hAnsi="Calibri"/>
          <w:b w:val="0"/>
          <w:i w:val="0"/>
          <w:color w:val="222222"/>
          <w:sz w:val="22"/>
        </w:rPr>
        <w:t xml:space="preserve"> (160°–320°). Espessura secundária.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 necessidade primária é o reposicionamento do ápice (ápice &gt; 1 mm do eixo visual, coma elevado)?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→ </w:t>
      </w:r>
      <w:r>
        <w:rPr>
          <w:rFonts w:ascii="Calibri" w:hAnsi="Calibri"/>
          <w:b/>
          <w:i w:val="0"/>
          <w:color w:val="222222"/>
          <w:sz w:val="22"/>
        </w:rPr>
        <w:t>Vτ dominante</w:t>
      </w:r>
      <w:r>
        <w:rPr>
          <w:rFonts w:ascii="Calibri" w:hAnsi="Calibri"/>
          <w:b w:val="0"/>
          <w:i w:val="0"/>
          <w:color w:val="222222"/>
          <w:sz w:val="22"/>
        </w:rPr>
        <w:t xml:space="preserve"> → Usar </w:t>
      </w:r>
      <w:r>
        <w:rPr>
          <w:rFonts w:ascii="Calibri" w:hAnsi="Calibri"/>
          <w:b/>
          <w:i w:val="0"/>
          <w:color w:val="222222"/>
          <w:sz w:val="22"/>
        </w:rPr>
        <w:t>anel assimétrico</w:t>
      </w:r>
      <w:r>
        <w:rPr>
          <w:rFonts w:ascii="Calibri" w:hAnsi="Calibri"/>
          <w:b w:val="0"/>
          <w:i w:val="0"/>
          <w:color w:val="222222"/>
          <w:sz w:val="22"/>
        </w:rPr>
        <w:t xml:space="preserve"> (perfil de espessura progressiva), orientado ao longo do ENM.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 necessidade primária é a estabilização (ectasia progressiva)?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→ </w:t>
      </w:r>
      <w:r>
        <w:rPr>
          <w:rFonts w:ascii="Calibri" w:hAnsi="Calibri"/>
          <w:b/>
          <w:i w:val="0"/>
          <w:color w:val="222222"/>
          <w:sz w:val="22"/>
        </w:rPr>
        <w:t>VR + VT combinados</w:t>
      </w:r>
      <w:r>
        <w:rPr>
          <w:rFonts w:ascii="Calibri" w:hAnsi="Calibri"/>
          <w:b w:val="0"/>
          <w:i w:val="0"/>
          <w:color w:val="222222"/>
          <w:sz w:val="22"/>
        </w:rPr>
        <w:t xml:space="preserve"> → Realizar </w:t>
      </w:r>
      <w:r>
        <w:rPr>
          <w:rFonts w:ascii="Calibri" w:hAnsi="Calibri"/>
          <w:b/>
          <w:i w:val="0"/>
          <w:color w:val="222222"/>
          <w:sz w:val="22"/>
        </w:rPr>
        <w:t>CXL primeiro</w:t>
      </w:r>
      <w:r>
        <w:rPr>
          <w:rFonts w:ascii="Calibri" w:hAnsi="Calibri"/>
          <w:b w:val="0"/>
          <w:i w:val="0"/>
          <w:color w:val="222222"/>
          <w:sz w:val="22"/>
        </w:rPr>
        <w:t xml:space="preserve"> (intervalo de 3 a 6 meses), depois o ICRS.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Múltiplas necessidades?</w:t>
      </w:r>
    </w:p>
    <w:p>
      <w:r>
        <w:rPr>
          <w:rFonts w:ascii="Calibri" w:hAnsi="Calibri"/>
          <w:b w:val="0"/>
          <w:i w:val="0"/>
          <w:color w:val="222222"/>
          <w:sz w:val="22"/>
        </w:rPr>
        <w:t>→ Priorizar pela urgência clínica. Tipicamente: estabilizar primeiro, depois regularizar, depois aplanar.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11.6 Prescrição do Anel</w:t>
      </w:r>
    </w:p>
    <w:p>
      <w:r>
        <w:rPr>
          <w:rFonts w:ascii="Calibri" w:hAnsi="Calibri"/>
          <w:b w:val="0"/>
          <w:i w:val="0"/>
          <w:color w:val="222222"/>
          <w:sz w:val="22"/>
        </w:rPr>
        <w:t>Com o vetor dominante identificado, traduzir para os parâmetros do anel: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Prescrição VR-Dominante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Racional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Espessura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250–400 μm (proporcional ao ΔK desejado)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VR escala com o volume; </w:t>
            </w:r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estritamente sujeito a $RT_{max} \le CT \times 0,60$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Comprimento de arco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120°–160° (padrão)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Comprimento de arco não modula o VR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Perfil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Simétrico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Sem necessidade de torque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Profundidade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70–80% da paquimetria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Amplifica o VR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Meridiano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Eixo K-steep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Quando ENM ≈ K-steep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Efeito VR esperado:</w:t>
      </w:r>
      <w:r>
        <w:rPr>
          <w:rFonts w:ascii="Calibri" w:hAnsi="Calibri"/>
          <w:b w:val="0"/>
          <w:i w:val="0"/>
          <w:color w:val="222222"/>
          <w:sz w:val="22"/>
        </w:rPr>
        <w:t xml:space="preserve"> Nossos modelos de FEM mostram um VR central de 19,2–19,9 μm para arcos parciais com geometria padrão. Tradução clínica: ΔK ≈ 2–4 D, dependendo da espessura e da biomecânica específica do paciente.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Prescrição VT-Dominante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Racional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Espessura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150–250 μm (moderada)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VR é secundário; </w:t>
            </w:r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estritamente sujeito a $RT_{max} \le CT \times 0,60$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Comprimento de arco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210°–320° (arco longo)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Equação do VT: cada grau reduz σ_θθ em 0,0018 kPa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Perfil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Simétrico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Exceto se Vτ também for necessário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Profundidade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70–75% da paquimetria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Profundidade moderada é suficiente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Meridiano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Eixo do ENM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Direcionado para a zona de deformação biomecânica máxima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Efeito VT esperado:</w:t>
      </w:r>
      <w:r>
        <w:rPr>
          <w:rFonts w:ascii="Calibri" w:hAnsi="Calibri"/>
          <w:b w:val="0"/>
          <w:i w:val="0"/>
          <w:color w:val="222222"/>
          <w:sz w:val="22"/>
        </w:rPr>
        <w:t xml:space="preserve"> VT(210°) = 7,39 kPa; VT(320°) = 7,20 kPa. Arcos mais longos produzem mais regularização, seguindo a relação linear VT(arco°) = −0,0018 × arco° + 7,79.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Prescrição Vτ-Dominante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Racional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Perfil de espessura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Progressivo (ex: 300→150 μm)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Gera binário de forças assimétrico; </w:t>
            </w:r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espessura máxima estritamente sujeita a $RT_{max} \le CT \times 0,60$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Comprimento de arco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160°–210°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Suficiente para a geração de torque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Perfil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Assimétrico (progressivo)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Essencial para Vτ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Profundidade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70–80% da paquimetria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Amplifica o torque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Meridiano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Eixo do ENM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 direção do Vτ deve direcionar o ápice em direção ao eixo visual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Regra de orientação: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extremidade mais espessa do anel progressivo é colocada </w:t>
      </w:r>
      <w:r>
        <w:rPr>
          <w:rFonts w:ascii="Calibri" w:hAnsi="Calibri"/>
          <w:b w:val="0"/>
          <w:i/>
          <w:color w:val="222222"/>
          <w:sz w:val="22"/>
        </w:rPr>
        <w:t>oposta</w:t>
      </w:r>
      <w:r>
        <w:rPr>
          <w:rFonts w:ascii="Calibri" w:hAnsi="Calibri"/>
          <w:b w:val="0"/>
          <w:i w:val="0"/>
          <w:color w:val="222222"/>
          <w:sz w:val="22"/>
        </w:rPr>
        <w:t xml:space="preserve"> à direção desejada de migração do ápice. O ápice migra em direção à extremidade mais fina porque o binário de forças gerado pela espessura assimétrica cria um momento fletor que direciona o deslocamento em direção à região de menor restrição.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11.6.4 A Lei das Espessuras Relativas (Lei das Espessuras)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Para prevenir o colapso da ponte estromal, melting (fusão estromal), necrose mecânica localizada ou extrusão induzida por pressão, o protocolo AVBC implementa uma lei de segurança estrita validada por 60 simulações de elementos finitos de alta fidelidade. A </w:t>
      </w:r>
      <w:r>
        <w:rPr>
          <w:rFonts w:ascii="Calibri" w:hAnsi="Calibri"/>
          <w:b/>
          <w:i w:val="0"/>
          <w:color w:val="222222"/>
          <w:sz w:val="22"/>
        </w:rPr>
        <w:t>Lei das Espessuras Relativas (Lei das Espessuras)</w:t>
      </w:r>
      <w:r>
        <w:rPr>
          <w:rFonts w:ascii="Calibri" w:hAnsi="Calibri"/>
          <w:b w:val="0"/>
          <w:i w:val="0"/>
          <w:color w:val="222222"/>
          <w:sz w:val="22"/>
        </w:rPr>
        <w:t xml:space="preserve"> dita que a espessura máxima segura do anel ($RT_{max}$) é estritamente limitada pela espessura corneana local ($CT$) no meridiano exato do plano de implantação:</w:t>
      </w:r>
    </w:p>
    <w:p>
      <w:r>
        <w:rPr>
          <w:rFonts w:ascii="Calibri" w:hAnsi="Calibri"/>
          <w:b w:val="0"/>
          <w:i w:val="0"/>
          <w:color w:val="222222"/>
          <w:sz w:val="22"/>
        </w:rPr>
        <w:t>$$RT_{max} \le CT \times 0,60$$</w:t>
      </w:r>
    </w:p>
    <w:p>
      <w:r>
        <w:rPr>
          <w:rFonts w:ascii="Calibri" w:hAnsi="Calibri"/>
          <w:b w:val="0"/>
          <w:i w:val="0"/>
          <w:color w:val="222222"/>
          <w:sz w:val="22"/>
        </w:rPr>
        <w:t>Esta regra de proporcionalidade garante que um mínimo de 40% da espessura corneana local seja preservado como uma ponte estromal de suporte de carga sobre o implante. O limite de segurança varia ligeiramente com base no perfil geométrico específico do segmento: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Perfis Triangulares (Ferrara / Mediphacos):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Seguem estritamente o limite padrão de </w:t>
      </w:r>
      <w:r>
        <w:rPr>
          <w:rFonts w:ascii="Calibri" w:hAnsi="Calibri"/>
          <w:b/>
          <w:i w:val="0"/>
          <w:color w:val="222222"/>
          <w:sz w:val="22"/>
        </w:rPr>
        <w:t>0,60</w:t>
      </w:r>
      <w:r>
        <w:rPr>
          <w:rFonts w:ascii="Calibri" w:hAnsi="Calibri"/>
          <w:b w:val="0"/>
          <w:i w:val="0"/>
          <w:color w:val="222222"/>
          <w:sz w:val="22"/>
        </w:rPr>
        <w:t xml:space="preserve"> ($RT_{max} \le CT \times 0,60$).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Perfis Ferrara de Alta Miopia (HM):</w:t>
      </w:r>
      <w:r>
        <w:rPr>
          <w:rFonts w:ascii="Calibri" w:hAnsi="Calibri"/>
          <w:b w:val="0"/>
          <w:i w:val="0"/>
          <w:color w:val="222222"/>
          <w:sz w:val="22"/>
        </w:rPr>
        <w:t xml:space="preserve"> Limitados a um limite conservador de </w:t>
      </w:r>
      <w:r>
        <w:rPr>
          <w:rFonts w:ascii="Calibri" w:hAnsi="Calibri"/>
          <w:b/>
          <w:i w:val="0"/>
          <w:color w:val="222222"/>
          <w:sz w:val="22"/>
        </w:rPr>
        <w:t>0,55</w:t>
      </w:r>
      <w:r>
        <w:rPr>
          <w:rFonts w:ascii="Calibri" w:hAnsi="Calibri"/>
          <w:b w:val="0"/>
          <w:i w:val="0"/>
          <w:color w:val="222222"/>
          <w:sz w:val="22"/>
        </w:rPr>
        <w:t xml:space="preserve"> ($RT_{max} \le CT \times 0,55$) devido às altas concentrações de tensão (stress) apical vertical e bordas geométricas afiadas que aumentam o risco de erosão estromal.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Perfis Arredondados (Cornealring):</w:t>
      </w:r>
      <w:r>
        <w:rPr>
          <w:rFonts w:ascii="Calibri" w:hAnsi="Calibri"/>
          <w:b w:val="0"/>
          <w:i w:val="0"/>
          <w:color w:val="222222"/>
          <w:sz w:val="22"/>
        </w:rPr>
        <w:t xml:space="preserve"> Seguem o limite padrão de </w:t>
      </w:r>
      <w:r>
        <w:rPr>
          <w:rFonts w:ascii="Calibri" w:hAnsi="Calibri"/>
          <w:b/>
          <w:i w:val="0"/>
          <w:color w:val="222222"/>
          <w:sz w:val="22"/>
        </w:rPr>
        <w:t>0,60</w:t>
      </w:r>
      <w:r>
        <w:rPr>
          <w:rFonts w:ascii="Calibri" w:hAnsi="Calibri"/>
          <w:b w:val="0"/>
          <w:i w:val="0"/>
          <w:color w:val="222222"/>
          <w:sz w:val="22"/>
        </w:rPr>
        <w:t xml:space="preserve"> ($RT_{max} \le CT \times 0,60$). A mecânica de contato mais suave e a distribuição uniforme de tensão das geometrias arredondadas proporcionam excelentes margens de segurança mesmo no limite superior da regra de proporcionalidade.</w:t>
      </w:r>
    </w:p>
    <w:p>
      <w:r>
        <w:rPr>
          <w:rFonts w:ascii="Calibri" w:hAnsi="Calibri"/>
          <w:b w:val="0"/>
          <w:i w:val="0"/>
          <w:color w:val="222222"/>
          <w:sz w:val="22"/>
        </w:rPr>
        <w:t>Antes de finalizar qualquer prescrição de anel, o cirurgião deve calcular a $RT</w:t>
      </w:r>
      <w:r>
        <w:rPr>
          <w:rFonts w:ascii="Calibri" w:hAnsi="Calibri"/>
          <w:b w:val="0"/>
          <w:i/>
          <w:color w:val="222222"/>
          <w:sz w:val="22"/>
        </w:rPr>
        <w:t>{max}$ utilizando a paquimetria local no meridiano de implantação. Se a espessura planejada exceder a $RT</w:t>
      </w:r>
      <w:r>
        <w:rPr>
          <w:rFonts w:ascii="Calibri" w:hAnsi="Calibri"/>
          <w:b w:val="0"/>
          <w:i w:val="0"/>
          <w:color w:val="222222"/>
          <w:sz w:val="22"/>
        </w:rPr>
        <w:t>{max}$, a prescrição deve ser reduzida para a espessura de segmento disponível imediatamente abaixo do limite de segurança.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11.7 Exemplos Clínicos Práticos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Exemplo 1: Ceratocone Simétrico Central — VR Dominante</w:t>
      </w:r>
    </w:p>
    <w:p>
      <w:r>
        <w:rPr>
          <w:rFonts w:ascii="Calibri" w:hAnsi="Calibri"/>
          <w:b/>
          <w:i w:val="0"/>
          <w:color w:val="222222"/>
          <w:sz w:val="22"/>
        </w:rPr>
        <w:t>Paciente:</w:t>
      </w:r>
      <w:r>
        <w:rPr>
          <w:rFonts w:ascii="Calibri" w:hAnsi="Calibri"/>
          <w:b w:val="0"/>
          <w:i w:val="0"/>
          <w:color w:val="222222"/>
          <w:sz w:val="22"/>
        </w:rPr>
        <w:t xml:space="preserve"> Homem de 28 anos. K-steep 49,5 D, K-flat 45,0 D, cilindro de 4,5 D a 85°. KMax 51,0 D (central). Paquimetria mais fina de 462 μm centralmente. AVMC de 20/40 com óculos.</w:t>
      </w:r>
    </w:p>
    <w:p>
      <w:r>
        <w:rPr>
          <w:rFonts w:ascii="Calibri" w:hAnsi="Calibri"/>
          <w:b/>
          <w:i w:val="0"/>
          <w:color w:val="222222"/>
          <w:sz w:val="22"/>
        </w:rPr>
        <w:t>Módulo O:</w:t>
      </w:r>
      <w:r>
        <w:rPr>
          <w:rFonts w:ascii="Calibri" w:hAnsi="Calibri"/>
          <w:b w:val="0"/>
          <w:i w:val="0"/>
          <w:color w:val="222222"/>
          <w:sz w:val="22"/>
        </w:rPr>
        <w:t xml:space="preserve"> RMS de Coma = 1,8 μm (favorável), Δ Eixo = 8° (favorável), HOA total = 1,6 μm (favorável), Coma ipsilateral (favorável). → </w:t>
      </w:r>
      <w:r>
        <w:rPr>
          <w:rFonts w:ascii="Calibri" w:hAnsi="Calibri"/>
          <w:b/>
          <w:i w:val="0"/>
          <w:color w:val="222222"/>
          <w:sz w:val="22"/>
        </w:rPr>
        <w:t>O+</w:t>
      </w:r>
    </w:p>
    <w:p>
      <w:r>
        <w:rPr>
          <w:rFonts w:ascii="Calibri" w:hAnsi="Calibri"/>
          <w:b/>
          <w:i w:val="0"/>
          <w:color w:val="222222"/>
          <w:sz w:val="22"/>
        </w:rPr>
        <w:t>Módulo T:</w:t>
      </w:r>
      <w:r>
        <w:rPr>
          <w:rFonts w:ascii="Calibri" w:hAnsi="Calibri"/>
          <w:b w:val="0"/>
          <w:i w:val="0"/>
          <w:color w:val="222222"/>
          <w:sz w:val="22"/>
        </w:rPr>
        <w:t xml:space="preserve"> Morfologia oval central. ENM a 88°, K-steep a 85°. |ENM − K-steep| = 3° &lt; 15°. → Posicionamento padrão, ENM ≈ K-steep.</w:t>
      </w:r>
    </w:p>
    <w:p>
      <w:r>
        <w:rPr>
          <w:rFonts w:ascii="Calibri" w:hAnsi="Calibri"/>
          <w:b/>
          <w:i w:val="0"/>
          <w:color w:val="222222"/>
          <w:sz w:val="22"/>
        </w:rPr>
        <w:t>Módulo B: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necessidade primária é o aplanamento (K-steep 49,5 D, astigmatismo alinhado). → </w:t>
      </w:r>
      <w:r>
        <w:rPr>
          <w:rFonts w:ascii="Calibri" w:hAnsi="Calibri"/>
          <w:b/>
          <w:i w:val="0"/>
          <w:color w:val="222222"/>
          <w:sz w:val="22"/>
        </w:rPr>
        <w:t>VR dominante</w:t>
      </w:r>
    </w:p>
    <w:p>
      <w:r>
        <w:rPr>
          <w:rFonts w:ascii="Calibri" w:hAnsi="Calibri"/>
          <w:b/>
          <w:i w:val="0"/>
          <w:color w:val="222222"/>
          <w:sz w:val="22"/>
        </w:rPr>
        <w:t>Prescribção: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Anel: Ferrara 250 μm, arco 160°, simétrico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Profundidade: 75% de 462 μm = 347 μm → túnel a 350 μm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Meridiano: 85° (K-steep ≈ ENM)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ΔK esperado: 2,5–3,5 D (estimativa baseada em VR)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Exemplo 2: Ceratocone Paracentral com Divergência de Eixo — VT + Vτ Dominante</w:t>
      </w:r>
    </w:p>
    <w:p>
      <w:r>
        <w:rPr>
          <w:rFonts w:ascii="Calibri" w:hAnsi="Calibri"/>
          <w:b/>
          <w:i w:val="0"/>
          <w:color w:val="222222"/>
          <w:sz w:val="22"/>
        </w:rPr>
        <w:t>Paciente:</w:t>
      </w:r>
      <w:r>
        <w:rPr>
          <w:rFonts w:ascii="Calibri" w:hAnsi="Calibri"/>
          <w:b w:val="0"/>
          <w:i w:val="0"/>
          <w:color w:val="222222"/>
          <w:sz w:val="22"/>
        </w:rPr>
        <w:t xml:space="preserve"> Mulher de 32 anos. K-steep 52,0 D, K-flat 46,0 D, cilindro de 6,0 D a 65°. KMax 55,0 D (1,5 mm inferior-temporal do eixo visual). Paquimetria mais fina de 435 μm. AVMC de 20/60.</w:t>
      </w:r>
    </w:p>
    <w:p>
      <w:r>
        <w:rPr>
          <w:rFonts w:ascii="Calibri" w:hAnsi="Calibri"/>
          <w:b/>
          <w:i w:val="0"/>
          <w:color w:val="222222"/>
          <w:sz w:val="22"/>
        </w:rPr>
        <w:t>Módulo O:</w:t>
      </w:r>
      <w:r>
        <w:rPr>
          <w:rFonts w:ascii="Calibri" w:hAnsi="Calibri"/>
          <w:b w:val="0"/>
          <w:i w:val="0"/>
          <w:color w:val="222222"/>
          <w:sz w:val="22"/>
        </w:rPr>
        <w:t xml:space="preserve"> RMS de Coma = 3,2 μm (intermediário), Δ Eixo = 25° (intermediário), HOA total = 3,5 μm (intermediário), Coma contralateral (desfavorável). → </w:t>
      </w:r>
      <w:r>
        <w:rPr>
          <w:rFonts w:ascii="Calibri" w:hAnsi="Calibri"/>
          <w:b/>
          <w:i w:val="0"/>
          <w:color w:val="222222"/>
          <w:sz w:val="22"/>
        </w:rPr>
        <w:t>O~</w:t>
      </w:r>
    </w:p>
    <w:p>
      <w:r>
        <w:rPr>
          <w:rFonts w:ascii="Calibri" w:hAnsi="Calibri"/>
          <w:b/>
          <w:i w:val="0"/>
          <w:color w:val="222222"/>
          <w:sz w:val="22"/>
        </w:rPr>
        <w:t>Módulo T:</w:t>
      </w:r>
      <w:r>
        <w:rPr>
          <w:rFonts w:ascii="Calibri" w:hAnsi="Calibri"/>
          <w:b w:val="0"/>
          <w:i w:val="0"/>
          <w:color w:val="222222"/>
          <w:sz w:val="22"/>
        </w:rPr>
        <w:t xml:space="preserve"> Morfologia de crescente paracentral. ENM a 250°, K-steep a 65° (diferença de eixo de 5° em relação a 245°, mas o ENM está a 250° — divergência com K-steep = |250° − 245°| = 5°, mas o ENM é medido como o meridiano de elevação posterior máxima que neste caso está a 250° enquanto o eixo K-steep está a 65°/245°). |ENM − K-steep| = 5°. → Direcionado ao cone inferior-temporal.</w:t>
      </w:r>
    </w:p>
    <w:p>
      <w:r>
        <w:rPr>
          <w:rFonts w:ascii="Calibri" w:hAnsi="Calibri"/>
          <w:b/>
          <w:i w:val="0"/>
          <w:color w:val="222222"/>
          <w:sz w:val="22"/>
        </w:rPr>
        <w:t>Módulo B: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necessidade primária é a regularização (cilindro irregular elevado, ápice deslocado). Necessidade secundária: reposicionamento do ápice (ápice a 1,5 mm do eixo visual, coma de 3,2 μm). → </w:t>
      </w:r>
      <w:r>
        <w:rPr>
          <w:rFonts w:ascii="Calibri" w:hAnsi="Calibri"/>
          <w:b/>
          <w:i w:val="0"/>
          <w:color w:val="222222"/>
          <w:sz w:val="22"/>
        </w:rPr>
        <w:t>VT + Vτ dominante</w:t>
      </w:r>
    </w:p>
    <w:p>
      <w:r>
        <w:rPr>
          <w:rFonts w:ascii="Calibri" w:hAnsi="Calibri"/>
          <w:b/>
          <w:i w:val="0"/>
          <w:color w:val="222222"/>
          <w:sz w:val="22"/>
        </w:rPr>
        <w:t>Prescrição: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Anel: Progressivo assimétrico, 250→150 μm, arco 210°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Profundidade: 75% de 435 μm = 326 μm → túnel a 325 μm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Meridiano: Eixo do ENM (250°), extremidade mais espessa superiormente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Efeito esperado: Regularização do astigmatismo (VT a 210° = 7,39 kPa, −5,0% em relação à linha de base) + deslocamento moderado do ápice (Vτ validado = $11,76\ \mu\text{N}\cdot\text{m}$)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Orientar a paciente: Classificação O~ → melhoria funcional incerta; a adaptação de lente de contato ainda pode ser necessária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11.8 Avaliação Pós-Operatória: O Ciclo de Feedback AVBC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Pós-Operatório Imediato (Dia 1 – Semana 1)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Confirmar a posição e a profundidade do anel (lâmpada de fenda, OCT de segmento anterior)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Avaliar eventos adversos (extrusão, infecção, perfuração)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Sem avaliação topográfica (córnea edemaciada, não confiável)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Precoce (1 Mês)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Acuidade visual sem e com melhor correção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Topografia: avaliar o aplanamento (ΔK = K-steep</w:t>
      </w:r>
      <w:r>
        <w:rPr>
          <w:rFonts w:ascii="Calibri" w:hAnsi="Calibri"/>
          <w:b w:val="0"/>
          <w:i/>
          <w:color w:val="222222"/>
          <w:sz w:val="22"/>
        </w:rPr>
        <w:t>pré − K-steep</w:t>
      </w:r>
      <w:r>
        <w:rPr>
          <w:rFonts w:ascii="Calibri" w:hAnsi="Calibri"/>
          <w:b w:val="0"/>
          <w:i w:val="0"/>
          <w:color w:val="222222"/>
          <w:sz w:val="22"/>
        </w:rPr>
        <w:t>pós)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Comparação inicial: ΔK</w:t>
      </w:r>
      <w:r>
        <w:rPr>
          <w:rFonts w:ascii="Calibri" w:hAnsi="Calibri"/>
          <w:b w:val="0"/>
          <w:i/>
          <w:color w:val="222222"/>
          <w:sz w:val="22"/>
        </w:rPr>
        <w:t>observado vs ΔK</w:t>
      </w:r>
      <w:r>
        <w:rPr>
          <w:rFonts w:ascii="Calibri" w:hAnsi="Calibri"/>
          <w:b w:val="0"/>
          <w:i w:val="0"/>
          <w:color w:val="222222"/>
          <w:sz w:val="22"/>
        </w:rPr>
        <w:t>esperado (a partir da estimativa de VR)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Definitiva (3–6 Meses)</w:t>
      </w:r>
    </w:p>
    <w:p>
      <w:r>
        <w:rPr>
          <w:rFonts w:ascii="Calibri" w:hAnsi="Calibri"/>
          <w:b w:val="0"/>
          <w:i w:val="0"/>
          <w:color w:val="222222"/>
          <w:sz w:val="22"/>
        </w:rPr>
        <w:t>Análise completa do feedback AVBC: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Avaliação do VR:</w:t>
      </w:r>
      <w:r>
        <w:rPr>
          <w:rFonts w:ascii="Calibri" w:hAnsi="Calibri"/>
          <w:b w:val="0"/>
          <w:i w:val="0"/>
          <w:color w:val="222222"/>
          <w:sz w:val="22"/>
        </w:rPr>
        <w:t xml:space="preserve"> ΔK</w:t>
      </w:r>
      <w:r>
        <w:rPr>
          <w:rFonts w:ascii="Calibri" w:hAnsi="Calibri"/>
          <w:b w:val="0"/>
          <w:i/>
          <w:color w:val="222222"/>
          <w:sz w:val="22"/>
        </w:rPr>
        <w:t>induzido = K-steep</w:t>
      </w:r>
      <w:r>
        <w:rPr>
          <w:rFonts w:ascii="Calibri" w:hAnsi="Calibri"/>
          <w:b w:val="0"/>
          <w:i w:val="0"/>
          <w:color w:val="222222"/>
          <w:sz w:val="22"/>
        </w:rPr>
        <w:t>pré − K-steep</w:t>
      </w:r>
      <w:r>
        <w:rPr>
          <w:rFonts w:ascii="Calibri" w:hAnsi="Calibri"/>
          <w:b w:val="0"/>
          <w:i/>
          <w:color w:val="222222"/>
          <w:sz w:val="22"/>
        </w:rPr>
        <w:t>pós. Comparar com VR</w:t>
      </w:r>
      <w:r>
        <w:rPr>
          <w:rFonts w:ascii="Calibri" w:hAnsi="Calibri"/>
          <w:b w:val="0"/>
          <w:i w:val="0"/>
          <w:color w:val="222222"/>
          <w:sz w:val="22"/>
        </w:rPr>
        <w:t>previsto.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AVBC-CI (aplanamento)</w:t>
      </w:r>
      <w:r>
        <w:rPr>
          <w:rFonts w:ascii="Calibri" w:hAnsi="Calibri"/>
          <w:b w:val="0"/>
          <w:i w:val="0"/>
          <w:color w:val="222222"/>
          <w:sz w:val="22"/>
        </w:rPr>
        <w:t xml:space="preserve"> = ΔK</w:t>
      </w:r>
      <w:r>
        <w:rPr>
          <w:rFonts w:ascii="Calibri" w:hAnsi="Calibri"/>
          <w:b w:val="0"/>
          <w:i/>
          <w:color w:val="222222"/>
          <w:sz w:val="22"/>
        </w:rPr>
        <w:t>induzido / ΔK</w:t>
      </w:r>
      <w:r>
        <w:rPr>
          <w:rFonts w:ascii="Calibri" w:hAnsi="Calibri"/>
          <w:b w:val="0"/>
          <w:i w:val="0"/>
          <w:color w:val="222222"/>
          <w:sz w:val="22"/>
        </w:rPr>
        <w:t>previsto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CI = 1,0 ± 0,1 → ideal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CI &lt; 0,8 → subcorreção (considerar maior espessura na próxima vez)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CI &gt; 1,2 → supercorreção (reduzir a espessura na próxima vez)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Avaliação do VT:</w:t>
      </w:r>
      <w:r>
        <w:rPr>
          <w:rFonts w:ascii="Calibri" w:hAnsi="Calibri"/>
          <w:b w:val="0"/>
          <w:i w:val="0"/>
          <w:color w:val="222222"/>
          <w:sz w:val="22"/>
        </w:rPr>
        <w:t xml:space="preserve"> ΔCyl</w:t>
      </w:r>
      <w:r>
        <w:rPr>
          <w:rFonts w:ascii="Calibri" w:hAnsi="Calibri"/>
          <w:b w:val="0"/>
          <w:i/>
          <w:color w:val="222222"/>
          <w:sz w:val="22"/>
        </w:rPr>
        <w:t>induzido = Cyl</w:t>
      </w:r>
      <w:r>
        <w:rPr>
          <w:rFonts w:ascii="Calibri" w:hAnsi="Calibri"/>
          <w:b w:val="0"/>
          <w:i w:val="0"/>
          <w:color w:val="222222"/>
          <w:sz w:val="22"/>
        </w:rPr>
        <w:t>pré − Cyl_pós (componente de regularização).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VT-ratio</w:t>
      </w:r>
      <w:r>
        <w:rPr>
          <w:rFonts w:ascii="Calibri" w:hAnsi="Calibri"/>
          <w:b w:val="0"/>
          <w:i w:val="0"/>
          <w:color w:val="222222"/>
          <w:sz w:val="22"/>
        </w:rPr>
        <w:t xml:space="preserve"> = ΔCyl</w:t>
      </w:r>
      <w:r>
        <w:rPr>
          <w:rFonts w:ascii="Calibri" w:hAnsi="Calibri"/>
          <w:b w:val="0"/>
          <w:i/>
          <w:color w:val="222222"/>
          <w:sz w:val="22"/>
        </w:rPr>
        <w:t>induzido / ΔCyl</w:t>
      </w:r>
      <w:r>
        <w:rPr>
          <w:rFonts w:ascii="Calibri" w:hAnsi="Calibri"/>
          <w:b w:val="0"/>
          <w:i w:val="0"/>
          <w:color w:val="222222"/>
          <w:sz w:val="22"/>
        </w:rPr>
        <w:t>esperado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Avaliar a melhora das HOAs, particularmente coma e trefoil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Avaliação do Vτ (se usado anel assimétrico):</w:t>
      </w:r>
      <w:r>
        <w:rPr>
          <w:rFonts w:ascii="Calibri" w:hAnsi="Calibri"/>
          <w:b w:val="0"/>
          <w:i w:val="0"/>
          <w:color w:val="222222"/>
          <w:sz w:val="22"/>
        </w:rPr>
        <w:t xml:space="preserve"> Medir a migração do ápice no mapa de elevação posterior.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Vτ-ratio</w:t>
      </w:r>
      <w:r>
        <w:rPr>
          <w:rFonts w:ascii="Calibri" w:hAnsi="Calibri"/>
          <w:b w:val="0"/>
          <w:i w:val="0"/>
          <w:color w:val="222222"/>
          <w:sz w:val="22"/>
        </w:rPr>
        <w:t xml:space="preserve"> = Migração</w:t>
      </w:r>
      <w:r>
        <w:rPr>
          <w:rFonts w:ascii="Calibri" w:hAnsi="Calibri"/>
          <w:b w:val="0"/>
          <w:i/>
          <w:color w:val="222222"/>
          <w:sz w:val="22"/>
        </w:rPr>
        <w:t>do</w:t>
      </w:r>
      <w:r>
        <w:rPr>
          <w:rFonts w:ascii="Calibri" w:hAnsi="Calibri"/>
          <w:b w:val="0"/>
          <w:i w:val="0"/>
          <w:color w:val="222222"/>
          <w:sz w:val="22"/>
        </w:rPr>
        <w:t>ápice</w:t>
      </w:r>
      <w:r>
        <w:rPr>
          <w:rFonts w:ascii="Calibri" w:hAnsi="Calibri"/>
          <w:b w:val="0"/>
          <w:i/>
          <w:color w:val="222222"/>
          <w:sz w:val="22"/>
        </w:rPr>
        <w:t>observada / Migração</w:t>
      </w:r>
      <w:r>
        <w:rPr>
          <w:rFonts w:ascii="Calibri" w:hAnsi="Calibri"/>
          <w:b w:val="0"/>
          <w:i w:val="0"/>
          <w:color w:val="222222"/>
          <w:sz w:val="22"/>
        </w:rPr>
        <w:t>do</w:t>
      </w:r>
      <w:r>
        <w:rPr>
          <w:rFonts w:ascii="Calibri" w:hAnsi="Calibri"/>
          <w:b w:val="0"/>
          <w:i/>
          <w:color w:val="222222"/>
          <w:sz w:val="22"/>
        </w:rPr>
        <w:t>ápice</w:t>
      </w:r>
      <w:r>
        <w:rPr>
          <w:rFonts w:ascii="Calibri" w:hAnsi="Calibri"/>
          <w:b w:val="0"/>
          <w:i w:val="0"/>
          <w:color w:val="222222"/>
          <w:sz w:val="22"/>
        </w:rPr>
        <w:t>esperada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Migração positiva em direção ao eixo visual → torque eficaz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Construção da Curva de Calibração Pessoal</w:t>
      </w:r>
    </w:p>
    <w:p>
      <w:r>
        <w:rPr>
          <w:rFonts w:ascii="Calibri" w:hAnsi="Calibri"/>
          <w:b w:val="0"/>
          <w:i w:val="0"/>
          <w:color w:val="222222"/>
          <w:sz w:val="22"/>
        </w:rPr>
        <w:t>Ao longo de N cirurgias, o cirurgião acumula valores pessoais de AVBC-CI. O CI médio representa o fator de calibração pessoal do cirurgião, análogo à constante A no cálculo de LIO. Se o CI médio for consistentemente 0,85 (subcorreção sistemática), o cirurgião pode ajustar as previsões futuras dividindo-as por 0,85 — uma melhoria sistemática na precisão a cada caso adicional.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Este ciclo de feedback específico do cirurgião é um paralelo estrutural direto ao método de Alpins e representa um dos aspectos de maior valor prático do arcabouço AVBC.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11.9 Resumo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fluxo de trabalho clínico do AVBC é uma </w:t>
      </w:r>
      <w:r>
        <w:rPr>
          <w:rFonts w:ascii="Calibri" w:hAnsi="Calibri"/>
          <w:b/>
          <w:i w:val="0"/>
          <w:color w:val="222222"/>
          <w:sz w:val="22"/>
        </w:rPr>
        <w:t>avaliação sequencial em três módulos</w:t>
      </w:r>
      <w:r>
        <w:rPr>
          <w:rFonts w:ascii="Calibri" w:hAnsi="Calibri"/>
          <w:b w:val="0"/>
          <w:i w:val="0"/>
          <w:color w:val="222222"/>
          <w:sz w:val="22"/>
        </w:rPr>
        <w:t xml:space="preserve"> (O → T → B) que traduz a compreensão biomecânica na seleção do anel.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protocolo é </w:t>
      </w:r>
      <w:r>
        <w:rPr>
          <w:rFonts w:ascii="Calibri" w:hAnsi="Calibri"/>
          <w:b/>
          <w:i w:val="0"/>
          <w:color w:val="222222"/>
          <w:sz w:val="22"/>
        </w:rPr>
        <w:t>aditivo</w:t>
      </w:r>
      <w:r>
        <w:rPr>
          <w:rFonts w:ascii="Calibri" w:hAnsi="Calibri"/>
          <w:b w:val="0"/>
          <w:i w:val="0"/>
          <w:color w:val="222222"/>
          <w:sz w:val="22"/>
        </w:rPr>
        <w:t>: utiliza dados clínicos existentes (topografia, aberrometria, refração) reorganizados dentro de um arcabouço mecânico.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</w:t>
      </w:r>
      <w:r>
        <w:rPr>
          <w:rFonts w:ascii="Calibri" w:hAnsi="Calibri"/>
          <w:b/>
          <w:i w:val="0"/>
          <w:color w:val="222222"/>
          <w:sz w:val="22"/>
        </w:rPr>
        <w:t>ENM</w:t>
      </w:r>
      <w:r>
        <w:rPr>
          <w:rFonts w:ascii="Calibri" w:hAnsi="Calibri"/>
          <w:b w:val="0"/>
          <w:i w:val="0"/>
          <w:color w:val="222222"/>
          <w:sz w:val="22"/>
        </w:rPr>
        <w:t xml:space="preserve"> (Eixo Neutro Mecânico) é um parâmetro crítico que deve ser avaliado para cada paciente com ceratocone — quando o ENM diverge do K-steep por &gt; 15°, a precisão do nomograma degrada.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Os parâmetros do anel se mapeiam para vetores específicos: </w:t>
      </w:r>
      <w:r>
        <w:rPr>
          <w:rFonts w:ascii="Calibri" w:hAnsi="Calibri"/>
          <w:b/>
          <w:i w:val="0"/>
          <w:color w:val="222222"/>
          <w:sz w:val="22"/>
        </w:rPr>
        <w:t>espessura → VR</w:t>
      </w:r>
      <w:r>
        <w:rPr>
          <w:rFonts w:ascii="Calibri" w:hAnsi="Calibri"/>
          <w:b w:val="0"/>
          <w:i w:val="0"/>
          <w:color w:val="222222"/>
          <w:sz w:val="22"/>
        </w:rPr>
        <w:t xml:space="preserve">, </w:t>
      </w:r>
      <w:r>
        <w:rPr>
          <w:rFonts w:ascii="Calibri" w:hAnsi="Calibri"/>
          <w:b/>
          <w:i w:val="0"/>
          <w:color w:val="222222"/>
          <w:sz w:val="22"/>
        </w:rPr>
        <w:t>comprimento de arco → VT</w:t>
      </w:r>
      <w:r>
        <w:rPr>
          <w:rFonts w:ascii="Calibri" w:hAnsi="Calibri"/>
          <w:b w:val="0"/>
          <w:i w:val="0"/>
          <w:color w:val="222222"/>
          <w:sz w:val="22"/>
        </w:rPr>
        <w:t xml:space="preserve">, </w:t>
      </w:r>
      <w:r>
        <w:rPr>
          <w:rFonts w:ascii="Calibri" w:hAnsi="Calibri"/>
          <w:b/>
          <w:i w:val="0"/>
          <w:color w:val="222222"/>
          <w:sz w:val="22"/>
        </w:rPr>
        <w:t>assimetria → Vτ</w:t>
      </w:r>
      <w:r>
        <w:rPr>
          <w:rFonts w:ascii="Calibri" w:hAnsi="Calibri"/>
          <w:b w:val="0"/>
          <w:i w:val="0"/>
          <w:color w:val="222222"/>
          <w:sz w:val="22"/>
        </w:rPr>
        <w:t xml:space="preserve">, </w:t>
      </w:r>
      <w:r>
        <w:rPr>
          <w:rFonts w:ascii="Calibri" w:hAnsi="Calibri"/>
          <w:b/>
          <w:i w:val="0"/>
          <w:color w:val="222222"/>
          <w:sz w:val="22"/>
        </w:rPr>
        <w:t>profundidade → amplificador universal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 avaliação pós-operatória usando o </w:t>
      </w:r>
      <w:r>
        <w:rPr>
          <w:rFonts w:ascii="Calibri" w:hAnsi="Calibri"/>
          <w:b/>
          <w:i w:val="0"/>
          <w:color w:val="222222"/>
          <w:sz w:val="22"/>
        </w:rPr>
        <w:t>ciclo de feedback do AVBC</w:t>
      </w:r>
      <w:r>
        <w:rPr>
          <w:rFonts w:ascii="Calibri" w:hAnsi="Calibri"/>
          <w:b w:val="0"/>
          <w:i w:val="0"/>
          <w:color w:val="222222"/>
          <w:sz w:val="22"/>
        </w:rPr>
        <w:t xml:space="preserve"> (AVBC-CI, VT-ratio, Vτ-ratio) permite uma calibração específica do cirurgião análoga ao índice de correção de Alpins.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Com o tempo, cada cirurgião constrói uma </w:t>
      </w:r>
      <w:r>
        <w:rPr>
          <w:rFonts w:ascii="Calibri" w:hAnsi="Calibri"/>
          <w:b/>
          <w:i w:val="0"/>
          <w:color w:val="222222"/>
          <w:sz w:val="22"/>
        </w:rPr>
        <w:t>curva de calibração pessoal</w:t>
      </w:r>
      <w:r>
        <w:rPr>
          <w:rFonts w:ascii="Calibri" w:hAnsi="Calibri"/>
          <w:b w:val="0"/>
          <w:i w:val="0"/>
          <w:color w:val="222222"/>
          <w:sz w:val="22"/>
        </w:rPr>
        <w:t xml:space="preserve"> que melhora sistematicamente a precisão preditiva.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Referências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Alió JL, Shabayek MH. Corneal higher order aberrations: a method to grade keratoconus. </w:t>
      </w:r>
      <w:r>
        <w:rPr>
          <w:rFonts w:ascii="Calibri" w:hAnsi="Calibri"/>
          <w:b w:val="0"/>
          <w:i/>
          <w:color w:val="222222"/>
          <w:sz w:val="22"/>
        </w:rPr>
        <w:t>J Refract Surg</w:t>
      </w:r>
      <w:r>
        <w:rPr>
          <w:rFonts w:ascii="Calibri" w:hAnsi="Calibri"/>
          <w:b w:val="0"/>
          <w:i w:val="0"/>
          <w:color w:val="222222"/>
          <w:sz w:val="22"/>
        </w:rPr>
        <w:t>. 2006;22(6):539–545.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Alpins NA. A new method of analyzing vectors for changes in astigmatism.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1993;19(4):524–533.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Colin J, Cochener B, Savary G, et al. Correcting keratoconus with intracorneal rings.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2000;26(8):1117–1122.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Dupps WJ Jr, Roberts CJ. Biomechanics of corneal ectasia and biomechanical treatments.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2014;40(6):991–998.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Ferrara de Almeida Cunha P. Intrastromal corneal ring. </w:t>
      </w:r>
      <w:r>
        <w:rPr>
          <w:rFonts w:ascii="Calibri" w:hAnsi="Calibri"/>
          <w:b w:val="0"/>
          <w:i/>
          <w:color w:val="222222"/>
          <w:sz w:val="22"/>
        </w:rPr>
        <w:t>Arq Bras Oftalmol</w:t>
      </w:r>
      <w:r>
        <w:rPr>
          <w:rFonts w:ascii="Calibri" w:hAnsi="Calibri"/>
          <w:b w:val="0"/>
          <w:i w:val="0"/>
          <w:color w:val="222222"/>
          <w:sz w:val="22"/>
        </w:rPr>
        <w:t>. 1997;60:631–640.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García de Oteyza G, Álvarez de Toledo J, Barraquer RI, et al. Finite element analysis of the biomechanical effects of progressive thickness intracorneal ring segments.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2021;47(2):258–265.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Kling S, Marcos S. Finite-element modeling of intracorneal ring segment implantation into a hyperelastic cornea.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2013;54(1):881–889.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Piñero DP, Alcón N. Corneal biomechanics: a review. </w:t>
      </w:r>
      <w:r>
        <w:rPr>
          <w:rFonts w:ascii="Calibri" w:hAnsi="Calibri"/>
          <w:b w:val="0"/>
          <w:i/>
          <w:color w:val="222222"/>
          <w:sz w:val="22"/>
        </w:rPr>
        <w:t>Clin Exp Optom</w:t>
      </w:r>
      <w:r>
        <w:rPr>
          <w:rFonts w:ascii="Calibri" w:hAnsi="Calibri"/>
          <w:b w:val="0"/>
          <w:i w:val="0"/>
          <w:color w:val="222222"/>
          <w:sz w:val="22"/>
        </w:rPr>
        <w:t>. 2015;98(2):107–116.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Rabinowitz YS. Keratoconus. </w:t>
      </w:r>
      <w:r>
        <w:rPr>
          <w:rFonts w:ascii="Calibri" w:hAnsi="Calibri"/>
          <w:b w:val="0"/>
          <w:i/>
          <w:color w:val="222222"/>
          <w:sz w:val="22"/>
        </w:rPr>
        <w:t>Surv Ophthalmol</w:t>
      </w:r>
      <w:r>
        <w:rPr>
          <w:rFonts w:ascii="Calibri" w:hAnsi="Calibri"/>
          <w:b w:val="0"/>
          <w:i w:val="0"/>
          <w:color w:val="222222"/>
          <w:sz w:val="22"/>
        </w:rPr>
        <w:t>. 1998;42(4):297–319.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Torquetti L, Berbel RF, Ferrara P. Long-term follow-up of intrastromal corneal ring segments in keratoconus.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2009;35(10):1768–1773.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Vega-Estrada A, Alió JL, Plaza-Puche AB. Keratoconus progression after intrastromal corneal ring segment implantation. </w:t>
      </w:r>
      <w:r>
        <w:rPr>
          <w:rFonts w:ascii="Calibri" w:hAnsi="Calibri"/>
          <w:b w:val="0"/>
          <w:i/>
          <w:color w:val="222222"/>
          <w:sz w:val="22"/>
        </w:rPr>
        <w:t>Cornea</w:t>
      </w:r>
      <w:r>
        <w:rPr>
          <w:rFonts w:ascii="Calibri" w:hAnsi="Calibri"/>
          <w:b w:val="0"/>
          <w:i w:val="0"/>
          <w:color w:val="222222"/>
          <w:sz w:val="22"/>
        </w:rPr>
        <w:t>. 2013;32(5):611–616.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