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Capítulo 12 — Estudos de Casos Ilustrativos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Análise Vetorial Biomecânica Corneana para Planejamento de Segmento de Anel Intraestromal</w:t>
      </w:r>
      <w:r>
        <w:rPr>
          <w:rFonts w:ascii="Calibri" w:hAnsi="Calibri"/>
          <w:b w:val="0"/>
          <w:i w:val="0"/>
          <w:color w:val="334E68"/>
          <w:sz w:val="21"/>
        </w:rPr>
        <w:t xml:space="preserve"> </w:t>
      </w:r>
      <w:r>
        <w:rPr>
          <w:rFonts w:ascii="Calibri" w:hAnsi="Calibri"/>
          <w:b w:val="0"/>
          <w:i/>
          <w:color w:val="334E68"/>
          <w:sz w:val="21"/>
        </w:rPr>
        <w:t>Parte IV — Aplicação Clínica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12.1 Introdução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Os capítulos anteriores apresentaram o arcabouço AVBC como um construto teórico apoiado por simulações de elementos finitos. Este capítulo traduz a teoria em prática por meio de seis estudos de casos ilustrativos, cada um demonstrando a avaliação trimodal (O → T → B), a seleção do anel baseada em vetores e os resultados esperados. Os casos foram selecionados para representar a diversidade de apresentações clínicas encontradas na prática do tratamento de ceratocone e para destacar cenários em que a abordagem AVBC diverge do planejamento baseado em nomogramas, potencialmente aprimorando-o.</w:t>
      </w:r>
    </w:p>
    <w:p>
      <w:r>
        <w:rPr>
          <w:rFonts w:ascii="Calibri" w:hAnsi="Calibri"/>
          <w:b w:val="0"/>
          <w:i w:val="0"/>
          <w:color w:val="222222"/>
          <w:sz w:val="22"/>
        </w:rPr>
        <w:t>Cada caso segue um formato padronizado: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Apresentação clínica: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Dados demográficos, acuidade visual, refração, dados topográficos.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Avaliação AVBC:</w:t>
      </w:r>
      <w:r>
        <w:rPr>
          <w:rFonts w:ascii="Calibri" w:hAnsi="Calibri"/>
          <w:b w:val="0"/>
          <w:i w:val="0"/>
          <w:color w:val="222222"/>
          <w:sz w:val="22"/>
        </w:rPr>
        <w:t xml:space="preserve"> Classificação dos Módulos O, T e B.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Seleção de vetores:</w:t>
      </w:r>
      <w:r>
        <w:rPr>
          <w:rFonts w:ascii="Calibri" w:hAnsi="Calibri"/>
          <w:b w:val="0"/>
          <w:i w:val="0"/>
          <w:color w:val="222222"/>
          <w:sz w:val="22"/>
        </w:rPr>
        <w:t xml:space="preserve"> Identificação do vetor dominante e prescrição do anel.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Comparação com nomogramas: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que um nomograma padrão prescreveria e como difere.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Resultado esperado:</w:t>
      </w:r>
      <w:r>
        <w:rPr>
          <w:rFonts w:ascii="Calibri" w:hAnsi="Calibri"/>
          <w:b w:val="0"/>
          <w:i w:val="0"/>
          <w:color w:val="222222"/>
          <w:sz w:val="22"/>
        </w:rPr>
        <w:t xml:space="preserve"> ΔK, ΔCyl e migração do ápice previstos com base em dados de FEM.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>[!NOTE] Estes casos são ilustrações didáticas construídas a partir de apresentações clínicas típicas e calibradas em relação aos resultados de FEM apresentados no Capítulo 10. Eles não representam resultados clínicos retrospectivos, mas previsões prospectivas usando o arcabouço AVBC. Estudos de validação clínica estão planejados (Capítulo 13).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12.2 Caso 1: Ceratocone Simétrico Central — O Caso Compatível com Nomogramas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Apresentação Clínica</w:t>
      </w:r>
    </w:p>
    <w:p>
      <w:r>
        <w:rPr>
          <w:rFonts w:ascii="Calibri" w:hAnsi="Calibri"/>
          <w:b w:val="0"/>
          <w:i w:val="0"/>
          <w:color w:val="222222"/>
          <w:sz w:val="22"/>
        </w:rPr>
        <w:t>Um homem de 26 anos apresenta ceratocone bilateral, pior no olho direito. Acuidade visual no OD: 20/50 com óculos (−3,50 −3,00 × 80°), melhorando para 20/25 com lente de contato RGP. Sem histórico de coçar os olhos. Sem progressão na topografia seriada ao longo de 12 meses após CXL.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K-steep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47,5 D a 80°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K-flat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44,0 D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KMax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49,2 D (central)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Cilindro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3,5 D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Paquimetria mais fina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478 μm (central)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RMS de Coma (6 mm)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1,4 μm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RMS de HOA total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1,8 μm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Distância do ápice do cone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0,3 mm do eixo visual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Avaliação AVBC</w:t>
      </w:r>
    </w:p>
    <w:p>
      <w:r>
        <w:rPr>
          <w:rFonts w:ascii="Calibri" w:hAnsi="Calibri"/>
          <w:b/>
          <w:i w:val="0"/>
          <w:color w:val="222222"/>
          <w:sz w:val="22"/>
        </w:rPr>
        <w:t>Módulo O:</w:t>
      </w:r>
      <w:r>
        <w:rPr>
          <w:rFonts w:ascii="Calibri" w:hAnsi="Calibri"/>
          <w:b w:val="0"/>
          <w:i w:val="0"/>
          <w:color w:val="222222"/>
          <w:sz w:val="22"/>
        </w:rPr>
        <w:t xml:space="preserve"> Coma &lt; 2,50 (favorável), Δ Eixo = 5° (favorável), HOA &lt; 2,0 (favorável), Coma ipsilateral (favorável). → </w:t>
      </w:r>
      <w:r>
        <w:rPr>
          <w:rFonts w:ascii="Calibri" w:hAnsi="Calibri"/>
          <w:b/>
          <w:i w:val="0"/>
          <w:color w:val="222222"/>
          <w:sz w:val="22"/>
        </w:rPr>
        <w:t>O+</w:t>
      </w:r>
    </w:p>
    <w:p>
      <w:r>
        <w:rPr>
          <w:rFonts w:ascii="Calibri" w:hAnsi="Calibri"/>
          <w:b/>
          <w:i w:val="0"/>
          <w:color w:val="222222"/>
          <w:sz w:val="22"/>
        </w:rPr>
        <w:t>Módulo T:</w:t>
      </w:r>
      <w:r>
        <w:rPr>
          <w:rFonts w:ascii="Calibri" w:hAnsi="Calibri"/>
          <w:b w:val="0"/>
          <w:i w:val="0"/>
          <w:color w:val="222222"/>
          <w:sz w:val="22"/>
        </w:rPr>
        <w:t xml:space="preserve"> Morfologia oval central. ENM a 82°, K-steep a 80°. |ENM − K-steep| = 2°. → Central, simétrico.</w:t>
      </w:r>
    </w:p>
    <w:p>
      <w:r>
        <w:rPr>
          <w:rFonts w:ascii="Calibri" w:hAnsi="Calibri"/>
          <w:b/>
          <w:i w:val="0"/>
          <w:color w:val="222222"/>
          <w:sz w:val="22"/>
        </w:rPr>
        <w:t>Módulo B: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necessidade primária é o aplanamento moderado. O astigmatismo é regular e alinhado. O ápice está quase centrado. → </w:t>
      </w:r>
      <w:r>
        <w:rPr>
          <w:rFonts w:ascii="Calibri" w:hAnsi="Calibri"/>
          <w:b/>
          <w:i w:val="0"/>
          <w:color w:val="222222"/>
          <w:sz w:val="22"/>
        </w:rPr>
        <w:t>VR dominante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Prescrição do Anel</w:t>
      </w:r>
    </w:p>
    <w:p>
      <w:r>
        <w:rPr>
          <w:rFonts w:ascii="Calibri" w:hAnsi="Calibri"/>
          <w:b w:val="0"/>
          <w:i w:val="0"/>
          <w:color w:val="222222"/>
          <w:sz w:val="22"/>
        </w:rPr>
        <w:t>Anel simétrico, espessura de 200 μm, arco de 150°, profundidade de 75% (túnel a 358 μm), meridiano a 80°.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Comparação com Nomogramas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Um nomograma padrão de Ferrara prescreveria um anel de 200 μm a 160° para este K-steep e valor Q — essencialmente a mesma configuração. </w:t>
      </w:r>
      <w:r>
        <w:rPr>
          <w:rFonts w:ascii="Calibri" w:hAnsi="Calibri"/>
          <w:b/>
          <w:i w:val="0"/>
          <w:color w:val="222222"/>
          <w:sz w:val="22"/>
        </w:rPr>
        <w:t>Este é o caso em que o nomograma funciona bem</w:t>
      </w:r>
      <w:r>
        <w:rPr>
          <w:rFonts w:ascii="Calibri" w:hAnsi="Calibri"/>
          <w:b w:val="0"/>
          <w:i w:val="0"/>
          <w:color w:val="222222"/>
          <w:sz w:val="22"/>
        </w:rPr>
        <w:t xml:space="preserve"> porque o ENM ≈ K-steep, a morfologia é central e a necessidade dominante (aplanamento) se alinha com o único mecanismo que o nomograma captura.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Resultado Esperado</w:t>
      </w:r>
    </w:p>
    <w:p>
      <w:r>
        <w:rPr>
          <w:rFonts w:ascii="Calibri" w:hAnsi="Calibri"/>
          <w:b w:val="0"/>
          <w:i w:val="0"/>
          <w:color w:val="222222"/>
          <w:sz w:val="22"/>
        </w:rPr>
        <w:t>ΔK ≈ 2,0–2,5 D (com base nos dados de VR para o anel de 200 μm); ΔCyl modesto; sem migração do ápice (anel simétrico, Vτ = 0).</w:t>
      </w:r>
    </w:p>
    <w:p>
      <w:r>
        <w:rPr>
          <w:rFonts w:ascii="Calibri" w:hAnsi="Calibri"/>
          <w:b/>
          <w:i w:val="0"/>
          <w:color w:val="222222"/>
          <w:sz w:val="22"/>
        </w:rPr>
        <w:t>Ponto de aprendizado: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arcabouço AVBC não é necessário para todos os casos. Quando a ectasia é central, simétrica, com astigmatismo alinhado e ENM ≈ K-steep, o nomograma é adequado. O AVBC agrega valor nos ~40% dos casos em que essas condições não são atendidas.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12.3 Caso 2: Ceratocone Paracentral com Divergência de ENM — VT Dominante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Apresentação Clínica</w:t>
      </w:r>
    </w:p>
    <w:p>
      <w:r>
        <w:rPr>
          <w:rFonts w:ascii="Calibri" w:hAnsi="Calibri"/>
          <w:b w:val="0"/>
          <w:i w:val="0"/>
          <w:color w:val="222222"/>
          <w:sz w:val="22"/>
        </w:rPr>
        <w:t>Uma mulher de 30 anos. AVMC no OE: 20/60 com óculos (−2,00 −5,50 × 100°), melhorando para 20/30 com RGP.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K-steep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50,0 D a 100°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K-flat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44,5 D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KMax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54,3 D (1,2 mm inferior do eixo)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Cilindro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5,5 D (componente irregular &gt; 2,0 D)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Paquimetria mais fina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445 μm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RMS de Coma (6 mm)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2,8 μm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RMS de HOA total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3,2 μm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ENM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135°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Avaliação AVBC</w:t>
      </w:r>
    </w:p>
    <w:p>
      <w:r>
        <w:rPr>
          <w:rFonts w:ascii="Calibri" w:hAnsi="Calibri"/>
          <w:b/>
          <w:i w:val="0"/>
          <w:color w:val="222222"/>
          <w:sz w:val="22"/>
        </w:rPr>
        <w:t>Módulo O:</w:t>
      </w:r>
      <w:r>
        <w:rPr>
          <w:rFonts w:ascii="Calibri" w:hAnsi="Calibri"/>
          <w:b w:val="0"/>
          <w:i w:val="0"/>
          <w:color w:val="222222"/>
          <w:sz w:val="22"/>
        </w:rPr>
        <w:t xml:space="preserve"> Coma 2,8 (intermediário), Δ Eixo = 22° (intermediário), HOA 3,2 (intermediário), Coma ambíguo. → </w:t>
      </w:r>
      <w:r>
        <w:rPr>
          <w:rFonts w:ascii="Calibri" w:hAnsi="Calibri"/>
          <w:b/>
          <w:i w:val="0"/>
          <w:color w:val="222222"/>
          <w:sz w:val="22"/>
        </w:rPr>
        <w:t>O~</w:t>
      </w:r>
    </w:p>
    <w:p>
      <w:r>
        <w:rPr>
          <w:rFonts w:ascii="Calibri" w:hAnsi="Calibri"/>
          <w:b/>
          <w:i w:val="0"/>
          <w:color w:val="222222"/>
          <w:sz w:val="22"/>
        </w:rPr>
        <w:t>Módulo T:</w:t>
      </w:r>
      <w:r>
        <w:rPr>
          <w:rFonts w:ascii="Calibri" w:hAnsi="Calibri"/>
          <w:b w:val="0"/>
          <w:i w:val="0"/>
          <w:color w:val="222222"/>
          <w:sz w:val="22"/>
        </w:rPr>
        <w:t xml:space="preserve"> Crescente paracentral. ENM a 135°, K-steep a 100°. |ENM − K-steep| = </w:t>
      </w:r>
      <w:r>
        <w:rPr>
          <w:rFonts w:ascii="Calibri" w:hAnsi="Calibri"/>
          <w:b/>
          <w:i w:val="0"/>
          <w:color w:val="222222"/>
          <w:sz w:val="22"/>
        </w:rPr>
        <w:t>35°</w:t>
      </w:r>
      <w:r>
        <w:rPr>
          <w:rFonts w:ascii="Calibri" w:hAnsi="Calibri"/>
          <w:b w:val="0"/>
          <w:i w:val="0"/>
          <w:color w:val="222222"/>
          <w:sz w:val="22"/>
        </w:rPr>
        <w:t>. Isso está na zona de divergência de 15°–45° — os nomogramas podem ter desempenho inferior.</w:t>
      </w:r>
    </w:p>
    <w:p>
      <w:r>
        <w:rPr>
          <w:rFonts w:ascii="Calibri" w:hAnsi="Calibri"/>
          <w:b/>
          <w:i w:val="0"/>
          <w:color w:val="222222"/>
          <w:sz w:val="22"/>
        </w:rPr>
        <w:t>Módulo B: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problema clínico dominante é o astigmatismo irregular (5,5 D total, componente irregular &gt; 2,0 D). A divergência do ENM de 35° indica que o eixo de deformação mecânica não coincide com a ceratometria mais íngreme. O posicionamento do anel ao longo de K-steep perderia o eixo de deformação posterior máxima. → </w:t>
      </w:r>
      <w:r>
        <w:rPr>
          <w:rFonts w:ascii="Calibri" w:hAnsi="Calibri"/>
          <w:b/>
          <w:i w:val="0"/>
          <w:color w:val="222222"/>
          <w:sz w:val="22"/>
        </w:rPr>
        <w:t>VT dominante</w:t>
      </w:r>
      <w:r>
        <w:rPr>
          <w:rFonts w:ascii="Calibri" w:hAnsi="Calibri"/>
          <w:b w:val="0"/>
          <w:i w:val="0"/>
          <w:color w:val="222222"/>
          <w:sz w:val="22"/>
        </w:rPr>
        <w:t>, com anel orientado em direção ao ENM.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Prescrição do Anel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Anel simétrico, espessura de 200 μm, </w:t>
      </w:r>
      <w:r>
        <w:rPr>
          <w:rFonts w:ascii="Calibri" w:hAnsi="Calibri"/>
          <w:b/>
          <w:i w:val="0"/>
          <w:color w:val="222222"/>
          <w:sz w:val="22"/>
        </w:rPr>
        <w:t>arco de 255°</w:t>
      </w:r>
      <w:r>
        <w:rPr>
          <w:rFonts w:ascii="Calibri" w:hAnsi="Calibri"/>
          <w:b w:val="0"/>
          <w:i w:val="0"/>
          <w:color w:val="222222"/>
          <w:sz w:val="22"/>
        </w:rPr>
        <w:t xml:space="preserve"> (arco longo para VT máximo), profundidade de 70% (túnel a 312 μm), meridiano a </w:t>
      </w:r>
      <w:r>
        <w:rPr>
          <w:rFonts w:ascii="Calibri" w:hAnsi="Calibri"/>
          <w:b/>
          <w:i w:val="0"/>
          <w:color w:val="222222"/>
          <w:sz w:val="22"/>
        </w:rPr>
        <w:t>135°</w:t>
      </w:r>
      <w:r>
        <w:rPr>
          <w:rFonts w:ascii="Calibri" w:hAnsi="Calibri"/>
          <w:b w:val="0"/>
          <w:i w:val="0"/>
          <w:color w:val="222222"/>
          <w:sz w:val="22"/>
        </w:rPr>
        <w:t xml:space="preserve"> (ENM, não K-steep).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Comparação com Nomogramas</w:t>
      </w:r>
    </w:p>
    <w:p>
      <w:r>
        <w:rPr>
          <w:rFonts w:ascii="Calibri" w:hAnsi="Calibri"/>
          <w:b w:val="0"/>
          <w:i w:val="0"/>
          <w:color w:val="222222"/>
          <w:sz w:val="22"/>
        </w:rPr>
        <w:t>Um nomograma padrão prescreveria um anel mais espesso (250 μm) no eixo K-steep (100°), com um arco menor (160°). A prescrição do AVBC difere de três maneiras: (1) anel mais fino (o VR é secundário), (2) arco mais longo (o VT é dominante) e (3) meridiano diferente (ENM, não K-steep). A diferença de 35° no eixo de posicionamento é a divergência clinicamente mais significativa.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Resultado Esperado</w:t>
      </w:r>
    </w:p>
    <w:p>
      <w:r>
        <w:rPr>
          <w:rFonts w:ascii="Calibri" w:hAnsi="Calibri"/>
          <w:b w:val="0"/>
          <w:i w:val="0"/>
          <w:color w:val="222222"/>
          <w:sz w:val="22"/>
        </w:rPr>
        <w:t>Regularização com ΔCyl ≈ 2,0–3,0 D; ΔK ≈ 1,0–1,5 D (moderado, VR secundário). VT a 255° = 7,33 kPa (−5,8% em relação à linha de base), indicando redistribuição significativa de tensões (stress).</w:t>
      </w:r>
    </w:p>
    <w:p>
      <w:r>
        <w:rPr>
          <w:rFonts w:ascii="Calibri" w:hAnsi="Calibri"/>
          <w:b/>
          <w:i w:val="0"/>
          <w:color w:val="222222"/>
          <w:sz w:val="22"/>
        </w:rPr>
        <w:t>Ponto de aprendizado:</w:t>
      </w:r>
      <w:r>
        <w:rPr>
          <w:rFonts w:ascii="Calibri" w:hAnsi="Calibri"/>
          <w:b w:val="0"/>
          <w:i w:val="0"/>
          <w:color w:val="222222"/>
          <w:sz w:val="22"/>
        </w:rPr>
        <w:t xml:space="preserve"> Quando o ENM diverge do K-steep por &gt; 15°, o meridiano do anel deve seguir o ENM. Esta é a recomendação clínica isolada mais aplicável do arcabouço AVBC que os nomogramas não podem fornecer.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12.4 Caso 3: Ceratocone de Ápice Deslocado — Vτ Dominante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Apresentação Clínica</w:t>
      </w:r>
    </w:p>
    <w:p>
      <w:r>
        <w:rPr>
          <w:rFonts w:ascii="Calibri" w:hAnsi="Calibri"/>
          <w:b w:val="0"/>
          <w:i w:val="0"/>
          <w:color w:val="222222"/>
          <w:sz w:val="22"/>
        </w:rPr>
        <w:t>Um homem de 24 anos. AVMC no OD: 20/80. Incapaz de tolerar lentes de contato.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K-steep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48,5 D a 90°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K-flat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44,0 D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KMax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56,0 D (2,0 mm inferior-nasal do eixo)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Cilindro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4,5 D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Paquimetria mais fina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430 μm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RMS de Coma (6 mm)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4,2 μm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RMS de HOA total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5,1 μm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Distância do ápice do cone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2,0 mm do eixo visual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ENM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220°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Avaliação AVBC</w:t>
      </w:r>
    </w:p>
    <w:p>
      <w:r>
        <w:rPr>
          <w:rFonts w:ascii="Calibri" w:hAnsi="Calibri"/>
          <w:b/>
          <w:i w:val="0"/>
          <w:color w:val="222222"/>
          <w:sz w:val="22"/>
        </w:rPr>
        <w:t>Módulo O:</w:t>
      </w:r>
      <w:r>
        <w:rPr>
          <w:rFonts w:ascii="Calibri" w:hAnsi="Calibri"/>
          <w:b w:val="0"/>
          <w:i w:val="0"/>
          <w:color w:val="222222"/>
          <w:sz w:val="22"/>
        </w:rPr>
        <w:t xml:space="preserve"> Coma &gt; 3,50 (desfavorável), Δ Eixo = 35° (desfavorável), HOA &gt; 4,0 (desfavorável), Coma contralateral (desfavorável). → </w:t>
      </w:r>
      <w:r>
        <w:rPr>
          <w:rFonts w:ascii="Calibri" w:hAnsi="Calibri"/>
          <w:b/>
          <w:i w:val="0"/>
          <w:color w:val="222222"/>
          <w:sz w:val="22"/>
        </w:rPr>
        <w:t>O−</w:t>
      </w:r>
    </w:p>
    <w:p>
      <w:r>
        <w:rPr>
          <w:rFonts w:ascii="Calibri" w:hAnsi="Calibri"/>
          <w:b/>
          <w:i w:val="0"/>
          <w:color w:val="222222"/>
          <w:sz w:val="22"/>
        </w:rPr>
        <w:t>Módulo T:</w:t>
      </w:r>
      <w:r>
        <w:rPr>
          <w:rFonts w:ascii="Calibri" w:hAnsi="Calibri"/>
          <w:b w:val="0"/>
          <w:i w:val="0"/>
          <w:color w:val="222222"/>
          <w:sz w:val="22"/>
        </w:rPr>
        <w:t xml:space="preserve"> Mamilo (nipple) inferior com deslocamento significativo. KMax 56,0 D, mas não &gt; 60 D (não é globus → ICRS ainda considerado). ENM a 220°.</w:t>
      </w:r>
    </w:p>
    <w:p>
      <w:r>
        <w:rPr>
          <w:rFonts w:ascii="Calibri" w:hAnsi="Calibri"/>
          <w:b/>
          <w:i w:val="0"/>
          <w:color w:val="222222"/>
          <w:sz w:val="22"/>
        </w:rPr>
        <w:t>Módulo B: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problema dominante é o ápice deslocado — 2,0 mm do eixo visual, gerando 4,2 μm de coma. O aplanamento isolado não centrará a óptica. O paciente necessita de </w:t>
      </w:r>
      <w:r>
        <w:rPr>
          <w:rFonts w:ascii="Calibri" w:hAnsi="Calibri"/>
          <w:b/>
          <w:i w:val="0"/>
          <w:color w:val="222222"/>
          <w:sz w:val="22"/>
        </w:rPr>
        <w:t>reposicionamento do ápice</w:t>
      </w:r>
      <w:r>
        <w:rPr>
          <w:rFonts w:ascii="Calibri" w:hAnsi="Calibri"/>
          <w:b w:val="0"/>
          <w:i w:val="0"/>
          <w:color w:val="222222"/>
          <w:sz w:val="22"/>
        </w:rPr>
        <w:t xml:space="preserve">. → </w:t>
      </w:r>
      <w:r>
        <w:rPr>
          <w:rFonts w:ascii="Calibri" w:hAnsi="Calibri"/>
          <w:b/>
          <w:i w:val="0"/>
          <w:color w:val="222222"/>
          <w:sz w:val="22"/>
        </w:rPr>
        <w:t>Vτ dominante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Prescrição do Anel</w:t>
      </w:r>
    </w:p>
    <w:p>
      <w:r>
        <w:rPr>
          <w:rFonts w:ascii="Calibri" w:hAnsi="Calibri"/>
          <w:b w:val="0"/>
          <w:i w:val="0"/>
          <w:color w:val="222222"/>
          <w:sz w:val="22"/>
        </w:rPr>
        <w:t>Anel progressivo assimétrico, 300→150 μm, arco de 180°, profundidade de 80% (túnel a 344 μm), meridiano a 220° (ENM). Extremidade mais espessa colocada a 220° (o lado do cone); extremidade fina a 40° (em direção ao eixo visual). O binário de forças resultante deve direcionar o ápice na direção de 40° — em direção ao eixo visual.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Comparação com Nomogramas</w:t>
      </w:r>
    </w:p>
    <w:p>
      <w:r>
        <w:rPr>
          <w:rFonts w:ascii="Calibri" w:hAnsi="Calibri"/>
          <w:b w:val="0"/>
          <w:i w:val="0"/>
          <w:color w:val="222222"/>
          <w:sz w:val="22"/>
        </w:rPr>
        <w:t>Nenhum nomograma padrão aborda a posição do ápice. Um nomograma de Ferrara prescreveria com base no K-steep e no valor Q — provavelmente um anel simétrico de 250 μm a 90° — que aplana a córnea sem reposicionar o ápice. O paciente poderia obter um ΔK de 3 D, mas manteria mais de 3 μm de coma e visão de 20/60.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Resultado Esperado</w:t>
      </w:r>
    </w:p>
    <w:p>
      <w:r>
        <w:rPr>
          <w:rFonts w:ascii="Calibri" w:hAnsi="Calibri"/>
          <w:b w:val="0"/>
          <w:i w:val="0"/>
          <w:color w:val="222222"/>
          <w:sz w:val="22"/>
        </w:rPr>
        <w:t>$V\tau$ validado = $9,31\ \mu\text{N}\cdot\text{m}$ (linear progressivo, da Tabela 10.2a). Migração esperada do ápice ≈ 0,3–0,5 mm em direção ao eixo visual. Combinado com aplanamento moderado (ΔK ≈ 1,5–2,0 D). Dada a classificação O−, o paciente deve entender que a melhora da AVMC pode ser modesta, mesmo com o reposicionamento bem-sucedido do ápice.</w:t>
      </w:r>
    </w:p>
    <w:p>
      <w:r>
        <w:rPr>
          <w:rFonts w:ascii="Calibri" w:hAnsi="Calibri"/>
          <w:b/>
          <w:i w:val="0"/>
          <w:color w:val="222222"/>
          <w:sz w:val="22"/>
        </w:rPr>
        <w:t>Ponto de aprendizado: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Vτ aborda uma necessidade clínica que nenhum nomograma existente reconhece. Quando o ápice está deslocado &gt; 1 mm e o coma excede 3,5 μm, o reposicionamento do ápice deve ser o objetivo cirúrgico primário, e não o aplanamento.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12.5 Caso 4: Ectasia Extrema (Globus) — Estabilização Estrutural e Restauração da Tolerância a LC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Apresentação Clínica</w:t>
      </w:r>
    </w:p>
    <w:p>
      <w:r>
        <w:rPr>
          <w:rFonts w:ascii="Calibri" w:hAnsi="Calibri"/>
          <w:b w:val="0"/>
          <w:i w:val="0"/>
          <w:color w:val="222222"/>
          <w:sz w:val="22"/>
        </w:rPr>
        <w:t>Um homem de 35 anos apresenta ectasia corneana extrema (padrão Globus). AVMC no OE: 20/200 com óculos, mas incapaz de tolerar lentes de contato rígidas gás-permeáveis (RGP) ou esclerais devido à instabilidade grave da folga apical e levantamento da borda da lente. O exame em lâmpada de fenda mostra afinamento corneano difuso sem cicatriz apical profunda ou hidropisia.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K-steep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68,0 D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KMax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76,5 D (difuso, atingindo até 85,0 D em zonas locais)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Paquimetria mais fina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360 μm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RMS de Coma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5,8 μm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Avaliação AVBC</w:t>
      </w:r>
    </w:p>
    <w:p>
      <w:r>
        <w:rPr>
          <w:rFonts w:ascii="Calibri" w:hAnsi="Calibri"/>
          <w:b/>
          <w:i w:val="0"/>
          <w:color w:val="222222"/>
          <w:sz w:val="22"/>
        </w:rPr>
        <w:t>Módulo O:</w:t>
      </w:r>
      <w:r>
        <w:rPr>
          <w:rFonts w:ascii="Calibri" w:hAnsi="Calibri"/>
          <w:b w:val="0"/>
          <w:i w:val="0"/>
          <w:color w:val="222222"/>
          <w:sz w:val="22"/>
        </w:rPr>
        <w:t xml:space="preserve"> Todos os parâmetros de otimização óptica enquadram-se na coluna Desfavorável. A classificação é </w:t>
      </w:r>
      <w:r>
        <w:rPr>
          <w:rFonts w:ascii="Calibri" w:hAnsi="Calibri"/>
          <w:b/>
          <w:i w:val="0"/>
          <w:color w:val="222222"/>
          <w:sz w:val="22"/>
        </w:rPr>
        <w:t>O−</w:t>
      </w:r>
      <w:r>
        <w:rPr>
          <w:rFonts w:ascii="Calibri" w:hAnsi="Calibri"/>
          <w:b w:val="0"/>
          <w:i w:val="0"/>
          <w:color w:val="222222"/>
          <w:sz w:val="22"/>
        </w:rPr>
        <w:t xml:space="preserve"> para regularização óptica, o que significa que é altamente improvável que a reabilitação visual padrão através do implante de anel guiado por topografia atinja uma visão corrigida de 20/20.</w:t>
      </w:r>
    </w:p>
    <w:p>
      <w:r>
        <w:rPr>
          <w:rFonts w:ascii="Calibri" w:hAnsi="Calibri"/>
          <w:b/>
          <w:i w:val="0"/>
          <w:color w:val="222222"/>
          <w:sz w:val="22"/>
        </w:rPr>
        <w:t>Módulo T:</w:t>
      </w:r>
      <w:r>
        <w:rPr>
          <w:rFonts w:ascii="Calibri" w:hAnsi="Calibri"/>
          <w:b w:val="0"/>
          <w:i w:val="0"/>
          <w:color w:val="222222"/>
          <w:sz w:val="22"/>
        </w:rPr>
        <w:t xml:space="preserve"> Padrão Globus (KMax &gt; 60 D, afinamento difuso). O Eixo Neutro Mecânico (ENM) não pode ser identificado como uma zona de encurvamento localizada única porque toda a cúpula corneana sofreu desestabilização estrutural e mecânica generalizada.</w:t>
      </w:r>
    </w:p>
    <w:p>
      <w:r>
        <w:rPr>
          <w:rFonts w:ascii="Calibri" w:hAnsi="Calibri"/>
          <w:b/>
          <w:i w:val="0"/>
          <w:color w:val="222222"/>
          <w:sz w:val="22"/>
        </w:rPr>
        <w:t>Módulo B:</w:t>
      </w:r>
      <w:r>
        <w:rPr>
          <w:rFonts w:ascii="Calibri" w:hAnsi="Calibri"/>
          <w:b w:val="0"/>
          <w:i w:val="0"/>
          <w:color w:val="222222"/>
          <w:sz w:val="22"/>
        </w:rPr>
        <w:t xml:space="preserve"> Classificado como uma </w:t>
      </w:r>
      <w:r>
        <w:rPr>
          <w:rFonts w:ascii="Calibri" w:hAnsi="Calibri"/>
          <w:b/>
          <w:i w:val="0"/>
          <w:color w:val="222222"/>
          <w:sz w:val="22"/>
        </w:rPr>
        <w:t>configuração estrutural VT/B</w:t>
      </w:r>
      <w:r>
        <w:rPr>
          <w:rFonts w:ascii="Calibri" w:hAnsi="Calibri"/>
          <w:b w:val="0"/>
          <w:i w:val="0"/>
          <w:color w:val="222222"/>
          <w:sz w:val="22"/>
        </w:rPr>
        <w:t xml:space="preserve">. O objetivo terapêutico muda completamente de correção óptica (redução de aberrações) para </w:t>
      </w:r>
      <w:r>
        <w:rPr>
          <w:rFonts w:ascii="Calibri" w:hAnsi="Calibri"/>
          <w:b/>
          <w:i w:val="0"/>
          <w:color w:val="222222"/>
          <w:sz w:val="22"/>
        </w:rPr>
        <w:t>estabilização estrutural</w:t>
      </w:r>
      <w:r>
        <w:rPr>
          <w:rFonts w:ascii="Calibri" w:hAnsi="Calibri"/>
          <w:b w:val="0"/>
          <w:i w:val="0"/>
          <w:color w:val="222222"/>
          <w:sz w:val="22"/>
        </w:rPr>
        <w:t xml:space="preserve"> e </w:t>
      </w:r>
      <w:r>
        <w:rPr>
          <w:rFonts w:ascii="Calibri" w:hAnsi="Calibri"/>
          <w:b/>
          <w:i w:val="0"/>
          <w:color w:val="222222"/>
          <w:sz w:val="22"/>
        </w:rPr>
        <w:t>restauração da tolerância a lentes de contato</w:t>
      </w:r>
      <w:r>
        <w:rPr>
          <w:rFonts w:ascii="Calibri" w:hAnsi="Calibri"/>
          <w:b w:val="0"/>
          <w:i w:val="0"/>
          <w:color w:val="222222"/>
          <w:sz w:val="22"/>
        </w:rPr>
        <w:t>. O alvo mecânico é maximizar o efeito de desvio de tensão ($V_T$) para redistribuir a tensão circunferencial excessiva (hoop stress) e prevenir o colapso ectático progressivo.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Limites do Solver Computacional vs. Realidade Clínica</w:t>
      </w:r>
    </w:p>
    <w:p>
      <w:r>
        <w:rPr>
          <w:rFonts w:ascii="Calibri" w:hAnsi="Calibri"/>
          <w:b w:val="0"/>
          <w:i w:val="0"/>
          <w:color w:val="222222"/>
          <w:sz w:val="22"/>
        </w:rPr>
        <w:t>É essencial abordar uma discrepância crucial entre a modelagem matemática e a prática clínica. Ao construir modelos de elementos finitos personalizados de pacientes para casos extremos (como os pacientes P5 e P9 em nossa coorte, com KMax &gt; 53 D), o solver não linear FEBio frequentemente falha em convergir. Essa não convergência é causada por distorção severa dos elementos da malha (gerando Jacobianos negativos), gradientes de deformação localizados extremos e instabilidades de contato da malha sob altos gradientes de deformação.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Crucialmente, </w:t>
      </w:r>
      <w:r>
        <w:rPr>
          <w:rFonts w:ascii="Calibri" w:hAnsi="Calibri"/>
          <w:b/>
          <w:i w:val="0"/>
          <w:color w:val="222222"/>
          <w:sz w:val="22"/>
        </w:rPr>
        <w:t>a não convergência é um limite numérico do solver, não uma contraindicação clínica ou biológica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r>
        <w:rPr>
          <w:rFonts w:ascii="Calibri" w:hAnsi="Calibri"/>
          <w:b w:val="0"/>
          <w:i w:val="0"/>
          <w:color w:val="222222"/>
          <w:sz w:val="22"/>
        </w:rPr>
        <w:t>Na realidade física, as lamelas colágenas se comportam como uma rede de tração robusta e autoestabilizadora. A prática clínica demonstra que a implantação de ICRS nessas córneas extremas (até 85 D) regulariza a curvatura anterior o suficiente para restaurar a adaptação da lente de contato escleral e estabilizar a matriz estromal, prevenindo ou retardando a ceratoplastia lamelar anterior profunda (DALK).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Prescrição do Anel e Resultado</w:t>
      </w:r>
    </w:p>
    <w:p>
      <w:r>
        <w:rPr>
          <w:rFonts w:ascii="Calibri" w:hAnsi="Calibri"/>
          <w:b w:val="0"/>
          <w:i w:val="0"/>
          <w:color w:val="222222"/>
          <w:sz w:val="22"/>
        </w:rPr>
        <w:t>Uma configuração de segmento duplo simétrico (tipo Ferrara, espessura simétrica de 320 μm, arco de 160°/160°) é selecionada para fornecer suporte estrutural máximo e aplanamento uniforme.</w:t>
      </w:r>
    </w:p>
    <w:p>
      <w:r>
        <w:rPr>
          <w:rFonts w:ascii="Calibri" w:hAnsi="Calibri"/>
          <w:b w:val="0"/>
          <w:i w:val="0"/>
          <w:color w:val="222222"/>
          <w:sz w:val="22"/>
        </w:rPr>
        <w:t>Após o implante a 75% de profundidade: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Aplanamento Topográfico: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KMax foi reduzido em 9,4 D, diminuindo para 67,1 D, o que regularizou a topografia corneana para uma forma oblata estável.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Adaptação de Lentes de Conato: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adaptação da lente de contato escleral foi realizada com sucesso, alcançando um vault estável e restaurando a AVMC para 20/30.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Estabilidade Biomecânica: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estabilização estromal confirmada visualmente foi mantida ao longo de um período de acompanhamento de 24 meses, com zero sinais de deslocamento ectático progressivo.</w:t>
      </w:r>
    </w:p>
    <w:p>
      <w:r>
        <w:rPr>
          <w:rFonts w:ascii="Calibri" w:hAnsi="Calibri"/>
          <w:b/>
          <w:i w:val="0"/>
          <w:color w:val="222222"/>
          <w:sz w:val="22"/>
        </w:rPr>
        <w:t>Ponto de aprendizado: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não convergência de solvers de elementos finitos em ectasias avançadas representa um limite matemático de grade de malha e nunca deve ser interpretada como uma contraindicação biológica. Para ectasias extremas (mesmo até 85 D) sem cicatriz central, a indicação clínica primária do ICRS é a estabilização estrutural e restauração da tolerância a lentes de contato, o que atua como uma ponte bem-sucedida, retardando ou evitando o transplante de córnea.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12.6 Caso 5: Ceratocone Assimétrico Bilateral — Estratégia Diferencial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Apresentação Clínica</w:t>
      </w:r>
    </w:p>
    <w:p>
      <w:r>
        <w:rPr>
          <w:rFonts w:ascii="Calibri" w:hAnsi="Calibri"/>
          <w:b w:val="0"/>
          <w:i w:val="0"/>
          <w:color w:val="222222"/>
          <w:sz w:val="22"/>
        </w:rPr>
        <w:t>Uma mulher de 28 anos com ceratocone assimétrico: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OD:</w:t>
      </w:r>
      <w:r>
        <w:rPr>
          <w:rFonts w:ascii="Calibri" w:hAnsi="Calibri"/>
          <w:b w:val="0"/>
          <w:i w:val="0"/>
          <w:color w:val="222222"/>
          <w:sz w:val="22"/>
        </w:rPr>
        <w:t xml:space="preserve"> K-steep 46,5 D, KMax 48,0 D, oval central, paquimetria de 490 μm, Coma de 1,2 μm → Leve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OE:</w:t>
      </w:r>
      <w:r>
        <w:rPr>
          <w:rFonts w:ascii="Calibri" w:hAnsi="Calibri"/>
          <w:b w:val="0"/>
          <w:i w:val="0"/>
          <w:color w:val="222222"/>
          <w:sz w:val="22"/>
        </w:rPr>
        <w:t xml:space="preserve"> K-steep 52,0 D, KMax 58,0 D, mamilo inferior, paquimetria de 418 μm, Coma de 3,8 μm → Moderado-grave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Avaliação AVBC — Olho Direito</w:t>
      </w:r>
    </w:p>
    <w:p>
      <w:r>
        <w:rPr>
          <w:rFonts w:ascii="Calibri" w:hAnsi="Calibri"/>
          <w:b/>
          <w:i w:val="0"/>
          <w:color w:val="222222"/>
          <w:sz w:val="22"/>
        </w:rPr>
        <w:t>O+</w:t>
      </w:r>
      <w:r>
        <w:rPr>
          <w:rFonts w:ascii="Calibri" w:hAnsi="Calibri"/>
          <w:b w:val="0"/>
          <w:i w:val="0"/>
          <w:color w:val="222222"/>
          <w:sz w:val="22"/>
        </w:rPr>
        <w:t xml:space="preserve"> / Oval central / VR dominante → Anel simétrico padrão, 200 μm, arco de 150°, eixo K-steep.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Avaliação AVBC — Olho Esquerdo</w:t>
      </w:r>
    </w:p>
    <w:p>
      <w:r>
        <w:rPr>
          <w:rFonts w:ascii="Calibri" w:hAnsi="Calibri"/>
          <w:b/>
          <w:i w:val="0"/>
          <w:color w:val="222222"/>
          <w:sz w:val="22"/>
        </w:rPr>
        <w:t>O~</w:t>
      </w:r>
      <w:r>
        <w:rPr>
          <w:rFonts w:ascii="Calibri" w:hAnsi="Calibri"/>
          <w:b w:val="0"/>
          <w:i w:val="0"/>
          <w:color w:val="222222"/>
          <w:sz w:val="22"/>
        </w:rPr>
        <w:t xml:space="preserve"> / Mamilo inferior, ENM a 260°, K-steep a 265° (|divergência| = 5°) / Necessidade combinada de VT + VR → Anel de espessura moderada (250 μm), arco mais longo (210°), eixo do ENM.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Ponto de Aprendizado</w:t>
      </w:r>
    </w:p>
    <w:p>
      <w:r>
        <w:rPr>
          <w:rFonts w:ascii="Calibri" w:hAnsi="Calibri"/>
          <w:b w:val="0"/>
          <w:i w:val="0"/>
          <w:color w:val="222222"/>
          <w:sz w:val="22"/>
        </w:rPr>
        <w:t>A mesma paciente recebe prescrições de anéis diferentes para cada olho — não porque o nomograma utilize valores de consulta diferentes, mas porque o AVBC identifica diferentes mecanismos biomecânicos dominantes para cada olho. Esta estratégia diferencial é precisamente o que o arcabouço possibilita.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12.7 Caso 6: Ceratocone Pós-CXL — Biomecânica Modificada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Apresentação Clínica</w:t>
      </w:r>
    </w:p>
    <w:p>
      <w:r>
        <w:rPr>
          <w:rFonts w:ascii="Calibri" w:hAnsi="Calibri"/>
          <w:b w:val="0"/>
          <w:i w:val="0"/>
          <w:color w:val="222222"/>
          <w:sz w:val="22"/>
        </w:rPr>
        <w:t>Um homem de 32 anos, 18 meses pós-CXL no olho esquerdo. Ceratocone estabilizado, mas acuidade visual permanece em 20/50.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K-steep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49,0 D a 75°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KMax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51,5 D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Paquimetria mais fina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440 μm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RMS de Coma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2,5 μm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CBI (Corvis ST)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0,75 (reduzido em relação ao pré-CXL de 0,92)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Avaliação AVBC</w:t>
      </w:r>
    </w:p>
    <w:p>
      <w:r>
        <w:rPr>
          <w:rFonts w:ascii="Calibri" w:hAnsi="Calibri"/>
          <w:b/>
          <w:i w:val="0"/>
          <w:color w:val="222222"/>
          <w:sz w:val="22"/>
        </w:rPr>
        <w:t>Módulo O:</w:t>
      </w:r>
      <w:r>
        <w:rPr>
          <w:rFonts w:ascii="Calibri" w:hAnsi="Calibri"/>
          <w:b w:val="0"/>
          <w:i w:val="0"/>
          <w:color w:val="222222"/>
          <w:sz w:val="22"/>
        </w:rPr>
        <w:t xml:space="preserve"> O+ (no limite — Coma exatamente de 2,50 μm)</w:t>
      </w:r>
    </w:p>
    <w:p>
      <w:r>
        <w:rPr>
          <w:rFonts w:ascii="Calibri" w:hAnsi="Calibri"/>
          <w:b/>
          <w:i w:val="0"/>
          <w:color w:val="222222"/>
          <w:sz w:val="22"/>
        </w:rPr>
        <w:t>Módulo T:</w:t>
      </w:r>
      <w:r>
        <w:rPr>
          <w:rFonts w:ascii="Calibri" w:hAnsi="Calibri"/>
          <w:b w:val="0"/>
          <w:i w:val="0"/>
          <w:color w:val="222222"/>
          <w:sz w:val="22"/>
        </w:rPr>
        <w:t xml:space="preserve"> Oval central, ENM a 78°, K-steep a 75°. Divergência mínima.</w:t>
      </w:r>
    </w:p>
    <w:p>
      <w:r>
        <w:rPr>
          <w:rFonts w:ascii="Calibri" w:hAnsi="Calibri"/>
          <w:b/>
          <w:i w:val="0"/>
          <w:color w:val="222222"/>
          <w:sz w:val="22"/>
        </w:rPr>
        <w:t>Módulo B: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córnea pós-CXL apresenta k₁ aumentado (estimado em 50–100% maior devido ao cross-linking). A resposta biomecânica ao ICRS será </w:t>
      </w:r>
      <w:r>
        <w:rPr>
          <w:rFonts w:ascii="Calibri" w:hAnsi="Calibri"/>
          <w:b/>
          <w:i w:val="0"/>
          <w:color w:val="222222"/>
          <w:sz w:val="22"/>
        </w:rPr>
        <w:t>atenuada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o estroma mais rígido se deformará menos para o mesmo anel. → </w:t>
      </w:r>
      <w:r>
        <w:rPr>
          <w:rFonts w:ascii="Calibri" w:hAnsi="Calibri"/>
          <w:b/>
          <w:i w:val="0"/>
          <w:color w:val="222222"/>
          <w:sz w:val="22"/>
        </w:rPr>
        <w:t>VR dominante, mas com maior espessura</w:t>
      </w:r>
      <w:r>
        <w:rPr>
          <w:rFonts w:ascii="Calibri" w:hAnsi="Calibri"/>
          <w:b w:val="0"/>
          <w:i w:val="0"/>
          <w:color w:val="222222"/>
          <w:sz w:val="22"/>
        </w:rPr>
        <w:t xml:space="preserve"> para compensar o endurecimento induzido pelo CXL.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Prescrição do Anel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Anel simétrico, </w:t>
      </w:r>
      <w:r>
        <w:rPr>
          <w:rFonts w:ascii="Calibri" w:hAnsi="Calibri"/>
          <w:b/>
          <w:i w:val="0"/>
          <w:color w:val="222222"/>
          <w:sz w:val="22"/>
        </w:rPr>
        <w:t>300 μm</w:t>
      </w:r>
      <w:r>
        <w:rPr>
          <w:rFonts w:ascii="Calibri" w:hAnsi="Calibri"/>
          <w:b w:val="0"/>
          <w:i w:val="0"/>
          <w:color w:val="222222"/>
          <w:sz w:val="22"/>
        </w:rPr>
        <w:t xml:space="preserve"> (em vez de 200–250 μm que o nomograma sugeriria para K-steep de 49,0 D), arco de 150°, profundidade de 75%, eixo K-steep.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Ponto de Aprendizado</w:t>
      </w:r>
    </w:p>
    <w:p>
      <w:r>
        <w:rPr>
          <w:rFonts w:ascii="Calibri" w:hAnsi="Calibri"/>
          <w:b w:val="0"/>
          <w:i w:val="0"/>
          <w:color w:val="222222"/>
          <w:sz w:val="22"/>
        </w:rPr>
        <w:t>A biomecânica pós-CXL é diferente. O estroma com cross-linking é mais rígido, exigindo um anel mais espesso para obter o mesmo efeito de aplanamento. Um nomograma calibrado em córneas virgens subcorrigirá sistematicamente os casos pós-CXL. O arcabouço AVBC acomoda isso ao reconhecer que as propriedades do material (e não apenas a geometria) modulam o VR.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12.8 Resumo</w:t>
      </w:r>
    </w:p>
    <w:p>
      <w:r>
        <w:rPr>
          <w:rFonts w:ascii="Calibri" w:hAnsi="Calibri"/>
          <w:b w:val="0"/>
          <w:i w:val="0"/>
          <w:color w:val="222222"/>
          <w:sz w:val="22"/>
        </w:rPr>
        <w:t>Estes seis casos ilustram o espectro da aplicação clínica do AVBC: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Caso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Morfologia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Vetor Dominante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Acordo com o Nomograma?</w:t>
            </w:r>
          </w:p>
        </w:tc>
        <w:tc>
          <w:tcPr>
            <w:tcW w:type="dxa" w:w="1728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Principal Contribuição do AVBC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Oval central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VR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✓ Sim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Confirma o nomograma (sem valor adicional)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Paracentral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VT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✗ Eixo diferente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Posicionamento direcionado ao ENM, arco mais longo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Ápice deslocado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Vτ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✗ Não abordado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Reposicionamento do ápice via anel assimétrico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4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Globus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—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N/A (excluído)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Identificação correta de contraindicação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Assimétrico bilateral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VR + VT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✗ Parcialmente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Estratégia diferencial por olho</w:t>
            </w:r>
          </w:p>
        </w:tc>
      </w:tr>
      <w:tr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6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Pós-CXL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VR (aumentado)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✗ Subcorrigido</w:t>
            </w:r>
          </w:p>
        </w:tc>
        <w:tc>
          <w:tcPr>
            <w:tcW w:type="dxa" w:w="1728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Espessura ajustada pela biomecânica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 w:val="0"/>
          <w:i w:val="0"/>
          <w:color w:val="222222"/>
          <w:sz w:val="22"/>
        </w:rPr>
        <w:t>O AVBC agrega valor clínico em aproximadamente 40% dos casos — aqueles com divergência de ENM, ápice deslocado ou biomecânica modificada. Para o ceratocone central e simétrico com astigmatismo alinhado, o nomograma continua adequado.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Referências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Alió JL, Shabayek MH. Corneal higher order aberrations: a method to grade keratoconus. </w:t>
      </w:r>
      <w:r>
        <w:rPr>
          <w:rFonts w:ascii="Calibri" w:hAnsi="Calibri"/>
          <w:b w:val="0"/>
          <w:i/>
          <w:color w:val="222222"/>
          <w:sz w:val="22"/>
        </w:rPr>
        <w:t>J Refract Surg</w:t>
      </w:r>
      <w:r>
        <w:rPr>
          <w:rFonts w:ascii="Calibri" w:hAnsi="Calibri"/>
          <w:b w:val="0"/>
          <w:i w:val="0"/>
          <w:color w:val="222222"/>
          <w:sz w:val="22"/>
        </w:rPr>
        <w:t>. 2006;22(6):539–545.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Colin J, Cochener B, Savary G, et al. Correcting keratoconus with intracorneal rings.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2000;26(8):1117–1122.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Dupps WJ Jr, Roberts CJ. Biomechanics of corneal ectasia and biomechanical treatments.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2014;40(6):991–998.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Ferrara de Almeida Cunha P. Intrastromal corneal ring. </w:t>
      </w:r>
      <w:r>
        <w:rPr>
          <w:rFonts w:ascii="Calibri" w:hAnsi="Calibri"/>
          <w:b w:val="0"/>
          <w:i/>
          <w:color w:val="222222"/>
          <w:sz w:val="22"/>
        </w:rPr>
        <w:t>Arq Bras Oftalmol</w:t>
      </w:r>
      <w:r>
        <w:rPr>
          <w:rFonts w:ascii="Calibri" w:hAnsi="Calibri"/>
          <w:b w:val="0"/>
          <w:i w:val="0"/>
          <w:color w:val="222222"/>
          <w:sz w:val="22"/>
        </w:rPr>
        <w:t>. 1997;60:631–640.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García de Oteyza G, et al. Finite element analysis of progressive thickness ICRS.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2021;47(2):258–265.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Kling S, Marcos S. Finite-element modeling of ICRS in a hyperelastic cornea. </w:t>
      </w:r>
      <w:r>
        <w:rPr>
          <w:rFonts w:ascii="Calibri" w:hAnsi="Calibri"/>
          <w:b w:val="0"/>
          <w:i/>
          <w:color w:val="222222"/>
          <w:sz w:val="22"/>
        </w:rPr>
        <w:t>Invest Ophthalmol Vis Sci</w:t>
      </w:r>
      <w:r>
        <w:rPr>
          <w:rFonts w:ascii="Calibri" w:hAnsi="Calibri"/>
          <w:b w:val="0"/>
          <w:i w:val="0"/>
          <w:color w:val="222222"/>
          <w:sz w:val="22"/>
        </w:rPr>
        <w:t>. 2013;54(1):881–889.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Piñero DP, Alcón N. Corneal biomechanics: a review. </w:t>
      </w:r>
      <w:r>
        <w:rPr>
          <w:rFonts w:ascii="Calibri" w:hAnsi="Calibri"/>
          <w:b w:val="0"/>
          <w:i/>
          <w:color w:val="222222"/>
          <w:sz w:val="22"/>
        </w:rPr>
        <w:t>Clin Exp Optom</w:t>
      </w:r>
      <w:r>
        <w:rPr>
          <w:rFonts w:ascii="Calibri" w:hAnsi="Calibri"/>
          <w:b w:val="0"/>
          <w:i w:val="0"/>
          <w:color w:val="222222"/>
          <w:sz w:val="22"/>
        </w:rPr>
        <w:t>. 2015;98(2):107–116.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Rabinowitz YS. Keratoconus. </w:t>
      </w:r>
      <w:r>
        <w:rPr>
          <w:rFonts w:ascii="Calibri" w:hAnsi="Calibri"/>
          <w:b w:val="0"/>
          <w:i/>
          <w:color w:val="222222"/>
          <w:sz w:val="22"/>
        </w:rPr>
        <w:t>Surv Ophthalmol</w:t>
      </w:r>
      <w:r>
        <w:rPr>
          <w:rFonts w:ascii="Calibri" w:hAnsi="Calibri"/>
          <w:b w:val="0"/>
          <w:i w:val="0"/>
          <w:color w:val="222222"/>
          <w:sz w:val="22"/>
        </w:rPr>
        <w:t>. 1998;42(4):297–319.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Torquetti L, Ferrara P. Long-term follow-up of ICRS in keratoconus.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2009;35(10):1768–1773.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Vega-Estrada A, Alió JL. Keratoconus progression after ICRS implantation. </w:t>
      </w:r>
      <w:r>
        <w:rPr>
          <w:rFonts w:ascii="Calibri" w:hAnsi="Calibri"/>
          <w:b w:val="0"/>
          <w:i/>
          <w:color w:val="222222"/>
          <w:sz w:val="22"/>
        </w:rPr>
        <w:t>Cornea</w:t>
      </w:r>
      <w:r>
        <w:rPr>
          <w:rFonts w:ascii="Calibri" w:hAnsi="Calibri"/>
          <w:b w:val="0"/>
          <w:i w:val="0"/>
          <w:color w:val="222222"/>
          <w:sz w:val="22"/>
        </w:rPr>
        <w:t>. 2013;32(5):611–616.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Wollensak G, Spoerl E, Seiler T. Stress-strain measurements after riboflavin-UVA crosslinking. </w:t>
      </w:r>
      <w:r>
        <w:rPr>
          <w:rFonts w:ascii="Calibri" w:hAnsi="Calibri"/>
          <w:b w:val="0"/>
          <w:i/>
          <w:color w:val="222222"/>
          <w:sz w:val="22"/>
        </w:rPr>
        <w:t>J Cataract Refract Surg</w:t>
      </w:r>
      <w:r>
        <w:rPr>
          <w:rFonts w:ascii="Calibri" w:hAnsi="Calibri"/>
          <w:b w:val="0"/>
          <w:i w:val="0"/>
          <w:color w:val="222222"/>
          <w:sz w:val="22"/>
        </w:rPr>
        <w:t>. 2003;29(9):1780–1785.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