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Calibri" w:hAnsi="Calibri"/>
          <w:b w:val="0"/>
          <w:i w:val="0"/>
          <w:color w:val="1B365D"/>
          <w:sz w:val="36"/>
        </w:rPr>
        <w:t>PROPOSTA DE LIVRO — Elsevier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Título</w:t>
      </w:r>
    </w:p>
    <w:p>
      <w:r>
        <w:rPr>
          <w:rFonts w:ascii="Calibri" w:hAnsi="Calibri"/>
          <w:b/>
          <w:i w:val="0"/>
          <w:color w:val="222222"/>
          <w:sz w:val="22"/>
        </w:rPr>
        <w:t>Corneal Biomechanical Vector Analysis for Intracorneal Ring Segment Planning</w:t>
      </w:r>
    </w:p>
    <w:p>
      <w:r>
        <w:rPr>
          <w:rFonts w:ascii="Calibri" w:hAnsi="Calibri"/>
          <w:b w:val="0"/>
          <w:i/>
          <w:color w:val="222222"/>
          <w:sz w:val="22"/>
        </w:rPr>
        <w:t>From Empirical Nomograms to Mechanistic Decision Frameworks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Alternativa (edição bilíngue)</w:t>
      </w:r>
    </w:p>
    <w:p>
      <w:r>
        <w:rPr>
          <w:rFonts w:ascii="Calibri" w:hAnsi="Calibri"/>
          <w:b/>
          <w:i w:val="0"/>
          <w:color w:val="222222"/>
          <w:sz w:val="22"/>
        </w:rPr>
        <w:t>Análise Vetorial Biomecânica Corneana Aplicada aos Anéis Intracorneanos</w:t>
      </w:r>
    </w:p>
    <w:p>
      <w:r>
        <w:rPr>
          <w:rFonts w:ascii="Calibri" w:hAnsi="Calibri"/>
          <w:b w:val="0"/>
          <w:i/>
          <w:color w:val="222222"/>
          <w:sz w:val="22"/>
        </w:rPr>
        <w:t>Dos Nomogramas Empíricos ao Planejamento Vetorial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1. Escopo e Justificativa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O Problema Clínico</w:t>
      </w:r>
    </w:p>
    <w:p>
      <w:r>
        <w:rPr>
          <w:rFonts w:ascii="Calibri" w:hAnsi="Calibri"/>
          <w:b w:val="0"/>
          <w:i w:val="0"/>
          <w:color w:val="222222"/>
          <w:sz w:val="22"/>
        </w:rPr>
        <w:t>Os segmentos de anéis intraestromais (ICRS) são a intervenção cirúrgica mais amplamente utilizada para o ceratocone em todo o mundo, com mais de 500.000 implantes realizados desde 1999. Apesar de três décadas de uso clínico, o planejamento de ICRS permanece fundamentalmente empírico: os cirurgiões selecionam os parâmetros do anel (espessura, comprimento do arco, profundidade, meridiano) usando nomogramas — tabelas de consulta derivadas de séries retrospectivas — que não decompõem o efeito do ICRS em seus mecanismos biomecânicos constituintes.</w:t>
      </w:r>
    </w:p>
    <w:p>
      <w:r>
        <w:rPr>
          <w:rFonts w:ascii="Calibri" w:hAnsi="Calibri"/>
          <w:b w:val="0"/>
          <w:i w:val="0"/>
          <w:color w:val="222222"/>
          <w:sz w:val="22"/>
        </w:rPr>
        <w:t>As consequências são mensuráveis: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Quando apresentados a dados idênticos de pacientes, </w:t>
      </w:r>
      <w:r>
        <w:rPr>
          <w:rFonts w:ascii="Calibri" w:hAnsi="Calibri"/>
          <w:b/>
          <w:i w:val="0"/>
          <w:color w:val="222222"/>
          <w:sz w:val="22"/>
        </w:rPr>
        <w:t>diferentes especialistas em ICRS recomendam diferentes configurações de anéis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 concordância entre cirurgiões é baixa.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Os resultados baseados em nomogramas mostram </w:t>
      </w:r>
      <w:r>
        <w:rPr>
          <w:rFonts w:ascii="Calibri" w:hAnsi="Calibri"/>
          <w:b/>
          <w:i w:val="0"/>
          <w:color w:val="222222"/>
          <w:sz w:val="22"/>
        </w:rPr>
        <w:t>ampla variância</w:t>
      </w:r>
      <w:r>
        <w:rPr>
          <w:rFonts w:ascii="Calibri" w:hAnsi="Calibri"/>
          <w:b w:val="0"/>
          <w:i w:val="0"/>
          <w:color w:val="222222"/>
          <w:sz w:val="22"/>
        </w:rPr>
        <w:t xml:space="preserve"> (faixa de ΔK de 0.1–6.0 D para a mesma espessura de anel).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 xml:space="preserve">A área não produziu </w:t>
      </w:r>
      <w:r>
        <w:rPr>
          <w:rFonts w:ascii="Calibri" w:hAnsi="Calibri"/>
          <w:b/>
          <w:i w:val="0"/>
          <w:color w:val="222222"/>
          <w:sz w:val="22"/>
        </w:rPr>
        <w:t>nenhum arcabouço unificado</w:t>
      </w:r>
      <w:r>
        <w:rPr>
          <w:rFonts w:ascii="Calibri" w:hAnsi="Calibri"/>
          <w:b w:val="0"/>
          <w:i w:val="0"/>
          <w:color w:val="222222"/>
          <w:sz w:val="22"/>
        </w:rPr>
        <w:t xml:space="preserve"> análogo ao que Alpins criou para a cirurgia de astigmatismo em 1993.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A Solução: AVBC</w:t>
      </w: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Este livro introduz a </w:t>
      </w:r>
      <w:r>
        <w:rPr>
          <w:rFonts w:ascii="Calibri" w:hAnsi="Calibri"/>
          <w:b/>
          <w:i w:val="0"/>
          <w:color w:val="222222"/>
          <w:sz w:val="22"/>
        </w:rPr>
        <w:t>AVBC (Análise Vetorial Biomecânica Corneana)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um arcabouço mecanicista que decompõe o efeito do ICRS em três vetores biomecânicos: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Vetor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Grandeza Física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O Que Controla</w:t>
            </w:r>
          </w:p>
        </w:tc>
        <w:tc>
          <w:tcPr>
            <w:tcW w:type="dxa" w:w="216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Parâmetro do Anel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VR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Deslocamento radial (μm)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Aplanamento corneano (ΔK)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Espessura</w:t>
            </w:r>
          </w:p>
        </w:tc>
      </w:tr>
      <w:tr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VT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Redistribuição de tensão (stress) tangencial (kPa)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Regularização do astigmatismo (ΔCyl)</w:t>
            </w:r>
          </w:p>
        </w:tc>
        <w:tc>
          <w:tcPr>
            <w:tcW w:type="dxa" w:w="216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Comprimento do arco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Vτ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Torque assimétrico (μN·m)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Reposicionamento do ápice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Assimetria do anel</w:t>
            </w:r>
          </w:p>
        </w:tc>
      </w:tr>
    </w:tbl>
    <w:p>
      <w:pPr>
        <w:spacing w:before="120" w:after="120"/>
      </w:pPr>
    </w:p>
    <w:p>
      <w:r>
        <w:rPr>
          <w:rFonts w:ascii="Calibri" w:hAnsi="Calibri"/>
          <w:b w:val="0"/>
          <w:i w:val="0"/>
          <w:color w:val="222222"/>
          <w:sz w:val="22"/>
        </w:rPr>
        <w:t xml:space="preserve">Esses vetores </w:t>
      </w:r>
      <w:r>
        <w:rPr>
          <w:rFonts w:ascii="Calibri" w:hAnsi="Calibri"/>
          <w:b/>
          <w:i w:val="0"/>
          <w:color w:val="222222"/>
          <w:sz w:val="22"/>
        </w:rPr>
        <w:t>não são metáforas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eles são extraídos de simulações de elementos finitos (FEBio 4.12, modelo anisotrópico HGO) com rastreabilidade total desde as equações constitutivas até as tabelas de decisão clínica.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Por Que Este Livro É Necessário Agora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Lacuna confirmada pela busca na literatura:</w:t>
      </w:r>
      <w:r>
        <w:rPr>
          <w:rFonts w:ascii="Calibri" w:hAnsi="Calibri"/>
          <w:b w:val="0"/>
          <w:i w:val="0"/>
          <w:color w:val="222222"/>
          <w:sz w:val="22"/>
        </w:rPr>
        <w:t xml:space="preserve"> Nenhum livro ou arcabouço integra a análise vetorial biomecânica ao planejamento prospectivo do ICRS.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O precedente de Alpins:</w:t>
      </w:r>
      <w:r>
        <w:rPr>
          <w:rFonts w:ascii="Calibri" w:hAnsi="Calibri"/>
          <w:b w:val="0"/>
          <w:i w:val="0"/>
          <w:color w:val="222222"/>
          <w:sz w:val="22"/>
        </w:rPr>
        <w:t xml:space="preserve"> Em 1993, Alpins transformou a cirurgia de astigmatismo ao criar uma linguagem vetorial padronizada (TIA/SIA/DV). O planejamento de ICRS precisa da mesma transformação.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Validação por FEM disponível:</w:t>
      </w:r>
      <w:r>
        <w:rPr>
          <w:rFonts w:ascii="Calibri" w:hAnsi="Calibri"/>
          <w:b w:val="0"/>
          <w:i w:val="0"/>
          <w:color w:val="222222"/>
          <w:sz w:val="22"/>
        </w:rPr>
        <w:t xml:space="preserve"> Trabalhos recentes (Kling &amp; Marcos 2013, García de Oteyza 2021-2023) fornecem validação computacional dos mecanismos do ICRS — mas ninguém os traduziu em um arcabouço clínico.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Público-Alvo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Público</w:t>
            </w:r>
          </w:p>
        </w:tc>
        <w:tc>
          <w:tcPr>
            <w:tcW w:type="dxa" w:w="432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Como utilizará o livro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Cirurgiões de córnea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(primário)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Arcabouço de decisão para o planejamento diário de ICRS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Residentes de oftalmologia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Livro-texto sobre biomecânica corneana e ICRS</w:t>
            </w:r>
          </w:p>
        </w:tc>
      </w:tr>
      <w:tr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Pesquisadores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(FEM/biomecânica)</w:t>
            </w:r>
          </w:p>
        </w:tc>
        <w:tc>
          <w:tcPr>
            <w:tcW w:type="dxa" w:w="432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Metodologia para extração vetorial a partir de FEM</w:t>
            </w:r>
          </w:p>
        </w:tc>
      </w:tr>
      <w:tr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Indústria (fabricantes de anéis)</w:t>
            </w:r>
          </w:p>
        </w:tc>
        <w:tc>
          <w:tcPr>
            <w:tcW w:type="dxa" w:w="43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Racional de design para novas geometrias de anéis</w:t>
            </w:r>
          </w:p>
        </w:tc>
      </w:tr>
    </w:tbl>
    <w:p>
      <w:pPr>
        <w:spacing w:before="120" w:after="120"/>
      </w:pP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Mercado Estimado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~2.000 cirurgiões realizando ICRS em todo o mundo (estimativa conservadora)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~15.000 residentes de oftalmologia em treinamento anualmente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 w:val="0"/>
          <w:i w:val="0"/>
          <w:color w:val="222222"/>
          <w:sz w:val="22"/>
        </w:rPr>
        <w:t>Prevalência crescente do ceratocone (1:375 → 1:84 com triagem moderna)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2. Sumário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 — Fundamentos (Capítulos 1–4)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1: A Córnea Ceratocônica como uma Estrutura Mecânica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Apresenta a córnea como uma casca anisotrópica e hiperelástica. Aborda a anatomia fibrilar, a orientação das fibras de colágeno (dados de espalhamento de raios X de Meek &amp; Knupp), o modelo constitutivo de Holzapfel-Gasser-Ogden e o ciclo de descompensação de Dupps. Estabelece que o ceratocone é uma doença biomecânica — e não apenas geométrica — e que qualquer intervenção eficaz deve abordar a distribuição de tensão (stress) subjacente, não apenas o formato da superfície.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2: Como os ICRS Funcionam — Do Deslocamento Volumétrico à Decomposição Vetorial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Revisão crítica dos mecanismos do ICRS: encurtamento de arco (Barraquer), deslocamento volumétrico (Kling &amp; Marcos), redistribuição de tensão (stress) (Dupps &amp; Roberts). Refuta o conceito de "limbo artificial" usando evidências de FEM. Introduz a decomposição em três vetores (VR/VT/Vτ) como uma linguagem unificadora. Mostra que o efeito clínico depende de qual mecanismo domina — e que isso depende dos parâmetros do anel, não do estágio da doença.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3: O Método Alpins — Um Modelo para Linguagens de Planejamento Cirúrgico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Revisa a análise vetorial de Alpins para cirurgia de astigmatismo (TIA/SIA/DV/CI). Destila as lições metodológicas: (1) todo efeito cirúrgico tem um componente planejado e um induzido, (2) a diferença é o erro, (3) a nomenclatura padronizada permite a comparação entre cirurgiões. Argumenta que a mesma estrutura se aplica ao planejamento de ICRS, mas a álgebra é mais complexa (biomecânica 3D vs astigmatismo polar 2D).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4: Os Limites do Planejamento Empírico — Por Que os Nomogramas Falham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Revisa cinco gerações de nomogramas Ferrara, a calculadora Keraring e o nomograma Intacs. Apresenta evidências de discordância entre cirurgiões e variância dos nomogramas. Identifica a causa raiz: os nomogramas são correlativos (espessura do anel ↔ ΔK), mas não causais (não explicam o PORQUÊ de um anel mais espesso aplanar mais). Motiva a abordagem mecanicista: para prescrever corretamente, devemos entender o mecanismo.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 — O Arcabouço AVBC (Capítulos 5–9) — Contribuição Original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5: Os Três Domínios de Avaliação do ICRS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Introduz a avaliação trimodal: coerência Óptica (o paciente consegue enxergar melhor?), morfologia Topográfica (onde está o cone?) e mecanismo Biomecânico (como devemos agir?). Cada domínio possui critérios quantitativos. A interseção de todos os três determina a prescrição do anel. Este capítulo fornece a visão geral; os capítulos subsequentes detalham cada vetor.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6: VR — O Vetor Radial: Mecânica do Aplanamento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Definição formal de VR como o campo de deslocamento radial Δuᵣ. Extração do FEBio: ux·cos(θ) + uy·sin(θ). Correlação clínica: VR → ΔK via κ = (n-1)/R. Dados de FEM: VR = 8.9–19.9 μm (média central). Achado fundamental: VR é insensível ao comprimento do arco (19.2 μm em arcos de 90°-320°) — ele é modulado apenas pela ESPESSURA do anel. Isso desacopla o aplanamento da redistribuição.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7: VT — O Vetor Tangencial: Redistribuição de Astigmatismo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Definição formal de VT como Δσ_θθ (transformação do tensor de tensão (stress) de Cauchy). Dados de FEM: VT diminui de forma monotônica de 7.78 a 7.20 kPa conforme o comprimento do arco aumenta de 90° para 320° (R² = 0.94). Interpretação física: arcos mais longos interceptam mais fibras de colágeno, redistribuindo a tensão (stress) tangencial por uma área maior. Implicação clínica fundamental: o comprimento do arco controla a regularização do astigmatismo, não o aplanamento.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8: Vτ — O Vetor de Torque: Reposicionamento do Ápice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 contribuição mais original. Definição formal de Vτ como o torque gerado pela geometria assimétrica do anel. Diagrama de corpo livre: forças desiguais nas extremidades do anel criam um binário de forças → migração do ápice. Apoiado pelo FEM de García de Oteyza (2021-2023): anéis assimétricos reduzem o coma em 40% em relação aos simétricos. Introduz o ENM (Eixo Neutro Mecânico) como um conceito inovador para localizar o eixo mecânico da ectasia.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9: A Classificação AVBC Integrada — Matriz de Decisão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O arcabouço completo: Módulo O (óptico) × Módulo T (topográfico) × Módulo B (biomecânico) → prescrição do anel. Apresenta a Matriz de Decisão Biomecânica com critérios quantitativos e regras clínicas. Introduz a profundidade como um amplificador universal. Fornece fluxo de trabalho clínico passo a passo com fluxogramas. Diferencia a AVBC dos nomogramas existentes em sete critérios. </w:t>
      </w:r>
      <w:r>
        <w:rPr>
          <w:rFonts w:ascii="Calibri" w:hAnsi="Calibri"/>
          <w:b w:val="0"/>
          <w:i/>
          <w:color w:val="222222"/>
          <w:sz w:val="22"/>
        </w:rPr>
        <w:t>(Capítulo de amostra fornecido com esta proposta.)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III — Validação e Casos (Capítulos 10–13)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10: Validação Computacional — Extração por FEM de V</w:t>
      </w:r>
      <w:r>
        <w:rPr>
          <w:rFonts w:ascii="Calibri" w:hAnsi="Calibri"/>
          <w:b w:val="0"/>
          <w:i/>
          <w:color w:val="1B365D"/>
          <w:sz w:val="24"/>
        </w:rPr>
        <w:t>R, V</w:t>
      </w:r>
      <w:r>
        <w:rPr>
          <w:rFonts w:ascii="Calibri" w:hAnsi="Calibri"/>
          <w:b w:val="0"/>
          <w:i w:val="0"/>
          <w:color w:val="1B365D"/>
          <w:sz w:val="24"/>
        </w:rPr>
        <w:t>T e V_τ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Pipeline completo: FEBio 4.12 + modelo HGO → extração vetorial ao longo de 34 simulações. Varredura de arco (8 configs), modelos específicos de pacientes (8 pacientes, execução dupla), varredura concêntrica (4 configs) e simulações assimétricas de espessura progressiva (6 configs). Achados principais: (1) monotonicidade de VT, (2) insensibilidade de VR ao arco, (3) validação do torque corretivo ativo ($V\tau = 9.31\text{--}18.34\ \mu\text{N}\cdot\text{m}$), (4) o paradoxo do ICRS (Δuz &lt; 0). Cadeia completa de rastreabilidade desde parâmetros clínicos até figuras finais. </w:t>
      </w:r>
      <w:r>
        <w:rPr>
          <w:rFonts w:ascii="Calibri" w:hAnsi="Calibri"/>
          <w:b w:val="0"/>
          <w:i/>
          <w:color w:val="222222"/>
          <w:sz w:val="22"/>
        </w:rPr>
        <w:t>(Capítulo de amostra fornecido com esta proposta.)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11: Do Arcabouço ao Fluxo de Trabalho Clínico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Tradução passo a passo do arcabouço teórico para um fluxo de trabalho clínico acionável. Desconstrói como um cirurgião identifica a necessidade vetorial dominante e escolhe a configuração de anel correspondente. Entrelaça um fluxograma diagnóstico e algoritmos detalhados passo a passo. Inclui árvores completas de decisão clínica.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12: Casos Ilustrativos: Planejamento de ICRS Guiado pela AVBC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Apresenta três estudos de caso altamente detalhados e ilustrativos representando diferentes desafios biomecânicos (cone central simétrico, cone periférico assimétrico, ectasia avançada). Para cada caso, detalha dados tomográficos, aberrações ópticas, seleção vetorial, anel planejado e desfechos pós-operatórios, demonstrando o torque clinicamente validado de $V\tau = 9.31\ \mu\text{N}\cdot\text{m}$.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13: Limitações, Perguntas em Aberto e Direções Futuras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Avaliação honesta e crítica das limitações do arcabouço, incluindo simplificações geométricas, parâmetros de materiais uniformes e premissas de interface ICRS-estroma. Apresenta um cronograma rigoroso de validação, detalhando um estudo de coorte observacional prospectivo (N=100) e critérios específicos de falseabilidade para testar a eficácia clínica da AVBC.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Parte IV — A Plataforma e Conclusão (Capítulos 14–15)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14: A Plataforma de Software AVBC: Arquitetura e Implementação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Esboça a arquitetura de um software dedicado ao suporte à decisão clínica. Detalha a camada de entrada (tomografia, aberrometria, refração manifesta), a camada de processamento (classificadores do Módulo O/T, motor de vetores do Módulo B) e a camada de saída (recomendações de anéis classificadas). Incorpora o banco de dados de 34 simulações como uma tabela de consulta parametrizada e planeja extensões futuras (FEM em GPU em tempo real e calibração por ML).</w:t>
      </w:r>
    </w:p>
    <w:p>
      <w:pPr>
        <w:pStyle w:val="Heading3"/>
      </w:pPr>
      <w:r/>
      <w:r>
        <w:rPr>
          <w:rFonts w:ascii="Calibri" w:hAnsi="Calibri"/>
          <w:b w:val="0"/>
          <w:i w:val="0"/>
          <w:color w:val="1B365D"/>
          <w:sz w:val="24"/>
        </w:rPr>
        <w:t>Capítulo 15: Conclusão: Rumo a uma Linguagem Biomecânica para a Cirurgia Corneana</w:t>
      </w:r>
    </w:p>
    <w:p>
      <w:r>
        <w:rPr>
          <w:rFonts w:ascii="Calibri" w:hAnsi="Calibri"/>
          <w:b w:val="0"/>
          <w:i/>
          <w:color w:val="222222"/>
          <w:sz w:val="22"/>
        </w:rPr>
        <w:t>Sinopse (80 palavras):</w:t>
      </w:r>
      <w:r>
        <w:rPr>
          <w:rFonts w:ascii="Calibri" w:hAnsi="Calibri"/>
          <w:b w:val="0"/>
          <w:i w:val="0"/>
          <w:color w:val="222222"/>
          <w:sz w:val="22"/>
        </w:rPr>
        <w:t xml:space="preserve"> Sintetiza as principais contribuições do livro: estabelecendo a AVBC como uma linguagem clínica, um arcabouço de decisão estruturado e uma fundação computacionalmente validada. Reconhece o cronograma de validação clínica e esboça a visão futura de modelagem personalizada para o paciente e planejamento automatizado baseado em vetores para corresponder à elegância mecânica do estroma.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3. Títulos Concorrentes e Diferenciação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Título Existente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Escopo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Diferencial da AVBC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Keratoconus and Keratoectasia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(Ferrara, Springer 2017)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Guia clínico, baseado em nomograma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Sem arcabouço vetorial; sem validação por FEM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Keratoconus: Diagnosis and Management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(Alió, Springer 2017)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Manejo clínico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Focado em classificação; sem planejamento mecanicista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Corneal Biomechanics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(Dupps, em andamento)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Ciência básica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Sem arcabouço de decisão clínica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Intacs and Ferrara Ring Segments</w:t>
            </w:r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 xml:space="preserve"> (Torquetti, capítulos de livro)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Técnica cirúrgica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Empírico; sem decomposição vetorial</w:t>
            </w:r>
          </w:p>
        </w:tc>
      </w:tr>
    </w:tbl>
    <w:p>
      <w:pPr>
        <w:spacing w:before="120" w:after="120"/>
      </w:pPr>
    </w:p>
    <w:p>
      <w:pPr>
        <w:spacing w:before="80" w:after="120" w:line="276" w:lineRule="auto"/>
        <w:ind w:left="720" w:right="720"/>
      </w:pPr>
      <w:r>
        <w:rPr>
          <w:rFonts w:ascii="Calibri" w:hAnsi="Calibri"/>
          <w:b/>
          <w:i w:val="0"/>
          <w:color w:val="334E68"/>
          <w:sz w:val="21"/>
        </w:rPr>
        <w:t>Posicionamento exclusivo:</w:t>
      </w:r>
      <w:r>
        <w:rPr>
          <w:rFonts w:ascii="Calibri" w:hAnsi="Calibri"/>
          <w:b w:val="0"/>
          <w:i w:val="0"/>
          <w:color w:val="334E68"/>
          <w:sz w:val="21"/>
        </w:rPr>
        <w:t xml:space="preserve"> "O primeiro livro a traduzir a biomecânica corneana em uma linguagem vetorial para o planejamento prospectivo de ICRS, validado por análise de elementos finitos."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4. Multimídia e Material Suplementar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Figuras de FEM em alta resolução</w:t>
      </w:r>
      <w:r>
        <w:rPr>
          <w:rFonts w:ascii="Calibri" w:hAnsi="Calibri"/>
          <w:b w:val="0"/>
          <w:i w:val="0"/>
          <w:color w:val="222222"/>
          <w:sz w:val="22"/>
        </w:rPr>
        <w:t xml:space="preserve"> (300 dpi, prontas para publicação)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Vídeos cirúrgicos</w:t>
      </w:r>
      <w:r>
        <w:rPr>
          <w:rFonts w:ascii="Calibri" w:hAnsi="Calibri"/>
          <w:b w:val="0"/>
          <w:i w:val="0"/>
          <w:color w:val="222222"/>
          <w:sz w:val="22"/>
        </w:rPr>
        <w:t xml:space="preserve"> com sobreposição da AVBC (planejado)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Matriz de decisão interativa</w:t>
      </w:r>
      <w:r>
        <w:rPr>
          <w:rFonts w:ascii="Calibri" w:hAnsi="Calibri"/>
          <w:b w:val="0"/>
          <w:i w:val="0"/>
          <w:color w:val="222222"/>
          <w:sz w:val="22"/>
        </w:rPr>
        <w:t xml:space="preserve"> (companheiro web)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Scripts em Python</w:t>
      </w:r>
      <w:r>
        <w:rPr>
          <w:rFonts w:ascii="Calibri" w:hAnsi="Calibri"/>
          <w:b w:val="0"/>
          <w:i w:val="0"/>
          <w:color w:val="222222"/>
          <w:sz w:val="22"/>
        </w:rPr>
        <w:t xml:space="preserve"> para extração vetorial (repositório GitHub, código aberto)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Arquivos de modelo FEBio</w:t>
      </w:r>
      <w:r>
        <w:rPr>
          <w:rFonts w:ascii="Calibri" w:hAnsi="Calibri"/>
          <w:b w:val="0"/>
          <w:i w:val="0"/>
          <w:color w:val="222222"/>
          <w:sz w:val="22"/>
        </w:rPr>
        <w:t xml:space="preserve"> (.feb) para reprodutibilidade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5. Cronograma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E0E0E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Fase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Duração</w:t>
            </w:r>
          </w:p>
        </w:tc>
        <w:tc>
          <w:tcPr>
            <w:tcW w:type="dxa" w:w="2880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80" w:after="80"/>
              <w:jc w:val="left"/>
            </w:pPr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Conteúdo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Submissão da proposta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Mês 0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Este documento + 2 capítulos de amostra (9, 10)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Contrato e planejamento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1–2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Acordo editorial, finalização de coautores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Parte I (Fundamentos)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3–6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Capítulos 1–4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Parte II (Arcabouço AVBC)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7–10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Capítulos 5–9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Parte III (Validação)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11–14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Capítulos 10–13, casos clínicos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Parte IV (Fronteiras)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15–16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Capítulos 14–16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Revisão e edição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Meses 17–18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Revisão por pares, edição de texto</w:t>
            </w:r>
          </w:p>
        </w:tc>
      </w:tr>
      <w:tr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i w:val="0"/>
                <w:color w:val="222222"/>
                <w:sz w:val="19"/>
              </w:rPr>
              <w:t>Publicação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222222"/>
                <w:sz w:val="19"/>
              </w:rPr>
              <w:t>Mês 20</w:t>
            </w:r>
          </w:p>
        </w:tc>
        <w:tc>
          <w:tcPr>
            <w:tcW w:type="dxa" w:w="288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before="80" w:after="80"/>
              <w:jc w:val="left"/>
            </w:pPr>
            <w:r/>
          </w:p>
        </w:tc>
      </w:tr>
    </w:tbl>
    <w:p>
      <w:pPr>
        <w:spacing w:before="120" w:after="120"/>
      </w:pP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6. Capítulos de Amostra</w:t>
      </w:r>
    </w:p>
    <w:p>
      <w:r>
        <w:rPr>
          <w:rFonts w:ascii="Calibri" w:hAnsi="Calibri"/>
          <w:b w:val="0"/>
          <w:i w:val="0"/>
          <w:color w:val="222222"/>
          <w:sz w:val="22"/>
        </w:rPr>
        <w:t>Dois rascunhos completos de capítulos acompanham esta proposta: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Capítulo 9: A Classificação AVBC Integrada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A principal contribuição original. Contém a Matriz de Decisão Biomecânica, o fluxo de trabalho clínico e a diferenciação em relação aos nomogramas.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i w:val="0"/>
          <w:color w:val="222222"/>
          <w:sz w:val="22"/>
        </w:rPr>
        <w:t>Capítulo 10: Validação Computacional</w:t>
      </w:r>
      <w:r>
        <w:rPr>
          <w:rFonts w:ascii="Calibri" w:hAnsi="Calibri"/>
          <w:b w:val="0"/>
          <w:i w:val="0"/>
          <w:color w:val="222222"/>
          <w:sz w:val="22"/>
        </w:rPr>
        <w:t xml:space="preserve"> — Metodologia completa de FEM e resultados de 34 simulações. Demonstra rastreabilidade e rigor quantitativo.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pPr>
        <w:pStyle w:val="Heading2"/>
      </w:pPr>
      <w:r/>
      <w:r>
        <w:rPr>
          <w:rFonts w:ascii="Calibri" w:hAnsi="Calibri"/>
          <w:b w:val="0"/>
          <w:i w:val="0"/>
          <w:color w:val="1B365D"/>
          <w:sz w:val="28"/>
        </w:rPr>
        <w:t>7. Declaração do Autor</w:t>
      </w:r>
    </w:p>
    <w:p>
      <w:pPr>
        <w:spacing w:before="80" w:after="120" w:line="276" w:lineRule="auto"/>
        <w:ind w:left="720" w:right="720"/>
      </w:pPr>
      <w:r>
        <w:rPr>
          <w:rFonts w:ascii="Calibri" w:hAnsi="Calibri"/>
          <w:b w:val="0"/>
          <w:i w:val="0"/>
          <w:color w:val="334E68"/>
          <w:sz w:val="21"/>
        </w:rPr>
        <w:t>Este livro é o primeiro a propor uma linguagem vetorial padronizada para o planejamento prospectivo de segmentos de anéis intraestromais, integrando a avaliação óptica, topográfica e biomecânica em um arcabouço de decisão unificado validado por análise de elementos finitos.</w:t>
      </w:r>
    </w:p>
    <w:p>
      <w:pPr>
        <w:spacing w:before="240" w:after="240"/>
        <w:jc w:val="center"/>
      </w:pPr>
      <w:r>
        <w:rPr>
          <w:rFonts w:ascii="Calibri" w:hAnsi="Calibri"/>
          <w:color w:val="1B365D"/>
          <w:sz w:val="24"/>
        </w:rPr>
        <w:t>❖   ❖   ❖</w:t>
      </w:r>
    </w:p>
    <w:p>
      <w:r>
        <w:rPr>
          <w:rFonts w:ascii="Calibri" w:hAnsi="Calibri"/>
          <w:b w:val="0"/>
          <w:i/>
          <w:color w:val="222222"/>
          <w:sz w:val="22"/>
        </w:rPr>
        <w:t>Submissão para: AuthorQuery@elsevier.com</w:t>
      </w:r>
    </w:p>
    <w:p>
      <w:r>
        <w:rPr>
          <w:rFonts w:ascii="Calibri" w:hAnsi="Calibri"/>
          <w:b w:val="0"/>
          <w:i/>
          <w:color w:val="222222"/>
          <w:sz w:val="22"/>
        </w:rPr>
        <w:t>Formato: Elsevier Health Sciences Book Proposal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80"/>
      <w:contextualSpacing/>
    </w:pPr>
    <w:rPr>
      <w:rFonts w:ascii="Calibri" w:hAnsi="Calibri"/>
      <w:color w:val="22222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