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rFonts w:ascii="Calibri" w:hAnsi="Calibri"/>
          <w:b/>
          <w:color w:val="1A3C6D"/>
          <w:sz w:val="72"/>
        </w:rPr>
        <w:t>Corneal Biomechanical</w:t>
      </w:r>
    </w:p>
    <w:p>
      <w:pPr>
        <w:jc w:val="center"/>
      </w:pPr>
      <w:r>
        <w:rPr>
          <w:rFonts w:ascii="Calibri" w:hAnsi="Calibri"/>
          <w:b/>
          <w:color w:val="1A3C6D"/>
          <w:sz w:val="72"/>
        </w:rPr>
        <w:t>Vector Analysis</w:t>
      </w:r>
    </w:p>
    <w:p/>
    <w:p>
      <w:pPr>
        <w:jc w:val="center"/>
      </w:pPr>
      <w:r>
        <w:rPr>
          <w:color w:val="2E5E8E"/>
          <w:sz w:val="28"/>
        </w:rPr>
        <w:t>━━━━━━━━━━━━━━━━━━━━━━━━━━━━━━━━━━━━━━━━</w:t>
      </w:r>
    </w:p>
    <w:p/>
    <w:p>
      <w:pPr>
        <w:jc w:val="center"/>
      </w:pPr>
      <w:r>
        <w:rPr>
          <w:rFonts w:ascii="Calibri" w:hAnsi="Calibri"/>
          <w:i/>
          <w:color w:val="555555"/>
          <w:sz w:val="32"/>
        </w:rPr>
        <w:t>For Intracorneal Ring Segment Planning</w:t>
      </w:r>
    </w:p>
    <w:p/>
    <w:p/>
    <w:p/>
    <w:p/>
    <w:p>
      <w:pPr>
        <w:jc w:val="center"/>
      </w:pPr>
      <w:r>
        <w:rPr>
          <w:rFonts w:ascii="Calibri" w:hAnsi="Calibri"/>
          <w:color w:val="333333"/>
          <w:sz w:val="36"/>
        </w:rPr>
        <w:t>Dr. Miguel Reis</w:t>
        <w:br/>
        <w:t>Dr. Jordana Sandes</w:t>
      </w:r>
    </w:p>
    <w:p>
      <w:pPr>
        <w:jc w:val="center"/>
      </w:pPr>
      <w:r>
        <w:rPr>
          <w:rFonts w:ascii="Calibri" w:hAnsi="Calibri"/>
          <w:color w:val="888888"/>
          <w:sz w:val="28"/>
        </w:rPr>
        <w:t>2026</w:t>
      </w:r>
    </w:p>
    <w:p>
      <w:r>
        <w:br w:type="page"/>
      </w:r>
    </w:p>
    <w:p>
      <w:pPr>
        <w:jc w:val="center"/>
      </w:pPr>
      <w:r>
        <w:rPr>
          <w:rFonts w:ascii="Calibri" w:hAnsi="Calibri"/>
          <w:b/>
          <w:color w:val="1A3C6D"/>
          <w:sz w:val="44"/>
        </w:rPr>
        <w:t>ÍNDICE</w:t>
      </w:r>
    </w:p>
    <w:p/>
    <w:p>
      <w:r>
        <w:fldChar w:fldCharType="begin"/>
      </w:r>
      <w:r>
        <w:instrText xml:space="preserve"> TOC \o "1-3" \h \z \u </w:instrText>
      </w:r>
      <w:r>
        <w:fldChar w:fldCharType="separate"/>
      </w:r>
      <w:r>
        <w:rPr>
          <w:i/>
          <w:color w:val="999999"/>
          <w:sz w:val="20"/>
        </w:rPr>
        <w:t>(Clique com botão direito → Atualizar campo para gerar o índice)</w:t>
      </w:r>
      <w:r>
        <w:fldChar w:fldCharType="end"/>
      </w:r>
    </w:p>
    <w:p>
      <w:r>
        <w:br w:type="page"/>
      </w:r>
    </w:p>
    <w:p>
      <w:r>
        <w:t>&lt;!-- GPT revision applied --&gt;</w:t>
      </w:r>
    </w:p>
    <w:p>
      <w:pPr>
        <w:pStyle w:val="Heading1"/>
      </w:pPr>
      <w:r>
        <w:t>Corneal Biomechanical Vector Analysis for Intracorneal Ring Segment Planning</w:t>
      </w:r>
    </w:p>
    <w:p>
      <w:pPr>
        <w:pStyle w:val="Heading2"/>
      </w:pPr>
      <w:r>
        <w:t>Table of Contents</w:t>
      </w:r>
    </w:p>
    <w:p>
      <w:r/>
      <w:r>
        <w:rPr>
          <w:b/>
        </w:rPr>
        <w:t>Lead Author:</w:t>
      </w:r>
      <w:r>
        <w:t xml:space="preserve"> Dr. Miguel Reis</w:t>
      </w:r>
    </w:p>
    <w:p>
      <w:r/>
      <w:r>
        <w:rPr>
          <w:b/>
        </w:rPr>
        <w:t>Co-Author:</w:t>
      </w:r>
      <w:r>
        <w:t xml:space="preserve"> Dr. Jordana Sandes</w:t>
      </w:r>
    </w:p>
    <w:p>
      <w:r/>
      <w:r>
        <w:rPr>
          <w:b/>
        </w:rPr>
        <w:t>Publisher:</w:t>
      </w:r>
      <w:r>
        <w:t xml:space="preserve"> Elsevier Health Sciences</w:t>
      </w:r>
    </w:p>
    <w:p>
      <w:pPr>
        <w:pStyle w:val="Heading3"/>
      </w:pPr>
      <w:r>
        <w:t>Part I — The Problem and Foundations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Chapter</w:t>
            </w:r>
          </w:p>
        </w:tc>
        <w:tc>
          <w:tcPr>
            <w:tcW w:type="dxa" w:w="2929"/>
          </w:tcPr>
          <w:p>
            <w:r>
              <w:rPr>
                <w:b/>
                <w:sz w:val="18"/>
              </w:rPr>
              <w:t>Title</w:t>
            </w:r>
          </w:p>
        </w:tc>
        <w:tc>
          <w:tcPr>
            <w:tcW w:type="dxa" w:w="2929"/>
          </w:tcPr>
          <w:p>
            <w:r>
              <w:rPr>
                <w:b/>
                <w:sz w:val="18"/>
              </w:rPr>
              <w:t>File</w:t>
            </w:r>
          </w:p>
        </w:tc>
      </w:tr>
      <w:tr>
        <w:tc>
          <w:tcPr>
            <w:tcW w:type="dxa" w:w="2929"/>
          </w:tcPr>
          <w:p>
            <w:r>
              <w:rPr>
                <w:sz w:val="18"/>
              </w:rPr>
              <w:t>1</w:t>
            </w:r>
          </w:p>
        </w:tc>
        <w:tc>
          <w:tcPr>
            <w:tcW w:type="dxa" w:w="2929"/>
          </w:tcPr>
          <w:p>
            <w:r>
              <w:rPr>
                <w:sz w:val="18"/>
              </w:rPr>
              <w:t>The Keratoconic Cornea as a Biomechanical System</w:t>
            </w:r>
          </w:p>
        </w:tc>
        <w:tc>
          <w:tcPr>
            <w:tcW w:type="dxa" w:w="2929"/>
          </w:tcPr>
          <w:p>
            <w:r>
              <w:rPr>
                <w:sz w:val="18"/>
              </w:rPr>
              <w:t>cap01_cornea_biomechanics.md</w:t>
            </w:r>
          </w:p>
        </w:tc>
      </w:tr>
      <w:tr>
        <w:tc>
          <w:tcPr>
            <w:tcW w:type="dxa" w:w="2929"/>
          </w:tcPr>
          <w:p>
            <w:r>
              <w:rPr>
                <w:sz w:val="18"/>
              </w:rPr>
              <w:t>2</w:t>
            </w:r>
          </w:p>
        </w:tc>
        <w:tc>
          <w:tcPr>
            <w:tcW w:type="dxa" w:w="2929"/>
          </w:tcPr>
          <w:p>
            <w:r>
              <w:rPr>
                <w:sz w:val="18"/>
              </w:rPr>
              <w:t>How Intrastromal Ring Segments Work: Physics Before Nomograms</w:t>
            </w:r>
          </w:p>
        </w:tc>
        <w:tc>
          <w:tcPr>
            <w:tcW w:type="dxa" w:w="2929"/>
          </w:tcPr>
          <w:p>
            <w:r>
              <w:rPr>
                <w:sz w:val="18"/>
              </w:rPr>
              <w:t>cap02_how_icrs_work.md</w:t>
            </w:r>
          </w:p>
        </w:tc>
      </w:tr>
      <w:tr>
        <w:tc>
          <w:tcPr>
            <w:tcW w:type="dxa" w:w="2929"/>
          </w:tcPr>
          <w:p>
            <w:r>
              <w:rPr>
                <w:sz w:val="18"/>
              </w:rPr>
              <w:t>3</w:t>
            </w:r>
          </w:p>
        </w:tc>
        <w:tc>
          <w:tcPr>
            <w:tcW w:type="dxa" w:w="2929"/>
          </w:tcPr>
          <w:p>
            <w:r>
              <w:rPr>
                <w:sz w:val="18"/>
              </w:rPr>
              <w:t>The Limits of Empirical Planning: Why Nomograms Fail</w:t>
            </w:r>
          </w:p>
        </w:tc>
        <w:tc>
          <w:tcPr>
            <w:tcW w:type="dxa" w:w="2929"/>
          </w:tcPr>
          <w:p>
            <w:r>
              <w:rPr>
                <w:sz w:val="18"/>
              </w:rPr>
              <w:t>cap03_nomogram_limits.md</w:t>
            </w:r>
          </w:p>
        </w:tc>
      </w:tr>
    </w:tbl>
    <w:p>
      <w:pPr>
        <w:pStyle w:val="Heading3"/>
      </w:pPr>
      <w:r>
        <w:t>Part II — The Biomechanical Vectors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Chapter</w:t>
            </w:r>
          </w:p>
        </w:tc>
        <w:tc>
          <w:tcPr>
            <w:tcW w:type="dxa" w:w="2929"/>
          </w:tcPr>
          <w:p>
            <w:r>
              <w:rPr>
                <w:b/>
                <w:sz w:val="18"/>
              </w:rPr>
              <w:t>Title</w:t>
            </w:r>
          </w:p>
        </w:tc>
        <w:tc>
          <w:tcPr>
            <w:tcW w:type="dxa" w:w="2929"/>
          </w:tcPr>
          <w:p>
            <w:r>
              <w:rPr>
                <w:b/>
                <w:sz w:val="18"/>
              </w:rPr>
              <w:t>File</w:t>
            </w:r>
          </w:p>
        </w:tc>
      </w:tr>
      <w:tr>
        <w:tc>
          <w:tcPr>
            <w:tcW w:type="dxa" w:w="2929"/>
          </w:tcPr>
          <w:p>
            <w:r>
              <w:rPr>
                <w:sz w:val="18"/>
              </w:rPr>
              <w:t>4</w:t>
            </w:r>
          </w:p>
        </w:tc>
        <w:tc>
          <w:tcPr>
            <w:tcW w:type="dxa" w:w="2929"/>
          </w:tcPr>
          <w:p>
            <w:r>
              <w:rPr>
                <w:sz w:val="18"/>
              </w:rPr>
              <w:t>The Three Domains of ICRS Assessment: Optical, Topographic, Biomechanical</w:t>
            </w:r>
          </w:p>
        </w:tc>
        <w:tc>
          <w:tcPr>
            <w:tcW w:type="dxa" w:w="2929"/>
          </w:tcPr>
          <w:p>
            <w:r>
              <w:rPr>
                <w:sz w:val="18"/>
              </w:rPr>
              <w:t>cap04_three_domains.md</w:t>
            </w:r>
          </w:p>
        </w:tc>
      </w:tr>
      <w:tr>
        <w:tc>
          <w:tcPr>
            <w:tcW w:type="dxa" w:w="2929"/>
          </w:tcPr>
          <w:p>
            <w:r>
              <w:rPr>
                <w:sz w:val="18"/>
              </w:rPr>
              <w:t>5</w:t>
            </w:r>
          </w:p>
        </w:tc>
        <w:tc>
          <w:tcPr>
            <w:tcW w:type="dxa" w:w="2929"/>
          </w:tcPr>
          <w:p>
            <w:r>
              <w:rPr>
                <w:sz w:val="18"/>
              </w:rPr>
              <w:t>VR: The Radial Vector — Flattening Mechanics</w:t>
            </w:r>
          </w:p>
        </w:tc>
        <w:tc>
          <w:tcPr>
            <w:tcW w:type="dxa" w:w="2929"/>
          </w:tcPr>
          <w:p>
            <w:r>
              <w:rPr>
                <w:sz w:val="18"/>
              </w:rPr>
              <w:t>cap05_vector_VR.md</w:t>
            </w:r>
          </w:p>
        </w:tc>
      </w:tr>
      <w:tr>
        <w:tc>
          <w:tcPr>
            <w:tcW w:type="dxa" w:w="2929"/>
          </w:tcPr>
          <w:p>
            <w:r>
              <w:rPr>
                <w:sz w:val="18"/>
              </w:rPr>
              <w:t>6</w:t>
            </w:r>
          </w:p>
        </w:tc>
        <w:tc>
          <w:tcPr>
            <w:tcW w:type="dxa" w:w="2929"/>
          </w:tcPr>
          <w:p>
            <w:r>
              <w:rPr>
                <w:sz w:val="18"/>
              </w:rPr>
              <w:t>VT: The Tangential Vector — Astigmatism Redistribution</w:t>
            </w:r>
          </w:p>
        </w:tc>
        <w:tc>
          <w:tcPr>
            <w:tcW w:type="dxa" w:w="2929"/>
          </w:tcPr>
          <w:p>
            <w:r>
              <w:rPr>
                <w:sz w:val="18"/>
              </w:rPr>
              <w:t>cap06_vector_VT.md</w:t>
            </w:r>
          </w:p>
        </w:tc>
      </w:tr>
      <w:tr>
        <w:tc>
          <w:tcPr>
            <w:tcW w:type="dxa" w:w="2929"/>
          </w:tcPr>
          <w:p>
            <w:r>
              <w:rPr>
                <w:sz w:val="18"/>
              </w:rPr>
              <w:t>7</w:t>
            </w:r>
          </w:p>
        </w:tc>
        <w:tc>
          <w:tcPr>
            <w:tcW w:type="dxa" w:w="2929"/>
          </w:tcPr>
          <w:p>
            <w:r>
              <w:rPr>
                <w:sz w:val="18"/>
              </w:rPr>
              <w:t>Vτ: The Torque Vector — Apex Repositioning</w:t>
            </w:r>
          </w:p>
        </w:tc>
        <w:tc>
          <w:tcPr>
            <w:tcW w:type="dxa" w:w="2929"/>
          </w:tcPr>
          <w:p>
            <w:r>
              <w:rPr>
                <w:sz w:val="18"/>
              </w:rPr>
              <w:t>cap07_vector_Vtau.md</w:t>
            </w:r>
          </w:p>
        </w:tc>
      </w:tr>
      <w:tr>
        <w:tc>
          <w:tcPr>
            <w:tcW w:type="dxa" w:w="2929"/>
          </w:tcPr>
          <w:p>
            <w:r>
              <w:rPr>
                <w:sz w:val="18"/>
              </w:rPr>
              <w:t>8</w:t>
            </w:r>
          </w:p>
        </w:tc>
        <w:tc>
          <w:tcPr>
            <w:tcW w:type="dxa" w:w="2929"/>
          </w:tcPr>
          <w:p>
            <w:r>
              <w:rPr>
                <w:sz w:val="18"/>
              </w:rPr>
              <w:t>The Alpins Method: A Model for Surgical Planning Languages</w:t>
            </w:r>
          </w:p>
        </w:tc>
        <w:tc>
          <w:tcPr>
            <w:tcW w:type="dxa" w:w="2929"/>
          </w:tcPr>
          <w:p>
            <w:r>
              <w:rPr>
                <w:sz w:val="18"/>
              </w:rPr>
              <w:t>cap08_alpins_method.md</w:t>
            </w:r>
          </w:p>
        </w:tc>
      </w:tr>
    </w:tbl>
    <w:p>
      <w:pPr>
        <w:pStyle w:val="Heading3"/>
      </w:pPr>
      <w:r>
        <w:t>Part III — From Theory to Clinical Practice</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Chapter</w:t>
            </w:r>
          </w:p>
        </w:tc>
        <w:tc>
          <w:tcPr>
            <w:tcW w:type="dxa" w:w="2929"/>
          </w:tcPr>
          <w:p>
            <w:r>
              <w:rPr>
                <w:b/>
                <w:sz w:val="18"/>
              </w:rPr>
              <w:t>Title</w:t>
            </w:r>
          </w:p>
        </w:tc>
        <w:tc>
          <w:tcPr>
            <w:tcW w:type="dxa" w:w="2929"/>
          </w:tcPr>
          <w:p>
            <w:r>
              <w:rPr>
                <w:b/>
                <w:sz w:val="18"/>
              </w:rPr>
              <w:t>File</w:t>
            </w:r>
          </w:p>
        </w:tc>
      </w:tr>
      <w:tr>
        <w:tc>
          <w:tcPr>
            <w:tcW w:type="dxa" w:w="2929"/>
          </w:tcPr>
          <w:p>
            <w:r>
              <w:rPr>
                <w:sz w:val="18"/>
              </w:rPr>
              <w:t>9</w:t>
            </w:r>
          </w:p>
        </w:tc>
        <w:tc>
          <w:tcPr>
            <w:tcW w:type="dxa" w:w="2929"/>
          </w:tcPr>
          <w:p>
            <w:r>
              <w:rPr>
                <w:sz w:val="18"/>
              </w:rPr>
              <w:t>The Integrated AVBC Classification</w:t>
            </w:r>
          </w:p>
        </w:tc>
        <w:tc>
          <w:tcPr>
            <w:tcW w:type="dxa" w:w="2929"/>
          </w:tcPr>
          <w:p>
            <w:r>
              <w:rPr>
                <w:sz w:val="18"/>
              </w:rPr>
              <w:t>cap09_avbc_classification.md</w:t>
            </w:r>
          </w:p>
        </w:tc>
      </w:tr>
      <w:tr>
        <w:tc>
          <w:tcPr>
            <w:tcW w:type="dxa" w:w="2929"/>
          </w:tcPr>
          <w:p>
            <w:r>
              <w:rPr>
                <w:sz w:val="18"/>
              </w:rPr>
              <w:t>10</w:t>
            </w:r>
          </w:p>
        </w:tc>
        <w:tc>
          <w:tcPr>
            <w:tcW w:type="dxa" w:w="2929"/>
          </w:tcPr>
          <w:p>
            <w:r>
              <w:rPr>
                <w:sz w:val="18"/>
              </w:rPr>
              <w:t>From Framework to Clinical Workflow</w:t>
            </w:r>
          </w:p>
        </w:tc>
        <w:tc>
          <w:tcPr>
            <w:tcW w:type="dxa" w:w="2929"/>
          </w:tcPr>
          <w:p>
            <w:r>
              <w:rPr>
                <w:sz w:val="18"/>
              </w:rPr>
              <w:t>cap11_clinical_workflow.md</w:t>
            </w:r>
          </w:p>
        </w:tc>
      </w:tr>
      <w:tr>
        <w:tc>
          <w:tcPr>
            <w:tcW w:type="dxa" w:w="2929"/>
          </w:tcPr>
          <w:p>
            <w:r>
              <w:rPr>
                <w:sz w:val="18"/>
              </w:rPr>
              <w:t>11</w:t>
            </w:r>
          </w:p>
        </w:tc>
        <w:tc>
          <w:tcPr>
            <w:tcW w:type="dxa" w:w="2929"/>
          </w:tcPr>
          <w:p>
            <w:r>
              <w:rPr>
                <w:sz w:val="18"/>
              </w:rPr>
              <w:t>Illustrative Case Studies: AVBC-Guided ICRS Planning</w:t>
            </w:r>
          </w:p>
        </w:tc>
        <w:tc>
          <w:tcPr>
            <w:tcW w:type="dxa" w:w="2929"/>
          </w:tcPr>
          <w:p>
            <w:r>
              <w:rPr>
                <w:sz w:val="18"/>
              </w:rPr>
              <w:t>cap12_case_studies.md</w:t>
            </w:r>
          </w:p>
        </w:tc>
      </w:tr>
    </w:tbl>
    <w:p>
      <w:pPr>
        <w:pStyle w:val="Heading3"/>
      </w:pPr>
      <w:r>
        <w:t>Part IV — Validation and Evidence</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Chapter</w:t>
            </w:r>
          </w:p>
        </w:tc>
        <w:tc>
          <w:tcPr>
            <w:tcW w:type="dxa" w:w="2929"/>
          </w:tcPr>
          <w:p>
            <w:r>
              <w:rPr>
                <w:b/>
                <w:sz w:val="18"/>
              </w:rPr>
              <w:t>Title</w:t>
            </w:r>
          </w:p>
        </w:tc>
        <w:tc>
          <w:tcPr>
            <w:tcW w:type="dxa" w:w="2929"/>
          </w:tcPr>
          <w:p>
            <w:r>
              <w:rPr>
                <w:b/>
                <w:sz w:val="18"/>
              </w:rPr>
              <w:t>File</w:t>
            </w:r>
          </w:p>
        </w:tc>
      </w:tr>
      <w:tr>
        <w:tc>
          <w:tcPr>
            <w:tcW w:type="dxa" w:w="2929"/>
          </w:tcPr>
          <w:p>
            <w:r>
              <w:rPr>
                <w:sz w:val="18"/>
              </w:rPr>
              <w:t>12</w:t>
            </w:r>
          </w:p>
        </w:tc>
        <w:tc>
          <w:tcPr>
            <w:tcW w:type="dxa" w:w="2929"/>
          </w:tcPr>
          <w:p>
            <w:r>
              <w:rPr>
                <w:sz w:val="18"/>
              </w:rPr>
              <w:t>Computational Validation: FEM Extraction of VR, VT, and Vτ</w:t>
            </w:r>
          </w:p>
        </w:tc>
        <w:tc>
          <w:tcPr>
            <w:tcW w:type="dxa" w:w="2929"/>
          </w:tcPr>
          <w:p>
            <w:r>
              <w:rPr>
                <w:sz w:val="18"/>
              </w:rPr>
              <w:t>cap10_fem_validation.md</w:t>
            </w:r>
          </w:p>
        </w:tc>
      </w:tr>
    </w:tbl>
    <w:p>
      <w:pPr>
        <w:pStyle w:val="Heading3"/>
      </w:pPr>
      <w:r>
        <w:t>Part V — Horizons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Chapter</w:t>
            </w:r>
          </w:p>
        </w:tc>
        <w:tc>
          <w:tcPr>
            <w:tcW w:type="dxa" w:w="2929"/>
          </w:tcPr>
          <w:p>
            <w:r>
              <w:rPr>
                <w:b/>
                <w:sz w:val="18"/>
              </w:rPr>
              <w:t>Title</w:t>
            </w:r>
          </w:p>
        </w:tc>
        <w:tc>
          <w:tcPr>
            <w:tcW w:type="dxa" w:w="2929"/>
          </w:tcPr>
          <w:p>
            <w:r>
              <w:rPr>
                <w:b/>
                <w:sz w:val="18"/>
              </w:rPr>
              <w:t>File</w:t>
            </w:r>
          </w:p>
        </w:tc>
      </w:tr>
      <w:tr>
        <w:tc>
          <w:tcPr>
            <w:tcW w:type="dxa" w:w="2929"/>
          </w:tcPr>
          <w:p>
            <w:r>
              <w:rPr>
                <w:sz w:val="18"/>
              </w:rPr>
              <w:t>13</w:t>
            </w:r>
          </w:p>
        </w:tc>
        <w:tc>
          <w:tcPr>
            <w:tcW w:type="dxa" w:w="2929"/>
          </w:tcPr>
          <w:p>
            <w:r>
              <w:rPr>
                <w:sz w:val="18"/>
              </w:rPr>
              <w:t>Limitations, Open Questions, and Future Directions</w:t>
            </w:r>
          </w:p>
        </w:tc>
        <w:tc>
          <w:tcPr>
            <w:tcW w:type="dxa" w:w="2929"/>
          </w:tcPr>
          <w:p>
            <w:r>
              <w:rPr>
                <w:sz w:val="18"/>
              </w:rPr>
              <w:t>cap13_limitations_future.md</w:t>
            </w:r>
          </w:p>
        </w:tc>
      </w:tr>
      <w:tr>
        <w:tc>
          <w:tcPr>
            <w:tcW w:type="dxa" w:w="2929"/>
          </w:tcPr>
          <w:p>
            <w:r>
              <w:rPr>
                <w:sz w:val="18"/>
              </w:rPr>
              <w:t>14</w:t>
            </w:r>
          </w:p>
        </w:tc>
        <w:tc>
          <w:tcPr>
            <w:tcW w:type="dxa" w:w="2929"/>
          </w:tcPr>
          <w:p>
            <w:r>
              <w:rPr>
                <w:sz w:val="18"/>
              </w:rPr>
              <w:t>The AVBC Software Platform: Architecture and Implementation</w:t>
            </w:r>
          </w:p>
        </w:tc>
        <w:tc>
          <w:tcPr>
            <w:tcW w:type="dxa" w:w="2929"/>
          </w:tcPr>
          <w:p>
            <w:r>
              <w:rPr>
                <w:sz w:val="18"/>
              </w:rPr>
              <w:t>cap14_software_platform.md</w:t>
            </w:r>
          </w:p>
        </w:tc>
      </w:tr>
      <w:tr>
        <w:tc>
          <w:tcPr>
            <w:tcW w:type="dxa" w:w="2929"/>
          </w:tcPr>
          <w:p>
            <w:r>
              <w:rPr>
                <w:sz w:val="18"/>
              </w:rPr>
              <w:t>15</w:t>
            </w:r>
          </w:p>
        </w:tc>
        <w:tc>
          <w:tcPr>
            <w:tcW w:type="dxa" w:w="2929"/>
          </w:tcPr>
          <w:p>
            <w:r>
              <w:rPr>
                <w:sz w:val="18"/>
              </w:rPr>
              <w:t>Conclusion: Toward a Biomechanical Language for Corneal Surgery</w:t>
            </w:r>
          </w:p>
        </w:tc>
        <w:tc>
          <w:tcPr>
            <w:tcW w:type="dxa" w:w="2929"/>
          </w:tcPr>
          <w:p>
            <w:r>
              <w:rPr>
                <w:sz w:val="18"/>
              </w:rPr>
              <w:t>cap15_conclusion.md</w:t>
            </w:r>
          </w:p>
        </w:tc>
      </w:tr>
    </w:tbl>
    <w:p>
      <w:pPr>
        <w:pStyle w:val="Heading3"/>
      </w:pPr>
      <w:r>
        <w:t>Appendices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Appendix</w:t>
            </w:r>
          </w:p>
        </w:tc>
        <w:tc>
          <w:tcPr>
            <w:tcW w:type="dxa" w:w="2929"/>
          </w:tcPr>
          <w:p>
            <w:r>
              <w:rPr>
                <w:b/>
                <w:sz w:val="18"/>
              </w:rPr>
              <w:t>Title</w:t>
            </w:r>
          </w:p>
        </w:tc>
        <w:tc>
          <w:tcPr>
            <w:tcW w:type="dxa" w:w="2929"/>
          </w:tcPr>
          <w:p>
            <w:r>
              <w:rPr>
                <w:b/>
                <w:sz w:val="18"/>
              </w:rPr>
              <w:t>File</w:t>
            </w:r>
          </w:p>
        </w:tc>
      </w:tr>
      <w:tr>
        <w:tc>
          <w:tcPr>
            <w:tcW w:type="dxa" w:w="2929"/>
          </w:tcPr>
          <w:p>
            <w:r>
              <w:rPr>
                <w:sz w:val="18"/>
              </w:rPr>
              <w:t>A</w:t>
            </w:r>
          </w:p>
        </w:tc>
        <w:tc>
          <w:tcPr>
            <w:tcW w:type="dxa" w:w="2929"/>
          </w:tcPr>
          <w:p>
            <w:r>
              <w:rPr>
                <w:sz w:val="18"/>
              </w:rPr>
              <w:t>HGO Constitutive Model: Derivation and Parameters</w:t>
            </w:r>
          </w:p>
        </w:tc>
        <w:tc>
          <w:tcPr>
            <w:tcW w:type="dxa" w:w="2929"/>
          </w:tcPr>
          <w:p>
            <w:r>
              <w:rPr>
                <w:sz w:val="18"/>
              </w:rPr>
              <w:t>appendix_A_HGO_model.md</w:t>
            </w:r>
          </w:p>
        </w:tc>
      </w:tr>
      <w:tr>
        <w:tc>
          <w:tcPr>
            <w:tcW w:type="dxa" w:w="2929"/>
          </w:tcPr>
          <w:p>
            <w:r>
              <w:rPr>
                <w:sz w:val="18"/>
              </w:rPr>
              <w:t>B</w:t>
            </w:r>
          </w:p>
        </w:tc>
        <w:tc>
          <w:tcPr>
            <w:tcW w:type="dxa" w:w="2929"/>
          </w:tcPr>
          <w:p>
            <w:r>
              <w:rPr>
                <w:sz w:val="18"/>
              </w:rPr>
              <w:t>FEBio Scripts and Extraction Pipeline Documentation</w:t>
            </w:r>
          </w:p>
        </w:tc>
        <w:tc>
          <w:tcPr>
            <w:tcW w:type="dxa" w:w="2929"/>
          </w:tcPr>
          <w:p>
            <w:r>
              <w:rPr>
                <w:sz w:val="18"/>
              </w:rPr>
              <w:t>appendix_B_febio_scripts.md</w:t>
            </w:r>
          </w:p>
        </w:tc>
      </w:tr>
      <w:tr>
        <w:tc>
          <w:tcPr>
            <w:tcW w:type="dxa" w:w="2929"/>
          </w:tcPr>
          <w:p>
            <w:r>
              <w:rPr>
                <w:sz w:val="18"/>
              </w:rPr>
              <w:t>C</w:t>
            </w:r>
          </w:p>
        </w:tc>
        <w:tc>
          <w:tcPr>
            <w:tcW w:type="dxa" w:w="2929"/>
          </w:tcPr>
          <w:p>
            <w:r>
              <w:rPr>
                <w:sz w:val="18"/>
              </w:rPr>
              <w:t>AVBC Terminology Glossary</w:t>
            </w:r>
          </w:p>
        </w:tc>
        <w:tc>
          <w:tcPr>
            <w:tcW w:type="dxa" w:w="2929"/>
          </w:tcPr>
          <w:p>
            <w:r>
              <w:rPr>
                <w:sz w:val="18"/>
              </w:rPr>
              <w:t>appendix_C_glossary.md</w:t>
            </w:r>
          </w:p>
        </w:tc>
      </w:tr>
    </w:tbl>
    <w:p>
      <w:pPr>
        <w:pStyle w:val="Heading3"/>
      </w:pPr>
      <w:r>
        <w:t>Summary Statistics</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Metric</w:t>
            </w:r>
          </w:p>
        </w:tc>
        <w:tc>
          <w:tcPr>
            <w:tcW w:type="dxa" w:w="4394"/>
          </w:tcPr>
          <w:p>
            <w:r>
              <w:rPr>
                <w:b/>
                <w:sz w:val="18"/>
              </w:rPr>
              <w:t>Value</w:t>
            </w:r>
          </w:p>
        </w:tc>
      </w:tr>
      <w:tr>
        <w:tc>
          <w:tcPr>
            <w:tcW w:type="dxa" w:w="4394"/>
          </w:tcPr>
          <w:p>
            <w:r>
              <w:rPr>
                <w:sz w:val="18"/>
              </w:rPr>
              <w:t>Total chapters</w:t>
            </w:r>
          </w:p>
        </w:tc>
        <w:tc>
          <w:tcPr>
            <w:tcW w:type="dxa" w:w="4394"/>
          </w:tcPr>
          <w:p>
            <w:r>
              <w:rPr>
                <w:sz w:val="18"/>
              </w:rPr>
              <w:t>15</w:t>
            </w:r>
          </w:p>
        </w:tc>
      </w:tr>
      <w:tr>
        <w:tc>
          <w:tcPr>
            <w:tcW w:type="dxa" w:w="4394"/>
          </w:tcPr>
          <w:p>
            <w:r>
              <w:rPr>
                <w:sz w:val="18"/>
              </w:rPr>
              <w:t>Total words (EN)</w:t>
            </w:r>
          </w:p>
        </w:tc>
        <w:tc>
          <w:tcPr>
            <w:tcW w:type="dxa" w:w="4394"/>
          </w:tcPr>
          <w:p>
            <w:r>
              <w:rPr>
                <w:sz w:val="18"/>
              </w:rPr>
              <w:t>~39,000</w:t>
            </w:r>
          </w:p>
        </w:tc>
      </w:tr>
      <w:tr>
        <w:tc>
          <w:tcPr>
            <w:tcW w:type="dxa" w:w="4394"/>
          </w:tcPr>
          <w:p>
            <w:r>
              <w:rPr>
                <w:sz w:val="18"/>
              </w:rPr>
              <w:t>Estimated pages</w:t>
            </w:r>
          </w:p>
        </w:tc>
        <w:tc>
          <w:tcPr>
            <w:tcW w:type="dxa" w:w="4394"/>
          </w:tcPr>
          <w:p>
            <w:r>
              <w:rPr>
                <w:sz w:val="18"/>
              </w:rPr>
              <w:t>250–280 (text only)</w:t>
            </w:r>
          </w:p>
        </w:tc>
      </w:tr>
      <w:tr>
        <w:tc>
          <w:tcPr>
            <w:tcW w:type="dxa" w:w="4394"/>
          </w:tcPr>
          <w:p>
            <w:r>
              <w:rPr>
                <w:sz w:val="18"/>
              </w:rPr>
              <w:t>Figures (SVG)</w:t>
            </w:r>
          </w:p>
        </w:tc>
        <w:tc>
          <w:tcPr>
            <w:tcW w:type="dxa" w:w="4394"/>
          </w:tcPr>
          <w:p>
            <w:r>
              <w:rPr>
                <w:sz w:val="18"/>
              </w:rPr>
              <w:t>25</w:t>
            </w:r>
          </w:p>
        </w:tc>
      </w:tr>
      <w:tr>
        <w:tc>
          <w:tcPr>
            <w:tcW w:type="dxa" w:w="4394"/>
          </w:tcPr>
          <w:p>
            <w:r>
              <w:rPr>
                <w:sz w:val="18"/>
              </w:rPr>
              <w:t>Tables</w:t>
            </w:r>
          </w:p>
        </w:tc>
        <w:tc>
          <w:tcPr>
            <w:tcW w:type="dxa" w:w="4394"/>
          </w:tcPr>
          <w:p>
            <w:r>
              <w:rPr>
                <w:sz w:val="18"/>
              </w:rPr>
              <w:t>~35</w:t>
            </w:r>
          </w:p>
        </w:tc>
      </w:tr>
      <w:tr>
        <w:tc>
          <w:tcPr>
            <w:tcW w:type="dxa" w:w="4394"/>
          </w:tcPr>
          <w:p>
            <w:r>
              <w:rPr>
                <w:sz w:val="18"/>
              </w:rPr>
              <w:t>Unique references</w:t>
            </w:r>
          </w:p>
        </w:tc>
        <w:tc>
          <w:tcPr>
            <w:tcW w:type="dxa" w:w="4394"/>
          </w:tcPr>
          <w:p>
            <w:r>
              <w:rPr>
                <w:sz w:val="18"/>
              </w:rPr>
              <w:t>~170</w:t>
            </w:r>
          </w:p>
        </w:tc>
      </w:tr>
      <w:tr>
        <w:tc>
          <w:tcPr>
            <w:tcW w:type="dxa" w:w="4394"/>
          </w:tcPr>
          <w:p>
            <w:r>
              <w:rPr>
                <w:sz w:val="18"/>
              </w:rPr>
              <w:t>FEM simulations cited</w:t>
            </w:r>
          </w:p>
        </w:tc>
        <w:tc>
          <w:tcPr>
            <w:tcW w:type="dxa" w:w="4394"/>
          </w:tcPr>
          <w:p>
            <w:r>
              <w:rPr>
                <w:sz w:val="18"/>
              </w:rPr>
              <w:t>377</w:t>
            </w:r>
          </w:p>
        </w:tc>
      </w:tr>
    </w:tbl>
    <w:p>
      <w:pPr>
        <w:pStyle w:val="Heading3"/>
      </w:pPr>
      <w:r>
        <w:t>Pedagogical Logic</w:t>
      </w:r>
    </w:p>
    <w:p>
      <w:r>
        <w:t xml:space="preserve">The six-part structure follows the didactic principle </w:t>
      </w:r>
      <w:r>
        <w:rPr>
          <w:b/>
        </w:rPr>
        <w:t>"Problem → Foundation → Solution → Practice → Proof"</w:t>
      </w:r>
      <w:r>
        <w:t>:</w:t>
      </w:r>
    </w:p>
    <w:p>
      <w:pPr>
        <w:pStyle w:val="ListNumber"/>
      </w:pPr>
      <w:r/>
      <w:r>
        <w:rPr>
          <w:b/>
        </w:rPr>
        <w:t>Part I</w:t>
      </w:r>
      <w:r>
        <w:t xml:space="preserve"> answers </w:t>
      </w:r>
      <w:r>
        <w:rPr>
          <w:i/>
        </w:rPr>
        <w:t>"Why do I need this?"</w:t>
      </w:r>
      <w:r>
        <w:t xml:space="preserve"> — establishes the biomechanical basis and demonstrates nomogram limitations.</w:t>
      </w:r>
    </w:p>
    <w:p>
      <w:pPr>
        <w:pStyle w:val="ListNumber"/>
      </w:pPr>
      <w:r/>
      <w:r>
        <w:rPr>
          <w:b/>
        </w:rPr>
        <w:t>Part II</w:t>
      </w:r>
      <w:r>
        <w:t xml:space="preserve"> answers </w:t>
      </w:r>
      <w:r>
        <w:rPr>
          <w:i/>
        </w:rPr>
        <w:t>"What is AVBC?"</w:t>
      </w:r>
      <w:r>
        <w:t xml:space="preserve"> — presents the three biomechanical vectors and the Alpins parallel.</w:t>
      </w:r>
    </w:p>
    <w:p>
      <w:pPr>
        <w:pStyle w:val="ListNumber"/>
      </w:pPr>
      <w:r/>
      <w:r>
        <w:rPr>
          <w:b/>
        </w:rPr>
        <w:t>Part III</w:t>
      </w:r>
      <w:r>
        <w:t xml:space="preserve"> answers </w:t>
      </w:r>
      <w:r>
        <w:rPr>
          <w:i/>
        </w:rPr>
        <w:t>"How do I use this in the clinic?"</w:t>
      </w:r>
      <w:r>
        <w:t xml:space="preserve"> — from classification to clinical workflow with real cases.</w:t>
      </w:r>
    </w:p>
    <w:p>
      <w:pPr>
        <w:pStyle w:val="ListNumber"/>
      </w:pPr>
      <w:r/>
      <w:r>
        <w:rPr>
          <w:b/>
        </w:rPr>
        <w:t>Part IV</w:t>
      </w:r>
      <w:r>
        <w:t xml:space="preserve"> answers </w:t>
      </w:r>
      <w:r>
        <w:rPr>
          <w:i/>
        </w:rPr>
        <w:t>"What evidence exists?"</w:t>
      </w:r>
      <w:r>
        <w:t xml:space="preserve"> — complete computational validation.</w:t>
      </w:r>
    </w:p>
    <w:p>
      <w:pPr>
        <w:pStyle w:val="ListNumber"/>
      </w:pPr>
      <w:r/>
      <w:r>
        <w:rPr>
          <w:b/>
        </w:rPr>
        <w:t>Part V</w:t>
      </w:r>
      <w:r>
        <w:t xml:space="preserve"> answers </w:t>
      </w:r>
      <w:r>
        <w:rPr>
          <w:i/>
        </w:rPr>
        <w:t>"What are the limits and the future?"</w:t>
      </w:r>
      <w:r>
        <w:t xml:space="preserve"> — honest limitations, software platform, and conclusive vision.</w:t>
      </w:r>
    </w:p>
    <w:p>
      <w:r>
        <w:t>&lt;!-- GPT revision applied --&gt;</w:t>
      </w:r>
    </w:p>
    <w:p>
      <w:pPr>
        <w:pStyle w:val="Heading1"/>
      </w:pPr>
      <w:r>
        <w:t>Chapter 1 — The Keratoconic Cornea as a Mechanical Structure</w:t>
      </w:r>
    </w:p>
    <w:p>
      <w:pPr>
        <w:pStyle w:val="BlockQuote"/>
      </w:pPr>
      <w:r>
        <w:t>**Corneal Biomechanical Vector Analysis for Intracorneal Ring Segment Planning** *Part I — The Problem and Fundamentals*</w:t>
      </w:r>
    </w:p>
    <w:p>
      <w:pPr>
        <w:pStyle w:val="BlockQuote"/>
      </w:pPr>
      <w:r>
        <w:t>**Key Points** - The cornea is a **fiber-reinforced composite**: 200+ collagen lamellae in a proteoglycan matrix. - Its biomechanical behavior is described by the **HGO model** (c, k₁, k₂, κ). - Keratoconus is a **material disease**: enzymatic degradation of the matrix (c↓) precedes geometric deformity. - The **Dupps cycle** explains the positive feedback loop: thinning → stress concentration → further thinning. - Understanding biomechanics is a prerequisite for rational ICRS planning.</w:t>
      </w:r>
    </w:p>
    <w:p>
      <w:pPr>
        <w:pStyle w:val="BlockQuote"/>
      </w:pPr>
      <w:r>
        <w:t>**Key Point:** Keratoconus is not merely a curved cornea — it is a disease of the stromal material. Two eyes with the same K-steep may have completely different biomechanical states. A nomogram that ignores this is treating the symptom, not the disease.</w:t>
      </w:r>
    </w:p>
    <w:p>
      <w:r>
        <w:t>[Figura: Figure 1.3 — J-shaped stress-strain curve of the cornea according to the HGO model.]</w:t>
      </w:r>
    </w:p>
    <w:p>
      <w:pPr>
        <w:pStyle w:val="Heading2"/>
      </w:pPr>
      <w:r>
        <w:t>1.1 Introduction</w:t>
      </w:r>
    </w:p>
    <w:p>
      <w:r>
        <w:t xml:space="preserve">Keratoconus is the most common corneal ectasia, with prevalence estimates ranging from 1 in 375 in population-based studies to as high as 1 in 84 when modern videokeratographic screening criteria are applied (Godefrooij et al., 2017; Torres Netto et al., 2018). Traditionally, the condition has been defined by its striking topographic features — elevated keratometric readings, inferior corneal steepening, irregular astigmatism, and progressive thinning — features that place it squarely in the domain of optical geometry. Indeed, the standard clinical workflow for keratoconus diagnosis centers on sagittal curvature maps, keratometric indices, and pachymetric profiles: measurements that describe the </w:t>
      </w:r>
      <w:r>
        <w:rPr>
          <w:i/>
        </w:rPr>
        <w:t>shape</w:t>
      </w:r>
      <w:r>
        <w:t xml:space="preserve"> of the cornea but say little about its </w:t>
      </w:r>
      <w:r>
        <w:rPr>
          <w:i/>
        </w:rPr>
        <w:t>mechanical state</w:t>
      </w:r>
      <w:r>
        <w:t>.</w:t>
      </w:r>
    </w:p>
    <w:p>
      <w:r>
        <w:t>[Figura: Figure 1.1 — Fibrillar anatomy of the corneal stroma: cross-section and fiber orientation.]</w:t>
      </w:r>
    </w:p>
    <w:p>
      <w:r>
        <w:t>This geometric perspective has practical consequences for treatment planning. When a surgeon selects an intracorneal ring segment (ICRS) for a keratoconic eye, the decision is typically guided by nomograms that map one or two geometric parameters — keratometry, Q-value, manifest refraction — to a ring configuration. The implicit assumption is that corneal shape is a sufficient proxy for corneal mechanics. As we will demonstrate throughout this book, this assumption is fundamentally flawed.</w:t>
      </w:r>
    </w:p>
    <w:p>
      <w:r>
        <w:t>Over the past two decades, a structural and bibliographic paradigm shift has been gaining momentum in ophthalmology. The seminal work of Dupps and Roberts (2001, consolidated in their 2014 article "</w:t>
      </w:r>
      <w:r>
        <w:rPr>
          <w:i/>
        </w:rPr>
        <w:t>Biomechanics of corneal ectasia and biomechanical treatments</w:t>
      </w:r>
      <w:r>
        <w:t xml:space="preserve">"), together with the structural investigations of Meek and Knupp (2015), unequivocally established that keratoconus is, at its core, a </w:t>
      </w:r>
      <w:r>
        <w:rPr>
          <w:b/>
        </w:rPr>
        <w:t>primarily biomechanical disease</w:t>
      </w:r>
      <w:r>
        <w:t xml:space="preserve"> — a disorder of stromal stress distribution, with focal degradation of the elastic material properties.</w:t>
      </w:r>
    </w:p>
    <w:p>
      <w:r>
        <w:t xml:space="preserve">The classic geometric manifestations (elevated K, pachymetric thinning, apical protrusion) are not the pathology itself but rather the </w:t>
      </w:r>
      <w:r>
        <w:rPr>
          <w:i/>
        </w:rPr>
        <w:t>secondary mechanical consequences (symptoms)</w:t>
      </w:r>
      <w:r>
        <w:t xml:space="preserve"> of a weakened structure yielding under normal intraocular pressure. Two corneas with identical K-steep values may harbor vastly different stress states, material stiffnesses, and progression propensities. Treating them identically and on purely geometric grounds, as a classical nomogram does, is to confuse the symptom (shape) with the disease (mechanical weakness).</w:t>
      </w:r>
    </w:p>
    <w:p>
      <w:r>
        <w:t>This opening chapter establishes the biomechanical foundation upon which the entire AVBC framework rests. We begin with the fibrillar architecture of the corneal stroma — the load-bearing structure that determines mechanical behavior — and progress through constitutive modeling, the decompensation cycle that drives keratoconus progression, and the clinical evidence for a biomechanical, rather than purely geometric, understanding of the disease. The reader who grasps this foundation will understand why rational ICRS planning requires a biomechanical language, not a geometric look-up table.</w:t>
      </w:r>
    </w:p>
    <w:p>
      <w:pPr>
        <w:pStyle w:val="Heading2"/>
      </w:pPr>
      <w:r>
        <w:t>1.2 Fibrillar Anatomy of the Corneal Stroma</w:t>
      </w:r>
    </w:p>
    <w:p>
      <w:pPr>
        <w:pStyle w:val="BlockQuote"/>
      </w:pPr>
      <w:r>
        <w:t>**For the Clinician:** This section explains *why* the cornea behaves as it does under pressure. The central concept is simple: the cornea is a composite material (like fiberglass), with collagen fibers (providing stiffness) embedded in a soft matrix (providing flexibility). The orientation of these fibers determines where the cornea is strong and where it is vulnerable.</w:t>
      </w:r>
    </w:p>
    <w:p>
      <w:r>
        <w:t>[Figura: Figure 1.2 — Dupps decompensation cycle: positive feedback loop and intervention points (CXL and ICRS).]</w:t>
      </w:r>
    </w:p>
    <w:p>
      <w:r>
        <w:t>The corneal stroma constitutes approximately 90% of the corneal thickness and is the primary determinant of its mechanical behavior. It is composed of 200 to 500 collagen lamellae, each 1–2 μm thick and 10–250 μm wide, arranged in a highly organized matrix that serves a dual purpose: optical transparency and mechanical load bearing (Komai &amp; Ushiki, 1991; Meek &amp; Knupp, 2015).</w:t>
      </w:r>
    </w:p>
    <w:p>
      <w:pPr>
        <w:pStyle w:val="Heading3"/>
      </w:pPr>
      <w:r>
        <w:t>Collagen Fiber Organization</w:t>
      </w:r>
    </w:p>
    <w:p>
      <w:r>
        <w:t>The predominant collagen types in the corneal stroma are Type I (approximately 70% by dry weight) and Type V (approximately 15%), with minor contributions from Types III, VI, and XII. Type I collagen provides tensile strength, while Type V regulates fibril diameter and spacing — a critical factor for transparency (Birk et al., 1990). The fibrils are remarkably uniform in diameter (approximately 31 nm in humans), and their regular spacing (approximately 56 nm center-to-center) produces destructive interference of scattered light in all directions except forward, resulting in the cornea's remarkable transparency (Maurice, 1957; Meek, 2009).</w:t>
      </w:r>
    </w:p>
    <w:p>
      <w:r>
        <w:t>Wide-angle X-ray scattering (WAXS) studies, conducted most extensively by Meek, Boote, and collaborators at Cardiff University, have revealed that collagen fiber orientation is not random but follows a characteristic pattern that varies by region (Meek &amp; Boote, 2004; Meek &amp; Knupp, 2015):</w:t>
      </w:r>
    </w:p>
    <w:p>
      <w:pPr>
        <w:pStyle w:val="ListBullet"/>
      </w:pPr>
      <w:r/>
      <w:r>
        <w:rPr>
          <w:b/>
        </w:rPr>
        <w:t>Central cornea:</w:t>
      </w:r>
      <w:r>
        <w:t xml:space="preserve"> Fibers are preferentially oriented along the nasal-temporal and superior-inferior meridians, creating an approximately orthogonal arrangement aligned with the cardinal directions. This creates an anisotropic mechanical response — the central cornea is stiffer along these preferred directions.</w:t>
      </w:r>
    </w:p>
    <w:p>
      <w:pPr>
        <w:pStyle w:val="ListBullet"/>
      </w:pPr>
      <w:r/>
      <w:r>
        <w:rPr>
          <w:b/>
        </w:rPr>
        <w:t>Limbus and peripheral cornea:</w:t>
      </w:r>
      <w:r>
        <w:t xml:space="preserve"> Fibers adopt a predominantly circumferential (tangential) orientation, forming an annular reinforcement analogous to barrel hoops. This limbal ring anchors the cornea to the sclera and resists radial expansion under intraocular pressure (IOP).</w:t>
      </w:r>
    </w:p>
    <w:p>
      <w:pPr>
        <w:pStyle w:val="ListBullet"/>
      </w:pPr>
      <w:r/>
      <w:r>
        <w:rPr>
          <w:b/>
        </w:rPr>
        <w:t>Transition zone (paracentral):</w:t>
      </w:r>
      <w:r>
        <w:t xml:space="preserve"> A gradual shift occurs from cardinal to circumferential orientation, with increased fiber dispersion.</w:t>
      </w:r>
    </w:p>
    <w:p>
      <w:pPr>
        <w:pStyle w:val="Heading3"/>
      </w:pPr>
      <w:r>
        <w:t>Anterior versus Posterior Stroma</w:t>
      </w:r>
    </w:p>
    <w:p>
      <w:r>
        <w:t xml:space="preserve">There is a critical distinction between the anterior and posterior stroma. The anterior third exhibits extensive lamellar </w:t>
      </w:r>
      <w:r>
        <w:rPr>
          <w:i/>
        </w:rPr>
        <w:t>interweaving</w:t>
      </w:r>
      <w:r>
        <w:t xml:space="preserve"> — the lamellae branch, merge, and insert into Bowman's layer at oblique angles, creating a mechanically interconnected mesh (Komai &amp; Ushiki, 1991; Winkler et al., 2013). The posterior two-thirds, in contrast, feature more parallel, flat lamellae with less interweaving. This architectural difference has direct mechanical consequences:</w:t>
      </w:r>
    </w:p>
    <w:p>
      <w:pPr>
        <w:pStyle w:val="ListBullet"/>
      </w:pPr>
      <w:r>
        <w:t xml:space="preserve">The anterior stroma is approximately </w:t>
      </w:r>
      <w:r>
        <w:rPr>
          <w:b/>
        </w:rPr>
        <w:t>two to three times stiffer</w:t>
      </w:r>
      <w:r>
        <w:t xml:space="preserve"> than the posterior stroma when measured by nanoindentation (Thomasy et al., 2014) or Brillouin microscopy (Scarcelli et al., 2015).</w:t>
      </w:r>
    </w:p>
    <w:p>
      <w:pPr>
        <w:pStyle w:val="ListBullet"/>
      </w:pPr>
      <w:r>
        <w:t>The posterior stroma is more susceptible to shear failure and lamellar slippage.</w:t>
      </w:r>
    </w:p>
    <w:p>
      <w:pPr>
        <w:pStyle w:val="ListBullet"/>
      </w:pPr>
      <w:r/>
      <w:r>
        <w:rPr>
          <w:b/>
        </w:rPr>
        <w:t>In keratoconus, the posterior stroma fails first</w:t>
      </w:r>
      <w:r>
        <w:t xml:space="preserve"> (Dupps &amp; Roberts, 2014). The earliest histopathological changes — fiber disorganization, breaks in lamellar continuity — occur in the posterior layers, consistent with the observation that posterior elevation abnormalities are among the earliest tomographic signs of subclinical keratoconus.</w:t>
      </w:r>
    </w:p>
    <w:p>
      <w:pPr>
        <w:pStyle w:val="Heading3"/>
      </w:pPr>
      <w:r>
        <w:t>The Proteoglycan Matrix</w:t>
      </w:r>
    </w:p>
    <w:p>
      <w:r>
        <w:t>Between the collagen fibrils lies the interfibrillar matrix, composed primarily of proteoglycans — keratan sulfate proteoglycans (lumican, keratocan, mimecan) and dermatan sulfate proteoglycans (decorin, biglycan). These molecules regulate fibril spacing and hydration, contributing to both transparency and mechanical coupling between lamellae (Quantock et al., 2010). In keratoconus, proteoglycan expression is altered, and the relationship between matrix hydration and fibril spacing becomes disrupted — an alteration that precedes observable thinning (Meek et al., 2005).</w:t>
      </w:r>
    </w:p>
    <w:p>
      <w:r>
        <w:t xml:space="preserve">For constitutive modeling purposes, the key conclusion is that the corneal stroma is a </w:t>
      </w:r>
      <w:r>
        <w:rPr>
          <w:b/>
        </w:rPr>
        <w:t>fiber-reinforced composite</w:t>
      </w:r>
      <w:r>
        <w:t xml:space="preserve"> — an extracellular matrix reinforced by collagen fibers with direction-dependent stiffness. Any realistic mechanical model must capture this anisotropy.</w:t>
      </w:r>
    </w:p>
    <w:p>
      <w:pPr>
        <w:pStyle w:val="Heading2"/>
      </w:pPr>
      <w:r>
        <w:t>1.3 The Cornea as an Anisotropic Hyperelastic Shell</w:t>
      </w:r>
    </w:p>
    <w:p>
      <w:pPr>
        <w:pStyle w:val="Heading3"/>
      </w:pPr>
      <w:r>
        <w:t>Why Linear Elasticity Fails</w:t>
      </w:r>
    </w:p>
    <w:p>
      <w:r>
        <w:t>The earliest biomechanical models of the cornea treated it as a linearly elastic, isotropic material — characterized by a single Young's modulus E and Poisson's ratio ν. This simplification is inadequate for several reasons:</w:t>
      </w:r>
    </w:p>
    <w:p>
      <w:pPr>
        <w:pStyle w:val="ListNumber"/>
      </w:pPr>
      <w:r/>
      <w:r>
        <w:rPr>
          <w:b/>
        </w:rPr>
        <w:t>Nonlinearity:</w:t>
      </w:r>
      <w:r>
        <w:t xml:space="preserve"> Corneal tissue exhibits pronounced strain-stiffening. At low strains (physiological range), the tissue is relatively compliant; at higher strains, collagen fibers become taut and stiffness increases dramatically. This J-shaped stress-strain curve cannot be captured by a constant E.</w:t>
      </w:r>
    </w:p>
    <w:p>
      <w:pPr>
        <w:pStyle w:val="ListNumber"/>
      </w:pPr>
      <w:r/>
      <w:r>
        <w:rPr>
          <w:b/>
        </w:rPr>
        <w:t>Anisotropy:</w:t>
      </w:r>
      <w:r>
        <w:t xml:space="preserve"> As described above, the mechanical response depends on fiber orientation. Stiffness measured along collagen fibers differs substantially from stiffness measured perpendicular to them.</w:t>
      </w:r>
    </w:p>
    <w:p>
      <w:pPr>
        <w:pStyle w:val="ListNumber"/>
      </w:pPr>
      <w:r/>
      <w:r>
        <w:rPr>
          <w:b/>
        </w:rPr>
        <w:t>Near-incompressibility:</w:t>
      </w:r>
      <w:r>
        <w:t xml:space="preserve"> Hydrated corneal tissue has a water content of approximately 78%, making it nearly incompressible (Poisson's ratio approaching 0.5).</w:t>
      </w:r>
    </w:p>
    <w:p>
      <w:pPr>
        <w:pStyle w:val="ListNumber"/>
      </w:pPr>
      <w:r/>
      <w:r>
        <w:rPr>
          <w:b/>
        </w:rPr>
        <w:t>Viscoelasticity:</w:t>
      </w:r>
      <w:r>
        <w:t xml:space="preserve"> The cornea exhibits time-dependent mechanical behavior — creep under sustained load and stress relaxation. However, for quasi-static analyses (such as IOP loading or ICRS implantation), hyperelastic models are generally sufficient.</w:t>
      </w:r>
    </w:p>
    <w:p>
      <w:pPr>
        <w:pStyle w:val="Heading3"/>
      </w:pPr>
      <w:r>
        <w:t>The Holzapfel-Gasser-Ogden (HGO) Model</w:t>
      </w:r>
    </w:p>
    <w:p>
      <w:pPr>
        <w:pStyle w:val="BlockQuote"/>
      </w:pPr>
      <w:r>
        <w:t>**For the Clinician:** The HGO model is the mathematical equation we use to simulate the cornea on the computer. You don't need to memorize the equation — what matters are the **5 parameters** in the table below. Each describes a different aspect of the corneal material, and our simulations use these values throughout this book.</w:t>
      </w:r>
    </w:p>
    <w:p>
      <w:r>
        <w:t>Among the constitutive models available for biological soft tissues, the Holzapfel-Gasser-Ogden (HGO) model has emerged as the standard for corneal biomechanics (Holzapfel et al., 2000; Pandolfi &amp; Manganiello, 2006; Nguyen et al., 2018). The HGO model was originally developed for arterial wall mechanics but is well suited to any fiber-reinforced tissue where fibers are embedded in a softer ground substance.</w:t>
      </w:r>
    </w:p>
    <w:p>
      <w:r>
        <w:t>The strain energy function is:</w:t>
      </w:r>
    </w:p>
    <w:p>
      <w:pPr>
        <w:pStyle w:val="CodeBlock"/>
      </w:pPr>
      <w:r>
        <w:t>Ψ = c(Ī₁ - 3) + (k₁/2k₂) Σᵢ {exp[k₂⟨κ(Ī₁-3) + (1-3κ)(Ī₄ᵢ-1)⟩²] - 1}</w:t>
      </w:r>
    </w:p>
    <w:p>
      <w:r>
        <w:t>where:</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Parameter</w:t>
            </w:r>
          </w:p>
        </w:tc>
        <w:tc>
          <w:tcPr>
            <w:tcW w:type="dxa" w:w="2197"/>
          </w:tcPr>
          <w:p>
            <w:r>
              <w:rPr>
                <w:b/>
                <w:sz w:val="18"/>
              </w:rPr>
              <w:t>Symbol</w:t>
            </w:r>
          </w:p>
        </w:tc>
        <w:tc>
          <w:tcPr>
            <w:tcW w:type="dxa" w:w="2197"/>
          </w:tcPr>
          <w:p>
            <w:r>
              <w:rPr>
                <w:b/>
                <w:sz w:val="18"/>
              </w:rPr>
              <w:t>Value (FEBio)</w:t>
            </w:r>
          </w:p>
        </w:tc>
        <w:tc>
          <w:tcPr>
            <w:tcW w:type="dxa" w:w="2197"/>
          </w:tcPr>
          <w:p>
            <w:r>
              <w:rPr>
                <w:b/>
                <w:sz w:val="18"/>
              </w:rPr>
              <w:t>Physical Meaning</w:t>
            </w:r>
          </w:p>
        </w:tc>
      </w:tr>
      <w:tr>
        <w:tc>
          <w:tcPr>
            <w:tcW w:type="dxa" w:w="2197"/>
          </w:tcPr>
          <w:p>
            <w:r>
              <w:rPr>
                <w:sz w:val="18"/>
              </w:rPr>
              <w:t>Matrix shear modulus</w:t>
            </w:r>
          </w:p>
        </w:tc>
        <w:tc>
          <w:tcPr>
            <w:tcW w:type="dxa" w:w="2197"/>
          </w:tcPr>
          <w:p>
            <w:r>
              <w:rPr>
                <w:sz w:val="18"/>
              </w:rPr>
              <w:t>c</w:t>
            </w:r>
          </w:p>
        </w:tc>
        <w:tc>
          <w:tcPr>
            <w:tcW w:type="dxa" w:w="2197"/>
          </w:tcPr>
          <w:p>
            <w:r>
              <w:rPr>
                <w:sz w:val="18"/>
              </w:rPr>
              <w:t>0.05 MPa</w:t>
            </w:r>
          </w:p>
        </w:tc>
        <w:tc>
          <w:tcPr>
            <w:tcW w:type="dxa" w:w="2197"/>
          </w:tcPr>
          <w:p>
            <w:r>
              <w:rPr>
                <w:sz w:val="18"/>
              </w:rPr>
              <w:t>Stiffness of the ground substance (proteoglycan matrix without fibers)</w:t>
            </w:r>
          </w:p>
        </w:tc>
      </w:tr>
      <w:tr>
        <w:tc>
          <w:tcPr>
            <w:tcW w:type="dxa" w:w="2197"/>
          </w:tcPr>
          <w:p>
            <w:r>
              <w:rPr>
                <w:sz w:val="18"/>
              </w:rPr>
              <w:t>Fiber stiffness</w:t>
            </w:r>
          </w:p>
        </w:tc>
        <w:tc>
          <w:tcPr>
            <w:tcW w:type="dxa" w:w="2197"/>
          </w:tcPr>
          <w:p>
            <w:r>
              <w:rPr>
                <w:sz w:val="18"/>
              </w:rPr>
              <w:t>k₁</w:t>
            </w:r>
          </w:p>
        </w:tc>
        <w:tc>
          <w:tcPr>
            <w:tcW w:type="dxa" w:w="2197"/>
          </w:tcPr>
          <w:p>
            <w:r>
              <w:rPr>
                <w:sz w:val="18"/>
              </w:rPr>
              <w:t>0.22 MPa</w:t>
            </w:r>
          </w:p>
        </w:tc>
        <w:tc>
          <w:tcPr>
            <w:tcW w:type="dxa" w:w="2197"/>
          </w:tcPr>
          <w:p>
            <w:r>
              <w:rPr>
                <w:sz w:val="18"/>
              </w:rPr>
              <w:t>Collagen fiber stiffness at small strain</w:t>
            </w:r>
          </w:p>
        </w:tc>
      </w:tr>
      <w:tr>
        <w:tc>
          <w:tcPr>
            <w:tcW w:type="dxa" w:w="2197"/>
          </w:tcPr>
          <w:p>
            <w:r>
              <w:rPr>
                <w:sz w:val="18"/>
              </w:rPr>
              <w:t>Fiber nonlinearity</w:t>
            </w:r>
          </w:p>
        </w:tc>
        <w:tc>
          <w:tcPr>
            <w:tcW w:type="dxa" w:w="2197"/>
          </w:tcPr>
          <w:p>
            <w:r>
              <w:rPr>
                <w:sz w:val="18"/>
              </w:rPr>
              <w:t>k₂</w:t>
            </w:r>
          </w:p>
        </w:tc>
        <w:tc>
          <w:tcPr>
            <w:tcW w:type="dxa" w:w="2197"/>
          </w:tcPr>
          <w:p>
            <w:r>
              <w:rPr>
                <w:sz w:val="18"/>
              </w:rPr>
              <w:t>100 (dimensionless)</w:t>
            </w:r>
          </w:p>
        </w:tc>
        <w:tc>
          <w:tcPr>
            <w:tcW w:type="dxa" w:w="2197"/>
          </w:tcPr>
          <w:p>
            <w:r>
              <w:rPr>
                <w:sz w:val="18"/>
              </w:rPr>
              <w:t>Rate of exponential stiffness increase; larger values → sharper J-curve</w:t>
            </w:r>
          </w:p>
        </w:tc>
      </w:tr>
      <w:tr>
        <w:tc>
          <w:tcPr>
            <w:tcW w:type="dxa" w:w="2197"/>
          </w:tcPr>
          <w:p>
            <w:r>
              <w:rPr>
                <w:sz w:val="18"/>
              </w:rPr>
              <w:t>Fiber dispersion</w:t>
            </w:r>
          </w:p>
        </w:tc>
        <w:tc>
          <w:tcPr>
            <w:tcW w:type="dxa" w:w="2197"/>
          </w:tcPr>
          <w:p>
            <w:r>
              <w:rPr>
                <w:sz w:val="18"/>
              </w:rPr>
              <w:t>κ</w:t>
            </w:r>
          </w:p>
        </w:tc>
        <w:tc>
          <w:tcPr>
            <w:tcW w:type="dxa" w:w="2197"/>
          </w:tcPr>
          <w:p>
            <w:r>
              <w:rPr>
                <w:sz w:val="18"/>
              </w:rPr>
              <w:t>0.09 (dimensionless)</w:t>
            </w:r>
          </w:p>
        </w:tc>
        <w:tc>
          <w:tcPr>
            <w:tcW w:type="dxa" w:w="2197"/>
          </w:tcPr>
          <w:p>
            <w:r>
              <w:rPr>
                <w:sz w:val="18"/>
              </w:rPr>
              <w:t>Degree of fiber alignment: 0 = perfectly aligned; 1/3 = random (isotropic)</w:t>
            </w:r>
          </w:p>
        </w:tc>
      </w:tr>
      <w:tr>
        <w:tc>
          <w:tcPr>
            <w:tcW w:type="dxa" w:w="2197"/>
          </w:tcPr>
          <w:p>
            <w:r>
              <w:rPr>
                <w:sz w:val="18"/>
              </w:rPr>
              <w:t>Bulk modulus</w:t>
            </w:r>
          </w:p>
        </w:tc>
        <w:tc>
          <w:tcPr>
            <w:tcW w:type="dxa" w:w="2197"/>
          </w:tcPr>
          <w:p>
            <w:r>
              <w:rPr>
                <w:sz w:val="18"/>
              </w:rPr>
              <w:t>k</w:t>
            </w:r>
          </w:p>
        </w:tc>
        <w:tc>
          <w:tcPr>
            <w:tcW w:type="dxa" w:w="2197"/>
          </w:tcPr>
          <w:p>
            <w:r>
              <w:rPr>
                <w:sz w:val="18"/>
              </w:rPr>
              <w:t>4.76 MPa</w:t>
            </w:r>
          </w:p>
        </w:tc>
        <w:tc>
          <w:tcPr>
            <w:tcW w:type="dxa" w:w="2197"/>
          </w:tcPr>
          <w:p>
            <w:r>
              <w:rPr>
                <w:sz w:val="18"/>
              </w:rPr>
              <w:t>Resistance to volumetric deformation (near-incompressibility)</w:t>
            </w:r>
          </w:p>
        </w:tc>
      </w:tr>
    </w:tbl>
    <w:p>
      <w:r/>
      <w:r>
        <w:rPr>
          <w:b/>
        </w:rPr>
        <w:t>Table 1.1.</w:t>
      </w:r>
      <w:r>
        <w:t xml:space="preserve"> HGO material parameters used in FEBio 4.12 simulations throughout this book. Values from Nguyen et al. (2018).</w:t>
      </w:r>
    </w:p>
    <w:p>
      <w:r/>
      <w:r>
        <w:rPr>
          <w:b/>
        </w:rPr>
        <w:t>Clinical interpretation of each parameter:</w:t>
      </w:r>
      <w:r/>
    </w:p>
    <w:p>
      <w:pPr>
        <w:pStyle w:val="ListBullet"/>
      </w:pPr>
      <w:r/>
      <w:r>
        <w:rPr>
          <w:b/>
        </w:rPr>
        <w:t>c = 0.05 MPa</w:t>
      </w:r>
      <w:r>
        <w:t xml:space="preserve"> represents the baseline stiffness of the cornea </w:t>
      </w:r>
      <w:r>
        <w:rPr>
          <w:i/>
        </w:rPr>
        <w:t>without</w:t>
      </w:r>
      <w:r>
        <w:t xml:space="preserve"> the contribution of collagen fibers — only the proteoglycan matrix. It is relatively soft, comparable to a firm gel. In keratoconus, matrix degradation further reduces c, making the tissue more compliant.</w:t>
      </w:r>
    </w:p>
    <w:p>
      <w:pPr>
        <w:pStyle w:val="ListBullet"/>
      </w:pPr>
      <w:r/>
      <w:r>
        <w:rPr>
          <w:b/>
        </w:rPr>
        <w:t>k₁ = 0.22 MPa</w:t>
      </w:r>
      <w:r>
        <w:t xml:space="preserve"> captures the stiffness contributed by collagen fibers. This is the parameter most directly affected by collagen cross-linking (CXL), which increases k₁ by an estimated 50–200% (Wollensak et al., 2003).</w:t>
      </w:r>
    </w:p>
    <w:p>
      <w:pPr>
        <w:pStyle w:val="ListBullet"/>
      </w:pPr>
      <w:r/>
      <w:r>
        <w:rPr>
          <w:b/>
        </w:rPr>
        <w:t>k₂ = 100</w:t>
      </w:r>
      <w:r>
        <w:t xml:space="preserve"> controls how rapidly the tissue becomes stiffer as strain increases. A value of 100 simulates a strongly nonlinear J-curve — the cornea is compliant at physiological strains but resists large deformations. This is a protective mechanism: the tissue accommodates small IOP fluctuations but resists rupture at high pressures.</w:t>
      </w:r>
    </w:p>
    <w:p>
      <w:pPr>
        <w:pStyle w:val="ListBullet"/>
      </w:pPr>
      <w:r/>
      <w:r>
        <w:rPr>
          <w:b/>
        </w:rPr>
        <w:t>κ = 0.09</w:t>
      </w:r>
      <w:r>
        <w:t xml:space="preserve"> indicates that fibers are </w:t>
      </w:r>
      <w:r>
        <w:rPr>
          <w:i/>
        </w:rPr>
        <w:t>mostly</w:t>
      </w:r>
      <w:r>
        <w:t xml:space="preserve"> aligned (κ = 0 would mean perfectly aligned; κ = 1/3 would mean perfectly random). A value of 0.09 is consistent with WAXS data showing preferential, but not exclusive, tangential orientation in the central cornea.</w:t>
      </w:r>
    </w:p>
    <w:p>
      <w:pPr>
        <w:pStyle w:val="ListBullet"/>
      </w:pPr>
      <w:r/>
      <w:r>
        <w:rPr>
          <w:b/>
        </w:rPr>
        <w:t>k = 4.76 MPa</w:t>
      </w:r>
      <w:r>
        <w:t xml:space="preserve"> enforces near-incompressibility, appropriate for a hydrated biological tissue.</w:t>
      </w:r>
    </w:p>
    <w:p>
      <w:r>
        <w:t>The Macaulay brackets ⟨·⟩ in the equation ensure that fibers contribute to stiffness only when stretched, not when compressed — a physically realistic condition since collagen fibers buckle under compression and do not carry load.</w:t>
      </w:r>
    </w:p>
    <w:p>
      <w:r>
        <w:t>The first invariant Ī₁ captures isotropic (matrix) deformation, while the pseudo-invariants Ī₄ᵢ capture the stretch specifically in the fiber direction. This separation is the mathematical embodiment of the stroma's composite nature: matrix plus fibers.</w:t>
      </w:r>
    </w:p>
    <w:p>
      <w:pPr>
        <w:pStyle w:val="Heading2"/>
      </w:pPr>
      <w:r>
        <w:t>1.4 The Dupps Decompensation Cycle</w:t>
      </w:r>
    </w:p>
    <w:p>
      <w:pPr>
        <w:pStyle w:val="BlockQuote"/>
      </w:pPr>
      <w:r>
        <w:t>**Key Point:** The Dupps cycle is why keratoconus progresses. It is a vicious cycle: weakness → deformation → more stress → more weakness. It is also why CXL works (it breaks the cycle by reinforcing fibers) and why ICRS works (it redistributes stresses).</w:t>
      </w:r>
    </w:p>
    <w:p>
      <w:r>
        <w:t xml:space="preserve">Perhaps the most important conceptual advance in understanding keratoconus came from Dupps and Roberts, who formalized the </w:t>
      </w:r>
      <w:r>
        <w:rPr>
          <w:b/>
        </w:rPr>
        <w:t>biomechanical decompensation cycle</w:t>
      </w:r>
      <w:r>
        <w:t xml:space="preserve"> — a positive feedback cycle that explains why keratoconus is progressive and why isolated geometric descriptors are insufficient (Dupps &amp; Roberts, 2001; Dupps &amp; Roberts, 2014).</w:t>
      </w:r>
    </w:p>
    <w:p>
      <w:pPr>
        <w:pStyle w:val="Heading3"/>
      </w:pPr>
      <w:r>
        <w:t>The Cycle</w:t>
      </w:r>
    </w:p>
    <w:p>
      <w:r>
        <w:t>The cycle proceeds as follows:</w:t>
      </w:r>
    </w:p>
    <w:p>
      <w:pPr>
        <w:pStyle w:val="ListNumber"/>
      </w:pPr>
      <w:r/>
      <w:r>
        <w:rPr>
          <w:b/>
        </w:rPr>
        <w:t>Enzymatic weakening:</w:t>
      </w:r>
      <w:r>
        <w:t xml:space="preserve"> Elevated matrix metalloproteinase (MMP) activity — particularly MMP-2 and MMP-9 — degrades collagen and proteoglycans in a focal region of the stroma (Seppälä et al., 2006). This may be initiated by genetic predisposition, environmental factors (eye rubbing, atopy), or a combination of both.</w:t>
      </w:r>
    </w:p>
    <w:p>
      <w:pPr>
        <w:pStyle w:val="ListNumber"/>
      </w:pPr>
      <w:r/>
      <w:r>
        <w:rPr>
          <w:b/>
        </w:rPr>
        <w:t>Increased local compliance:</w:t>
      </w:r>
      <w:r>
        <w:t xml:space="preserve"> The degraded region becomes more compliant (lower c, lower k₁ in HGO terms). Under the same IOP, it deforms more than the surrounding tissue.</w:t>
      </w:r>
    </w:p>
    <w:p>
      <w:pPr>
        <w:pStyle w:val="ListNumber"/>
      </w:pPr>
      <w:r/>
      <w:r>
        <w:rPr>
          <w:b/>
        </w:rPr>
        <w:t>Stress redistribution:</w:t>
      </w:r>
      <w:r>
        <w:t xml:space="preserve"> According to Laplace's relation for a pressurized shell (σ = PR/2t, where P is pressure, R is radius, and t is thickness), the increased curvature at the weakened zone increases local membrane stress. Thinning (reduced t) further elevates stress.</w:t>
      </w:r>
    </w:p>
    <w:p>
      <w:pPr>
        <w:pStyle w:val="ListNumber"/>
      </w:pPr>
      <w:r/>
      <w:r>
        <w:rPr>
          <w:b/>
        </w:rPr>
        <w:t>Further deformation:</w:t>
      </w:r>
      <w:r>
        <w:t xml:space="preserve"> Higher stress in a weaker material produces more deformation — leading to further steepening and thinning.</w:t>
      </w:r>
    </w:p>
    <w:p>
      <w:pPr>
        <w:pStyle w:val="ListNumber"/>
      </w:pPr>
      <w:r/>
      <w:r>
        <w:rPr>
          <w:b/>
        </w:rPr>
        <w:t>More enzymatic activity:</w:t>
      </w:r>
      <w:r>
        <w:t xml:space="preserve"> Mechanical strain stimulates MMP expression through mechanotransduction pathways in keratocytes. Elevated strain in the steepened zone further promotes enzymatic degradation.</w:t>
      </w:r>
    </w:p>
    <w:p>
      <w:pPr>
        <w:pStyle w:val="ListNumber"/>
      </w:pPr>
      <w:r/>
      <w:r>
        <w:rPr>
          <w:b/>
        </w:rPr>
        <w:t>Return to step 1:</w:t>
      </w:r>
      <w:r>
        <w:t xml:space="preserve"> The cycle repeats, creating progressive ectasia.</w:t>
      </w:r>
    </w:p>
    <w:p>
      <w:r>
        <w:t xml:space="preserve">This is a classic </w:t>
      </w:r>
      <w:r>
        <w:rPr>
          <w:b/>
        </w:rPr>
        <w:t>positive feedback cycle</w:t>
      </w:r>
      <w:r>
        <w:t xml:space="preserve"> — a vicious circle that, once initiated, drives disease progression until enzymatic stimulus attenuates (which may occur naturally in the fifth decade of life) or an external intervention breaks the cycle (such as CXL, which increases k₁ and interrupts the cycle at step 3).</w:t>
      </w:r>
    </w:p>
    <w:p>
      <w:pPr>
        <w:pStyle w:val="Heading3"/>
      </w:pPr>
      <w:r>
        <w:t>The Role of IOP</w:t>
      </w:r>
    </w:p>
    <w:p>
      <w:r>
        <w:t xml:space="preserve">A critical insight from the decompensation cycle is that </w:t>
      </w:r>
      <w:r>
        <w:rPr>
          <w:b/>
        </w:rPr>
        <w:t>IOP is the mechanical engine of keratoconus progression</w:t>
      </w:r>
      <w:r>
        <w:t xml:space="preserve"> — not because IOP is elevated (it is typically normal), but because even normal IOP (15 mmHg) generates significant stress in a weakened stroma. Our finite element simulations confirm this quantitatively: a baseline cornea under a 15 mmHg IOP load shows an apical displacement of </w:t>
      </w:r>
      <w:r>
        <w:rPr>
          <w:b/>
        </w:rPr>
        <w:t>360.9 μm</w:t>
      </w:r>
      <w:r>
        <w:t xml:space="preserve"> — a substantial deformation even in a biomechanically normal stroma. In keratoconus, where regional weakening reduces local stiffness by 30–60% (Scarcelli et al., 2015), the same IOP produces disproportionately larger local deformations.</w:t>
      </w:r>
    </w:p>
    <w:p>
      <w:r>
        <w:t>This is why IOP reduction (though theoretically attractive) is not a practical treatment for keratoconus — IOP is not the problem; material weakness is. The therapeutic target should be the material properties (CXL) or the stress distribution (ICRS).</w:t>
      </w:r>
    </w:p>
    <w:p>
      <w:pPr>
        <w:pStyle w:val="Heading2"/>
      </w:pPr>
      <w:r>
        <w:t>1.5 Keratoconus: From Geometry to Biomechanics</w:t>
      </w:r>
    </w:p>
    <w:p>
      <w:pPr>
        <w:pStyle w:val="Heading3"/>
      </w:pPr>
      <w:r>
        <w:t>Geometric Descriptors and Their Limitations</w:t>
      </w:r>
    </w:p>
    <w:p>
      <w:r>
        <w:t>The standard clinical parameters for keratoconus — K-steep, K-flat, Kmax, corneal astigmatism, Q-value, thinnest pachymetry — are geometric descriptors. They describe the current shape and thickness of the cornea but provide no information about:</w:t>
      </w:r>
    </w:p>
    <w:p>
      <w:pPr>
        <w:pStyle w:val="ListBullet"/>
      </w:pPr>
      <w:r>
        <w:t xml:space="preserve">The underlying </w:t>
      </w:r>
      <w:r>
        <w:rPr>
          <w:b/>
        </w:rPr>
        <w:t>material stiffness</w:t>
      </w:r>
      <w:r>
        <w:t xml:space="preserve"> (which varies regionally and between patients)</w:t>
      </w:r>
    </w:p>
    <w:p>
      <w:pPr>
        <w:pStyle w:val="ListBullet"/>
      </w:pPr>
      <w:r>
        <w:t xml:space="preserve">The </w:t>
      </w:r>
      <w:r>
        <w:rPr>
          <w:b/>
        </w:rPr>
        <w:t>stress distribution</w:t>
      </w:r>
      <w:r>
        <w:t xml:space="preserve"> (which depends simultaneously on geometry, material properties, and IOP)</w:t>
      </w:r>
    </w:p>
    <w:p>
      <w:pPr>
        <w:pStyle w:val="ListBullet"/>
      </w:pPr>
      <w:r>
        <w:t xml:space="preserve">The </w:t>
      </w:r>
      <w:r>
        <w:rPr>
          <w:b/>
        </w:rPr>
        <w:t>propensity for progression</w:t>
      </w:r>
      <w:r>
        <w:t xml:space="preserve"> (which depends on the interaction between stress and material degradation)</w:t>
      </w:r>
    </w:p>
    <w:p>
      <w:r>
        <w:t>Two corneas with identical K-steep values of 48.0 D may have fundamentally different biomechanical profiles. One may have uniform material properties with a relatively recent and still-progressing ectasia; the other may have regionally compensated stiffness (e.g., from prior CXL or natural cross-link accumulation) with a stable ectasia. A nomogram treats them identically. Mechanics does not.</w:t>
      </w:r>
    </w:p>
    <w:p>
      <w:pPr>
        <w:pStyle w:val="Heading3"/>
      </w:pPr>
      <w:r>
        <w:t>Evidence from Brillouin Microscopy</w:t>
      </w:r>
    </w:p>
    <w:p>
      <w:r>
        <w:t>The most direct evidence for regional stiffness variation in keratoconus comes from Brillouin microscopy, a technique that measures the local longitudinal modulus in living tissues without contact (Scarcelli et al., 2012). Studies by Scarcelli, Yun, and collaborators demonstrated that:</w:t>
      </w:r>
    </w:p>
    <w:p>
      <w:pPr>
        <w:pStyle w:val="ListBullet"/>
      </w:pPr>
      <w:r>
        <w:t xml:space="preserve">The Brillouin frequency shift (a proxy for tissue stiffness) is </w:t>
      </w:r>
      <w:r>
        <w:rPr>
          <w:b/>
        </w:rPr>
        <w:t>reduced by 0.1–0.3 GHz</w:t>
      </w:r>
      <w:r>
        <w:t xml:space="preserve"> in the cone region compared to surrounding tissue (Scarcelli et al., 2015).</w:t>
      </w:r>
    </w:p>
    <w:p>
      <w:pPr>
        <w:pStyle w:val="ListBullet"/>
      </w:pPr>
      <w:r>
        <w:t xml:space="preserve">This reduction is present even in </w:t>
      </w:r>
      <w:r>
        <w:rPr>
          <w:b/>
        </w:rPr>
        <w:t>subclinical keratoconus</w:t>
      </w:r>
      <w:r>
        <w:t xml:space="preserve"> — eyes with normal topography but suspicious posterior elevation — suggesting that material weakness precedes geometric alteration.</w:t>
      </w:r>
    </w:p>
    <w:p>
      <w:pPr>
        <w:pStyle w:val="ListBullet"/>
      </w:pPr>
      <w:r>
        <w:t>The spatial distribution of the Brillouin reduction correlates with the steepening zone but is not identical to it, reinforcing the distinction between geometry and mechanics.</w:t>
      </w:r>
    </w:p>
    <w:p>
      <w:pPr>
        <w:pStyle w:val="Heading3"/>
      </w:pPr>
      <w:r>
        <w:t>The Ocular Response Analyzer and Corvis ST</w:t>
      </w:r>
    </w:p>
    <w:p>
      <w:r>
        <w:t>In clinical practice, the Ocular Response Analyzer (ORA, Reichert) and Corvis ST (Oculus) provide indirect measurements of corneal biomechanics through air-puff tonometry. The key parameters — Corneal Hysteresis (CH), Corneal Resistance Factor (CRF), and the Corvis Biomechanical Index (CBI) — capture aspects of the viscoelastic response to deformation (Luce, 2005; Roberts &amp; Dupps, 2014).</w:t>
      </w:r>
    </w:p>
    <w:p>
      <w:r>
        <w:t xml:space="preserve">In keratoconus, CH and CRF are consistently reduced, and this reduction often </w:t>
      </w:r>
      <w:r>
        <w:rPr>
          <w:b/>
        </w:rPr>
        <w:t>precedes detectable topographic changes</w:t>
      </w:r>
      <w:r>
        <w:t xml:space="preserve"> (Fontes et al., 2010). This temporal sequence — biomechanical alteration before geometric alteration — is strong evidence that the disease is fundamentally biomechanical and that geometric descriptors are </w:t>
      </w:r>
      <w:r>
        <w:rPr>
          <w:i/>
        </w:rPr>
        <w:t>lagging indicators</w:t>
      </w:r>
      <w:r>
        <w:t xml:space="preserve"> of an ongoing mechanical process.</w:t>
      </w:r>
    </w:p>
    <w:p>
      <w:pPr>
        <w:pStyle w:val="Heading3"/>
      </w:pPr>
      <w:r>
        <w:t>The Case for Biomechanical Assessment</w:t>
      </w:r>
    </w:p>
    <w:p>
      <w:r>
        <w:t xml:space="preserve">If geometric descriptors are lagging indicators and biomechanical assessment can detect abnormalities earlier, it follows that any intervention planning that relies exclusively on geometry is inherently delayed — it responds to the </w:t>
      </w:r>
      <w:r>
        <w:rPr>
          <w:i/>
        </w:rPr>
        <w:t>consequences</w:t>
      </w:r>
      <w:r>
        <w:t xml:space="preserve"> of the disease rather than to its </w:t>
      </w:r>
      <w:r>
        <w:rPr>
          <w:i/>
        </w:rPr>
        <w:t>current state</w:t>
      </w:r>
      <w:r>
        <w:t>. The clinical implication is profound: rational ICRS planning must incorporate biomechanical assessment, not depend exclusively on keratometric and pachymetric data.</w:t>
      </w:r>
    </w:p>
    <w:p>
      <w:pPr>
        <w:pStyle w:val="Heading2"/>
      </w:pPr>
      <w:r>
        <w:t>1.6 Implications for ICRS Planning</w:t>
      </w:r>
    </w:p>
    <w:p>
      <w:r>
        <w:t>If keratoconus is fundamentally a biomechanical disease, it follows logically that an effective intervention must address the biomechanics — not merely the geometry. The ICRS, as a structural implant inserted into the stroma, is inherently a biomechanical intervention. It modifies the stress distribution, alters the displacement field, and constrains stromal deformation at the implantation site. However, current planning approaches treat the procedure as if it were a geometric intervention — selecting ring parameters based solely on topographic measurements.</w:t>
      </w:r>
    </w:p>
    <w:p>
      <w:r>
        <w:t>The disconnect is evident. Current nomograms prescribe ring thickness based on K-steep or Q-value, implicitly assuming that keratometry captures enough of the biomechanical state to predict the ring's effect. But our FEM simulations reveal that the ICRS effect depends on at least three independent mechanical variables — radial displacement (VR), tangential stress redistribution (VT), and asymmetric torque (Vτ) — each modulated by different ring parameters. Thickness controls VR; arc length controls VT; ring asymmetry controls Vτ. A nomogram that maps K-steep to thickness captures only one of these three mechanisms, and even that imperfectly.</w:t>
      </w:r>
    </w:p>
    <w:p>
      <w:r>
        <w:t xml:space="preserve">The AVBC framework, introduced in the following chapters, proposes to bridge this gap. By decomposing the ICRS effect into three biomechanical vectors, each linked to a specific ring parameter, it provides a language for mechanistic planning. The surgeon who understands VR, VT, and Vτ can reason about </w:t>
      </w:r>
      <w:r>
        <w:rPr>
          <w:i/>
        </w:rPr>
        <w:t>why</w:t>
      </w:r>
      <w:r>
        <w:t xml:space="preserve"> a particular ring configuration produces a specific effect — rather than consulting a look-up table and hoping for the best outcome.</w:t>
      </w:r>
    </w:p>
    <w:p>
      <w:pPr>
        <w:pStyle w:val="Heading2"/>
      </w:pPr>
      <w:r>
        <w:t>1.7 Summary</w:t>
      </w:r>
    </w:p>
    <w:p>
      <w:pPr>
        <w:pStyle w:val="ListBullet"/>
      </w:pPr>
      <w:r>
        <w:t xml:space="preserve">Keratoconus is a </w:t>
      </w:r>
      <w:r>
        <w:rPr>
          <w:b/>
        </w:rPr>
        <w:t>biomechanical disease</w:t>
      </w:r>
      <w:r>
        <w:t>, not merely a geometric deformity. The underlying process involves collagen and matrix degradation, stress redistribution, and a positive feedback cycle (the Dupps decompensation cycle).</w:t>
      </w:r>
    </w:p>
    <w:p>
      <w:pPr>
        <w:pStyle w:val="ListBullet"/>
      </w:pPr>
      <w:r>
        <w:t xml:space="preserve">The corneal stroma is an </w:t>
      </w:r>
      <w:r>
        <w:rPr>
          <w:b/>
        </w:rPr>
        <w:t>anisotropic, hyperelastic, fiber-reinforced composite</w:t>
      </w:r>
      <w:r>
        <w:t>. Its mechanical behavior is best captured by the HGO constitutive model, with parameters c = 0.05 MPa (matrix), k₁ = 0.22 MPa (fiber), k₂ = 100 (nonlinearity), and κ = 0.09 (dispersion).</w:t>
      </w:r>
    </w:p>
    <w:p>
      <w:pPr>
        <w:pStyle w:val="ListBullet"/>
      </w:pPr>
      <w:r/>
      <w:r>
        <w:rPr>
          <w:b/>
        </w:rPr>
        <w:t>Geometric descriptors</w:t>
      </w:r>
      <w:r>
        <w:t xml:space="preserve"> (K-steep, Q-value, pachymetry) are lagging indicators that describe consequences, not causes. Biomechanical assessment — via Brillouin microscopy, ORA/Corvis, or constitutive modeling — provides earlier and more informative characterization.</w:t>
      </w:r>
    </w:p>
    <w:p>
      <w:pPr>
        <w:pStyle w:val="ListBullet"/>
      </w:pPr>
      <w:r>
        <w:t xml:space="preserve">Even </w:t>
      </w:r>
      <w:r>
        <w:rPr>
          <w:b/>
        </w:rPr>
        <w:t>normal IOP (15 mmHg)</w:t>
      </w:r>
      <w:r>
        <w:t xml:space="preserve"> produces significant corneal deformation (uz = 360.9 μm in our FEM baseline), highlighting IOP as the mechanical engine of ectatic progression.</w:t>
      </w:r>
    </w:p>
    <w:p>
      <w:pPr>
        <w:pStyle w:val="ListBullet"/>
      </w:pPr>
      <w:r/>
      <w:r>
        <w:rPr>
          <w:b/>
        </w:rPr>
        <w:t>Rational ICRS planning</w:t>
      </w:r>
      <w:r>
        <w:t xml:space="preserve"> demands understanding of the biomechanical mechanisms of the intervention — not merely the geometric outcome. This is the premise of the AVBC framework developed in subsequent chapters.</w:t>
      </w:r>
    </w:p>
    <w:p>
      <w:pPr>
        <w:pStyle w:val="Heading3"/>
      </w:pPr>
      <w:r>
        <w:t>Summary Table: Key Concepts for the Clinician</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Concept</w:t>
            </w:r>
          </w:p>
        </w:tc>
        <w:tc>
          <w:tcPr>
            <w:tcW w:type="dxa" w:w="2929"/>
          </w:tcPr>
          <w:p>
            <w:r>
              <w:rPr>
                <w:b/>
                <w:sz w:val="18"/>
              </w:rPr>
              <w:t>What It Is</w:t>
            </w:r>
          </w:p>
        </w:tc>
        <w:tc>
          <w:tcPr>
            <w:tcW w:type="dxa" w:w="2929"/>
          </w:tcPr>
          <w:p>
            <w:r>
              <w:rPr>
                <w:b/>
                <w:sz w:val="18"/>
              </w:rPr>
              <w:t>Why It Matters to the Surgeon</w:t>
            </w:r>
          </w:p>
        </w:tc>
      </w:tr>
      <w:tr>
        <w:tc>
          <w:tcPr>
            <w:tcW w:type="dxa" w:w="2929"/>
          </w:tcPr>
          <w:p>
            <w:r>
              <w:rPr>
                <w:sz w:val="18"/>
              </w:rPr>
              <w:t>HGO Model</w:t>
            </w:r>
          </w:p>
        </w:tc>
        <w:tc>
          <w:tcPr>
            <w:tcW w:type="dxa" w:w="2929"/>
          </w:tcPr>
          <w:p>
            <w:r>
              <w:rPr>
                <w:sz w:val="18"/>
              </w:rPr>
              <w:t>Equation describing corneal mechanics as a fiber+matrix composite</w:t>
            </w:r>
          </w:p>
        </w:tc>
        <w:tc>
          <w:tcPr>
            <w:tcW w:type="dxa" w:w="2929"/>
          </w:tcPr>
          <w:p>
            <w:r>
              <w:rPr>
                <w:sz w:val="18"/>
              </w:rPr>
              <w:t>The 5 parameters (c, k₁, k₂, κ, k) determine how the cornea responds to the ring</w:t>
            </w:r>
          </w:p>
        </w:tc>
      </w:tr>
      <w:tr>
        <w:tc>
          <w:tcPr>
            <w:tcW w:type="dxa" w:w="2929"/>
          </w:tcPr>
          <w:p>
            <w:r>
              <w:rPr>
                <w:sz w:val="18"/>
              </w:rPr>
              <w:t>c = 0.05 MPa</w:t>
            </w:r>
          </w:p>
        </w:tc>
        <w:tc>
          <w:tcPr>
            <w:tcW w:type="dxa" w:w="2929"/>
          </w:tcPr>
          <w:p>
            <w:r>
              <w:rPr>
                <w:sz w:val="18"/>
              </w:rPr>
              <w:t>Matrix shear modulus (gel without fibers)</w:t>
            </w:r>
          </w:p>
        </w:tc>
        <w:tc>
          <w:tcPr>
            <w:tcW w:type="dxa" w:w="2929"/>
          </w:tcPr>
          <w:p>
            <w:r>
              <w:rPr>
                <w:sz w:val="18"/>
              </w:rPr>
              <w:t>When degraded in keratoconus, the cornea becomes softer — this is what CXL does not directly reverse</w:t>
            </w:r>
          </w:p>
        </w:tc>
      </w:tr>
      <w:tr>
        <w:tc>
          <w:tcPr>
            <w:tcW w:type="dxa" w:w="2929"/>
          </w:tcPr>
          <w:p>
            <w:r>
              <w:rPr>
                <w:sz w:val="18"/>
              </w:rPr>
              <w:t>k₁ = 0.22 MPa</w:t>
            </w:r>
          </w:p>
        </w:tc>
        <w:tc>
          <w:tcPr>
            <w:tcW w:type="dxa" w:w="2929"/>
          </w:tcPr>
          <w:p>
            <w:r>
              <w:rPr>
                <w:sz w:val="18"/>
              </w:rPr>
              <w:t>Collagen fiber stiffness</w:t>
            </w:r>
          </w:p>
        </w:tc>
        <w:tc>
          <w:tcPr>
            <w:tcW w:type="dxa" w:w="2929"/>
          </w:tcPr>
          <w:p>
            <w:r>
              <w:rPr>
                <w:sz w:val="18"/>
              </w:rPr>
              <w:t>The parameter that CXL increases (50–200%); fiber reinforcement is the basis of stabilization</w:t>
            </w:r>
          </w:p>
        </w:tc>
      </w:tr>
      <w:tr>
        <w:tc>
          <w:tcPr>
            <w:tcW w:type="dxa" w:w="2929"/>
          </w:tcPr>
          <w:p>
            <w:r>
              <w:rPr>
                <w:sz w:val="18"/>
              </w:rPr>
              <w:t>k₂ = 100</w:t>
            </w:r>
          </w:p>
        </w:tc>
        <w:tc>
          <w:tcPr>
            <w:tcW w:type="dxa" w:w="2929"/>
          </w:tcPr>
          <w:p>
            <w:r>
              <w:rPr>
                <w:sz w:val="18"/>
              </w:rPr>
              <w:t>Exponential stiffening rate</w:t>
            </w:r>
          </w:p>
        </w:tc>
        <w:tc>
          <w:tcPr>
            <w:tcW w:type="dxa" w:w="2929"/>
          </w:tcPr>
          <w:p>
            <w:r>
              <w:rPr>
                <w:sz w:val="18"/>
              </w:rPr>
              <w:t>Explains why the cornea accommodates normal IOP fluctuations but resists extreme deformation</w:t>
            </w:r>
          </w:p>
        </w:tc>
      </w:tr>
      <w:tr>
        <w:tc>
          <w:tcPr>
            <w:tcW w:type="dxa" w:w="2929"/>
          </w:tcPr>
          <w:p>
            <w:r>
              <w:rPr>
                <w:sz w:val="18"/>
              </w:rPr>
              <w:t>κ = 0.09</w:t>
            </w:r>
          </w:p>
        </w:tc>
        <w:tc>
          <w:tcPr>
            <w:tcW w:type="dxa" w:w="2929"/>
          </w:tcPr>
          <w:p>
            <w:r>
              <w:rPr>
                <w:sz w:val="18"/>
              </w:rPr>
              <w:t>Fiber angular dispersion (0=aligned, 1/3=random)</w:t>
            </w:r>
          </w:p>
        </w:tc>
        <w:tc>
          <w:tcPr>
            <w:tcW w:type="dxa" w:w="2929"/>
          </w:tcPr>
          <w:p>
            <w:r>
              <w:rPr>
                <w:sz w:val="18"/>
              </w:rPr>
              <w:t>Mostly aligned fibers mean the ring works differently depending on orientation</w:t>
            </w:r>
          </w:p>
        </w:tc>
      </w:tr>
      <w:tr>
        <w:tc>
          <w:tcPr>
            <w:tcW w:type="dxa" w:w="2929"/>
          </w:tcPr>
          <w:p>
            <w:r>
              <w:rPr>
                <w:sz w:val="18"/>
              </w:rPr>
              <w:t>Dupps Cycle</w:t>
            </w:r>
          </w:p>
        </w:tc>
        <w:tc>
          <w:tcPr>
            <w:tcW w:type="dxa" w:w="2929"/>
          </w:tcPr>
          <w:p>
            <w:r>
              <w:rPr>
                <w:sz w:val="18"/>
              </w:rPr>
              <w:t>Positive feedback: weakness → deformation → more stress → more weakness</w:t>
            </w:r>
          </w:p>
        </w:tc>
        <w:tc>
          <w:tcPr>
            <w:tcW w:type="dxa" w:w="2929"/>
          </w:tcPr>
          <w:p>
            <w:r>
              <w:rPr>
                <w:sz w:val="18"/>
              </w:rPr>
              <w:t>Explains keratoconus progression and why CXL (reinforces fibers) and ICRS (redistributes stress) work</w:t>
            </w:r>
          </w:p>
        </w:tc>
      </w:tr>
      <w:tr>
        <w:tc>
          <w:tcPr>
            <w:tcW w:type="dxa" w:w="2929"/>
          </w:tcPr>
          <w:p>
            <w:r>
              <w:rPr>
                <w:sz w:val="18"/>
              </w:rPr>
              <w:t>Anisotropy</w:t>
            </w:r>
          </w:p>
        </w:tc>
        <w:tc>
          <w:tcPr>
            <w:tcW w:type="dxa" w:w="2929"/>
          </w:tcPr>
          <w:p>
            <w:r>
              <w:rPr>
                <w:sz w:val="18"/>
              </w:rPr>
              <w:t>Stiffness varies by direction and region</w:t>
            </w:r>
          </w:p>
        </w:tc>
        <w:tc>
          <w:tcPr>
            <w:tcW w:type="dxa" w:w="2929"/>
          </w:tcPr>
          <w:p>
            <w:r>
              <w:rPr>
                <w:sz w:val="18"/>
              </w:rPr>
              <w:t>The ring's effect depends on the local orientation of collagen fibers</w:t>
            </w:r>
          </w:p>
        </w:tc>
      </w:tr>
      <w:tr>
        <w:tc>
          <w:tcPr>
            <w:tcW w:type="dxa" w:w="2929"/>
          </w:tcPr>
          <w:p>
            <w:r>
              <w:rPr>
                <w:sz w:val="18"/>
              </w:rPr>
              <w:t>IOP as engine</w:t>
            </w:r>
          </w:p>
        </w:tc>
        <w:tc>
          <w:tcPr>
            <w:tcW w:type="dxa" w:w="2929"/>
          </w:tcPr>
          <w:p>
            <w:r>
              <w:rPr>
                <w:sz w:val="18"/>
              </w:rPr>
              <w:t>15 mmHg generates uz = 360.9 μm of central displacement</w:t>
            </w:r>
          </w:p>
        </w:tc>
        <w:tc>
          <w:tcPr>
            <w:tcW w:type="dxa" w:w="2929"/>
          </w:tcPr>
          <w:p>
            <w:r>
              <w:rPr>
                <w:sz w:val="18"/>
              </w:rPr>
              <w:t>Even normal IOP significantly deforms a weakened cornea</w:t>
            </w:r>
          </w:p>
        </w:tc>
      </w:tr>
      <w:tr>
        <w:tc>
          <w:tcPr>
            <w:tcW w:type="dxa" w:w="2929"/>
          </w:tcPr>
          <w:p>
            <w:r>
              <w:rPr>
                <w:sz w:val="18"/>
              </w:rPr>
              <w:t>Anterior vs posterior stroma</w:t>
            </w:r>
          </w:p>
        </w:tc>
        <w:tc>
          <w:tcPr>
            <w:tcW w:type="dxa" w:w="2929"/>
          </w:tcPr>
          <w:p>
            <w:r>
              <w:rPr>
                <w:sz w:val="18"/>
              </w:rPr>
              <w:t>Anterior 2-3× stiffer; posterior fails first in KC</w:t>
            </w:r>
          </w:p>
        </w:tc>
        <w:tc>
          <w:tcPr>
            <w:tcW w:type="dxa" w:w="2929"/>
          </w:tcPr>
          <w:p>
            <w:r>
              <w:rPr>
                <w:sz w:val="18"/>
              </w:rPr>
              <w:t>ICRS is implanted at 70–80% depth to interact with the load-bearing stroma</w:t>
            </w:r>
          </w:p>
        </w:tc>
      </w:tr>
    </w:tbl>
    <w:p>
      <w:pPr>
        <w:pStyle w:val="Heading2"/>
      </w:pPr>
      <w:r>
        <w:t>Didactic Summary</w:t>
      </w:r>
    </w:p>
    <w:p>
      <w:pPr>
        <w:pStyle w:val="ListBullet"/>
      </w:pPr>
      <w:r>
        <w:t xml:space="preserve">The cornea is a </w:t>
      </w:r>
      <w:r>
        <w:rPr>
          <w:b/>
        </w:rPr>
        <w:t>fiber-reinforced biomechanical composite</w:t>
      </w:r>
      <w:r>
        <w:t xml:space="preserve"> whose behavior is governed by four HGO parameters (c, k₁, k₂, κ).</w:t>
      </w:r>
    </w:p>
    <w:p>
      <w:pPr>
        <w:pStyle w:val="ListBullet"/>
      </w:pPr>
      <w:r>
        <w:t xml:space="preserve">Keratoconus is fundamentally a </w:t>
      </w:r>
      <w:r>
        <w:rPr>
          <w:b/>
        </w:rPr>
        <w:t>material disease</w:t>
      </w:r>
      <w:r>
        <w:t>: degradation of the matrix (c↓) triggers a positive feedback loop of progressive thinning and stress concentration.</w:t>
      </w:r>
    </w:p>
    <w:p>
      <w:pPr>
        <w:pStyle w:val="ListBullet"/>
      </w:pPr>
      <w:r>
        <w:t xml:space="preserve">The </w:t>
      </w:r>
      <w:r>
        <w:rPr>
          <w:b/>
        </w:rPr>
        <w:t>Dupps decompensation cycle</w:t>
      </w:r>
      <w:r>
        <w:t xml:space="preserve"> explains why ectasia is self-reinforcing once initiated.</w:t>
      </w:r>
    </w:p>
    <w:p>
      <w:pPr>
        <w:pStyle w:val="ListBullet"/>
      </w:pPr>
      <w:r>
        <w:t xml:space="preserve">Brillouin microscopy confirms that the </w:t>
      </w:r>
      <w:r>
        <w:rPr>
          <w:b/>
        </w:rPr>
        <w:t>matrix modulus c</w:t>
      </w:r>
      <w:r>
        <w:t xml:space="preserve"> is the primary differentiator between normal and keratoconic corneas.</w:t>
      </w:r>
    </w:p>
    <w:p>
      <w:pPr>
        <w:pStyle w:val="ListBullet"/>
      </w:pPr>
      <w:r>
        <w:t>Understanding biomechanics is the prerequisite for rational ICRS planning — geometry is the consequence, not the cause.</w:t>
      </w:r>
    </w:p>
    <w:p>
      <w:pPr>
        <w:pStyle w:val="Heading2"/>
      </w:pPr>
      <w:r>
        <w:t>References</w:t>
      </w:r>
    </w:p>
    <w:p>
      <w:pPr>
        <w:pStyle w:val="ListNumber"/>
      </w:pPr>
      <w:r>
        <w:t xml:space="preserve">Birk DE, Fitch JM, Babiarz JP, et al. Collagen fibrillogenesis in vitro: interaction of types I and V collagen regulates fibril diameter. </w:t>
      </w:r>
      <w:r>
        <w:rPr>
          <w:i/>
        </w:rPr>
        <w:t>J Cell Sci</w:t>
      </w:r>
      <w:r>
        <w:t>. 1990;95(Pt 4):649–657.</w:t>
      </w:r>
    </w:p>
    <w:p>
      <w:pPr>
        <w:pStyle w:val="ListNumber"/>
      </w:pPr>
      <w:r>
        <w:t xml:space="preserve">Dupps WJ Jr, Roberts CJ. Effect of acute biomechanical changes on corneal curvature after photokeratectomy. </w:t>
      </w:r>
      <w:r>
        <w:rPr>
          <w:i/>
        </w:rPr>
        <w:t>J Refract Surg</w:t>
      </w:r>
      <w:r>
        <w:t>. 2001;17(6):658–669.</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Fontes BM, Ambrósio R Jr, Jardim D, et al. Corneal biomechanical metrics and anterior segment parameters in mild keratoconus. </w:t>
      </w:r>
      <w:r>
        <w:rPr>
          <w:i/>
        </w:rPr>
        <w:t>Ophthalmology</w:t>
      </w:r>
      <w:r>
        <w:t>. 2010;117(4):673–679.</w:t>
      </w:r>
    </w:p>
    <w:p>
      <w:pPr>
        <w:pStyle w:val="ListNumber"/>
      </w:pPr>
      <w:r>
        <w:t xml:space="preserve">Godefrooij DA, de Wit GA, Uiterwaal CS, et al. Age-specific incidence and prevalence of keratoconus: a nationwide registration study. </w:t>
      </w:r>
      <w:r>
        <w:rPr>
          <w:i/>
        </w:rPr>
        <w:t>Am J Ophthalmol</w:t>
      </w:r>
      <w:r>
        <w:t>. 2017;175:169–172.</w:t>
      </w:r>
    </w:p>
    <w:p>
      <w:pPr>
        <w:pStyle w:val="ListNumber"/>
      </w:pPr>
      <w:r>
        <w:t xml:space="preserve">Holzapfel GA, Gasser TC, Ogden RW. A new constitutive framework for arterial wall mechanics and a comparative study of material models. </w:t>
      </w:r>
      <w:r>
        <w:rPr>
          <w:i/>
        </w:rPr>
        <w:t>J Elasticity</w:t>
      </w:r>
      <w:r>
        <w:t>. 2000;61:1–48.</w:t>
      </w:r>
    </w:p>
    <w:p>
      <w:pPr>
        <w:pStyle w:val="ListNumber"/>
      </w:pPr>
      <w:r>
        <w:t xml:space="preserve">Komai Y, Ushiki T. The three-dimensional organization of collagen fibrils in the human cornea and sclera. </w:t>
      </w:r>
      <w:r>
        <w:rPr>
          <w:i/>
        </w:rPr>
        <w:t>Invest Ophthalmol Vis Sci</w:t>
      </w:r>
      <w:r>
        <w:t>. 1991;32(8):2244–2258.</w:t>
      </w:r>
    </w:p>
    <w:p>
      <w:pPr>
        <w:pStyle w:val="ListNumber"/>
      </w:pPr>
      <w:r>
        <w:t xml:space="preserve">Luce DA. Determining in vivo biomechanical properties of the cornea with an ocular response analyzer. </w:t>
      </w:r>
      <w:r>
        <w:rPr>
          <w:i/>
        </w:rPr>
        <w:t>J Cataract Refract Surg</w:t>
      </w:r>
      <w:r>
        <w:t>. 2005;31(1):156–162.</w:t>
      </w:r>
    </w:p>
    <w:p>
      <w:pPr>
        <w:pStyle w:val="ListNumber"/>
      </w:pPr>
      <w:r>
        <w:t xml:space="preserve">Maurice DM. The structure and transparency of the cornea. </w:t>
      </w:r>
      <w:r>
        <w:rPr>
          <w:i/>
        </w:rPr>
        <w:t>J Physiol</w:t>
      </w:r>
      <w:r>
        <w:t>. 1957;136(2):263–286.</w:t>
      </w:r>
    </w:p>
    <w:p>
      <w:pPr>
        <w:pStyle w:val="ListNumber"/>
      </w:pPr>
      <w:r>
        <w:t xml:space="preserve">Meek KM. Corneal collagen — its role in maintaining corneal shape and transparency. </w:t>
      </w:r>
      <w:r>
        <w:rPr>
          <w:i/>
        </w:rPr>
        <w:t>Biophys Rev</w:t>
      </w:r>
      <w:r>
        <w:t>. 2009;1(2):83–93.</w:t>
      </w:r>
    </w:p>
    <w:p>
      <w:pPr>
        <w:pStyle w:val="ListNumber"/>
      </w:pPr>
      <w:r>
        <w:t xml:space="preserve">Meek KM, Boote C. The organization of collagen in the corneal stroma. </w:t>
      </w:r>
      <w:r>
        <w:rPr>
          <w:i/>
        </w:rPr>
        <w:t>Exp Eye Res</w:t>
      </w:r>
      <w:r>
        <w:t>. 2004;78(3):503–512.</w:t>
      </w:r>
    </w:p>
    <w:p>
      <w:pPr>
        <w:pStyle w:val="ListNumber"/>
      </w:pPr>
      <w:r>
        <w:t xml:space="preserve">Meek KM, Knupp C. Corneal structure and transparency. </w:t>
      </w:r>
      <w:r>
        <w:rPr>
          <w:i/>
        </w:rPr>
        <w:t>Prog Retin Eye Res</w:t>
      </w:r>
      <w:r>
        <w:t>. 2015;49:1–16.</w:t>
      </w:r>
    </w:p>
    <w:p>
      <w:pPr>
        <w:pStyle w:val="ListNumber"/>
      </w:pPr>
      <w:r>
        <w:t xml:space="preserve">Meek KM, Tuft SJ, Huang Y, et al. Changes in collagen orientation and distribution in keratoconus corneas. </w:t>
      </w:r>
      <w:r>
        <w:rPr>
          <w:i/>
        </w:rPr>
        <w:t>Invest Ophthalmol Vis Sci</w:t>
      </w:r>
      <w:r>
        <w:t>. 2005;46(6):1948–1956.</w:t>
      </w:r>
    </w:p>
    <w:p>
      <w:pPr>
        <w:pStyle w:val="ListNumber"/>
      </w:pPr>
      <w:r>
        <w:t xml:space="preserve">Nguyen BA, Roberts CJ, Reilly MA. Biomechanical impact of the sclera on corneal deformation response to an air-puff: a finite-element study. </w:t>
      </w:r>
      <w:r>
        <w:rPr>
          <w:i/>
        </w:rPr>
        <w:t>Front Bioeng Biotechnol</w:t>
      </w:r>
      <w:r>
        <w:t>. 2018;6:210.</w:t>
      </w:r>
    </w:p>
    <w:p>
      <w:pPr>
        <w:pStyle w:val="ListNumber"/>
      </w:pPr>
      <w:r>
        <w:t xml:space="preserve">Pandolfi A, Manganiello F. A model for the human cornea: constitutive formulation and numerical analysis. </w:t>
      </w:r>
      <w:r>
        <w:rPr>
          <w:i/>
        </w:rPr>
        <w:t>Biomech Model Mechanobiol</w:t>
      </w:r>
      <w:r>
        <w:t>. 2006;5(4):237–246.</w:t>
      </w:r>
    </w:p>
    <w:p>
      <w:pPr>
        <w:pStyle w:val="ListNumber"/>
      </w:pPr>
      <w:r>
        <w:t xml:space="preserve">Quantock AJ, Young RD, Akama TO. Structural and biochemical aspects of keratan sulphate in the cornea. </w:t>
      </w:r>
      <w:r>
        <w:rPr>
          <w:i/>
        </w:rPr>
        <w:t>Cell Mol Life Sci</w:t>
      </w:r>
      <w:r>
        <w:t>. 2010;67(6):891–906.</w:t>
      </w:r>
    </w:p>
    <w:p>
      <w:pPr>
        <w:pStyle w:val="ListNumber"/>
      </w:pPr>
      <w:r>
        <w:t xml:space="preserve">Roberts CJ, Dupps WJ Jr. Biomechanics of corneal ectasia and biomechanical treatments. </w:t>
      </w:r>
      <w:r>
        <w:rPr>
          <w:i/>
        </w:rPr>
        <w:t>J Cataract Refract Surg</w:t>
      </w:r>
      <w:r>
        <w:t>. 2014;40(6):991–998.</w:t>
      </w:r>
    </w:p>
    <w:p>
      <w:pPr>
        <w:pStyle w:val="ListNumber"/>
      </w:pPr>
      <w:r>
        <w:t xml:space="preserve">Scarcelli G, Besber R, Pineda R, et al. In vivo biomechanical mapping of normal and keratoconus corneas. </w:t>
      </w:r>
      <w:r>
        <w:rPr>
          <w:i/>
        </w:rPr>
        <w:t>JAMA Ophthalmol</w:t>
      </w:r>
      <w:r>
        <w:t>. 2015;133(4):480–482.</w:t>
      </w:r>
    </w:p>
    <w:p>
      <w:pPr>
        <w:pStyle w:val="ListNumber"/>
      </w:pPr>
      <w:r>
        <w:t xml:space="preserve">Scarcelli G, Pineda R, Yun SH. Brillouin optical microscopy for corneal biomechanics. </w:t>
      </w:r>
      <w:r>
        <w:rPr>
          <w:i/>
        </w:rPr>
        <w:t>Invest Ophthalmol Vis Sci</w:t>
      </w:r>
      <w:r>
        <w:t>. 2012;53(1):185–190.</w:t>
      </w:r>
    </w:p>
    <w:p>
      <w:pPr>
        <w:pStyle w:val="ListNumber"/>
      </w:pPr>
      <w:r>
        <w:t xml:space="preserve">Seppälä HP, Määttä M, Rautia M, et al. EMMPRIN and MMP-1 in keratoconus. </w:t>
      </w:r>
      <w:r>
        <w:rPr>
          <w:i/>
        </w:rPr>
        <w:t>Cornea</w:t>
      </w:r>
      <w:r>
        <w:t>. 2006;25(3):325–330.</w:t>
      </w:r>
    </w:p>
    <w:p>
      <w:pPr>
        <w:pStyle w:val="ListNumber"/>
      </w:pPr>
      <w:r>
        <w:t xml:space="preserve">Thomasy SM, Raghunathan VK, Winkler M, et al. Elastic modulus and collagen organization of the rabbit cornea: epithelium to endothelium. </w:t>
      </w:r>
      <w:r>
        <w:rPr>
          <w:i/>
        </w:rPr>
        <w:t>Acta Biomater</w:t>
      </w:r>
      <w:r>
        <w:t>. 2014;10(2):785–791.</w:t>
      </w:r>
    </w:p>
    <w:p>
      <w:pPr>
        <w:pStyle w:val="ListNumber"/>
      </w:pPr>
      <w:r>
        <w:t xml:space="preserve">Torres Netto EA, Al-Otaibi WM, Hafezi NL, et al. Prevalence of keratoconus in paediatric patients in Riyadh, Saudi Arabia. </w:t>
      </w:r>
      <w:r>
        <w:rPr>
          <w:i/>
        </w:rPr>
        <w:t>Br J Ophthalmol</w:t>
      </w:r>
      <w:r>
        <w:t>. 2018;102(10):1436–1441.</w:t>
      </w:r>
    </w:p>
    <w:p>
      <w:pPr>
        <w:pStyle w:val="ListNumber"/>
      </w:pPr>
      <w:r>
        <w:t xml:space="preserve">Winkler M, Shoa G, Xie Y, et al. Three-dimensional distribution of transverse collagen fibers in the anterior human corneal stroma. </w:t>
      </w:r>
      <w:r>
        <w:rPr>
          <w:i/>
        </w:rPr>
        <w:t>Invest Ophthalmol Vis Sci</w:t>
      </w:r>
      <w:r>
        <w:t>. 2013;54(12):7293–7301.</w:t>
      </w:r>
    </w:p>
    <w:p>
      <w:pPr>
        <w:pStyle w:val="ListNumber"/>
      </w:pPr>
      <w:r>
        <w:t xml:space="preserve">Wollensak G, Spoerl E, Seiler T. Stress-strain measurements of human and porcine corneas after riboflavin-ultraviolet-A-induced cross-linking. </w:t>
      </w:r>
      <w:r>
        <w:rPr>
          <w:i/>
        </w:rPr>
        <w:t>J Cataract Refract Surg</w:t>
      </w:r>
      <w:r>
        <w:t>. 2003;29(9):1780–1785.</w:t>
      </w:r>
    </w:p>
    <w:p>
      <w:r>
        <w:t>&lt;!-- GPT revision applied --&gt;</w:t>
      </w:r>
    </w:p>
    <w:p>
      <w:pPr>
        <w:pStyle w:val="Heading1"/>
      </w:pPr>
      <w:r>
        <w:t>Chapter 2 — How ICRS Work: From Volume Displacement to Vector Decomposition</w:t>
      </w:r>
    </w:p>
    <w:p>
      <w:pPr>
        <w:pStyle w:val="BlockQuote"/>
      </w:pPr>
      <w:r>
        <w:t>**Corneal Biomechanical Vector Analysis for Intracorneal Ring Segment Planning** *Part I — Fundamentals*</w:t>
      </w:r>
    </w:p>
    <w:p>
      <w:pPr>
        <w:pStyle w:val="BlockQuote"/>
      </w:pPr>
      <w:r>
        <w:t>**Key Points** - ICRS are **not simple spacers**: they act through three independent biomechanical mechanisms. - **VR** (radial vector): apical flattening via volume injection — controlled by ring **thickness**. - **VT** (tangential vector): astigmatism regularization via hoop restriction — controlled by **arc length**. - **Vτ** (torque vector): apex repositioning via asymmetric loading — controlled by **thickness gradient**. - The **Volumetric School** reconciles FEM with clinical observations: more arc = more flattening.</w:t>
      </w:r>
    </w:p>
    <w:p>
      <w:pPr>
        <w:pStyle w:val="Heading2"/>
      </w:pPr>
      <w:r>
        <w:t>2.1 Introduction</w:t>
      </w:r>
    </w:p>
    <w:p>
      <w:r>
        <w:t>Intracorneal ring segments have been implanted for over twenty-five years, with an estimated half-million procedures performed worldwide since the first Intacs implant in 1999 (Burris et al., 1998; Colin et al., 2000). Despite this extensive clinical experience, the ICRS mechanism of action remains a subject of ongoing debate. How, precisely, does a small arc of polymethylmethacrylate (PMMA) inserted into the corneal stroma produce changes in corneal curvature, astigmatism, and higher-order aberrations?</w:t>
      </w:r>
    </w:p>
    <w:p>
      <w:r>
        <w:t>[Figura: Figure 2.1 — Conceptual evolution: from the Three Schools (Geometric, Volumetric, Biomechanical) to the AVBC synthesis.]</w:t>
      </w:r>
    </w:p>
    <w:p>
      <w:r>
        <w:t xml:space="preserve">Three conceptual frameworks have been proposed: the </w:t>
      </w:r>
      <w:r>
        <w:rPr>
          <w:b/>
        </w:rPr>
        <w:t>geometric school</w:t>
      </w:r>
      <w:r>
        <w:t xml:space="preserve"> (Barraquer, 1964), which attributes the effect to arc shortening; the </w:t>
      </w:r>
      <w:r>
        <w:rPr>
          <w:b/>
        </w:rPr>
        <w:t>volumetric school</w:t>
      </w:r>
      <w:r>
        <w:t xml:space="preserve"> (Kling &amp; Marcos, 2013), which emphasizes volume displacement; and the </w:t>
      </w:r>
      <w:r>
        <w:rPr>
          <w:b/>
        </w:rPr>
        <w:t>biomechanical school</w:t>
      </w:r>
      <w:r>
        <w:t xml:space="preserve"> (Dupps &amp; Roberts, 2014), which focuses on stress redistribution. Each approach captures part of the truth, but none provides a complete explanation of the observed clinical effects.</w:t>
      </w:r>
    </w:p>
    <w:p>
      <w:r>
        <w:t xml:space="preserve">This chapter critically reviews these three perspectives and synthesizes them into a unified framework — the </w:t>
      </w:r>
      <w:r>
        <w:rPr>
          <w:b/>
        </w:rPr>
        <w:t>three-vector decomposition</w:t>
      </w:r>
      <w:r>
        <w:t xml:space="preserve"> — in which the ICRS effect is resolved into three independent biomechanical mechanisms: radial displacement (VR), tangential stress redistribution (VT), and asymmetric torque (Vτ). This decomposition, validated by 34 finite element simulations presented in Chapter 12, forms the mechanistic basis for the AVBC planning framework.</w:t>
      </w:r>
    </w:p>
    <w:p>
      <w:pPr>
        <w:pStyle w:val="Heading2"/>
      </w:pPr>
      <w:r>
        <w:t>2.2 The Geometric School: Barraquer's Principle (1960s)</w:t>
      </w:r>
    </w:p>
    <w:p>
      <w:pPr>
        <w:pStyle w:val="Heading3"/>
      </w:pPr>
      <w:r>
        <w:t>The Evolution of the Concept</w:t>
      </w:r>
    </w:p>
    <w:p>
      <w:r>
        <w:t>[Figura: Figure 2.2 — The ICRS Paradox: kinematic constraint vs volumetric injection.]</w:t>
      </w:r>
    </w:p>
    <w:p>
      <w:r>
        <w:t xml:space="preserve">The intellectual foundation for ICRS dates back to the pioneering work of José I. Barraquer in the 1960s. In his seminal publications on </w:t>
      </w:r>
      <w:r>
        <w:rPr>
          <w:i/>
        </w:rPr>
        <w:t>Keratomileusis</w:t>
      </w:r>
      <w:r>
        <w:t xml:space="preserve"> and </w:t>
      </w:r>
      <w:r>
        <w:rPr>
          <w:i/>
        </w:rPr>
        <w:t>Keratophakia</w:t>
      </w:r>
      <w:r>
        <w:t xml:space="preserve"> (Barraquer, 1966; Barraquer, 1967), he proposed that modification of stromal thickness could induce predictable changes in anterior curvature. The initially postulated mechanism was purely geometric: the </w:t>
      </w:r>
      <w:r>
        <w:rPr>
          <w:b/>
        </w:rPr>
        <w:t>arc-shortening principle</w:t>
      </w:r>
      <w:r>
        <w:t>.</w:t>
      </w:r>
    </w:p>
    <w:p>
      <w:r>
        <w:t xml:space="preserve">For a circular arc with a fixed chord length, shortening the arc increases the radius of curvature. If material is placed in the </w:t>
      </w:r>
      <w:r>
        <w:rPr>
          <w:i/>
        </w:rPr>
        <w:t>peripheral</w:t>
      </w:r>
      <w:r>
        <w:t xml:space="preserve"> cornea, the geometric redistribution and stromal expansion force the anterior layers to accommodate the volume, resulting in an effective arc shortening and, consequently, flattening of the </w:t>
      </w:r>
      <w:r>
        <w:rPr>
          <w:i/>
        </w:rPr>
        <w:t>central</w:t>
      </w:r>
      <w:r>
        <w:t xml:space="preserve"> cornea.</w:t>
      </w:r>
    </w:p>
    <w:p>
      <w:r>
        <w:t xml:space="preserve">This postulate culminated in the classic </w:t>
      </w:r>
      <w:r>
        <w:rPr>
          <w:b/>
        </w:rPr>
        <w:t>"Law of Thickness"</w:t>
      </w:r>
      <w:r>
        <w:t xml:space="preserve"> (Barraquer, 1967): </w:t>
      </w:r>
      <w:r>
        <w:rPr>
          <w:i/>
        </w:rPr>
        <w:t>"If material is added to the corneal periphery or removed from the center, the cornea flattens. If material is removed from the periphery or added to the center, the cornea steepens."</w:t>
      </w:r>
      <w:r>
        <w:t xml:space="preserve"> Historically, this elegant principle laid the foundation for subtractive procedures (LASIK, PRK) and for the design of the first intrastromal ring models for myopia correction in the 1990s (Burris et al., 1991).</w:t>
      </w:r>
    </w:p>
    <w:p>
      <w:pPr>
        <w:pStyle w:val="Heading3"/>
      </w:pPr>
      <w:r>
        <w:t>Limitations of the Geometric School</w:t>
      </w:r>
    </w:p>
    <w:p>
      <w:r>
        <w:t>The arc-shortening model dominated the refractive literature for decades due to its intuitive simplicity, but proved scientifically incomplete, particularly when applied to pathological corneas (ectasias):</w:t>
      </w:r>
    </w:p>
    <w:p>
      <w:pPr>
        <w:pStyle w:val="ListNumber"/>
      </w:pPr>
      <w:r/>
      <w:r>
        <w:rPr>
          <w:b/>
        </w:rPr>
        <w:t>The Assumption of Symmetry and Sphericity:</w:t>
      </w:r>
      <w:r>
        <w:t xml:space="preserve"> The model assumes that the cornea responds as a uniform spherical cap. It can explain global myopic flattening (K-mean reduction in healthy eyes), but </w:t>
      </w:r>
      <w:r>
        <w:rPr>
          <w:b/>
        </w:rPr>
        <w:t>cannot explain astigmatism regularization</w:t>
      </w:r>
      <w:r>
        <w:t xml:space="preserve"> or the asymmetric topographic changes clinically observed in keratoconus.</w:t>
      </w:r>
    </w:p>
    <w:p>
      <w:pPr>
        <w:pStyle w:val="ListNumber"/>
      </w:pPr>
      <w:r/>
      <w:r>
        <w:rPr>
          <w:b/>
        </w:rPr>
        <w:t>It Ignores Apex Repositioning:</w:t>
      </w:r>
      <w:r>
        <w:t xml:space="preserve"> In keratoconus, the cone apex is frequently displaced from the visual axis. Asymmetric ICRS configurations can migrate this apex (reducing coma) — a kinematic effect that uniform mechanical radial arc shortening cannot encompass.</w:t>
      </w:r>
    </w:p>
    <w:p>
      <w:pPr>
        <w:pStyle w:val="ListNumber"/>
      </w:pPr>
      <w:r/>
      <w:r>
        <w:rPr>
          <w:b/>
        </w:rPr>
        <w:t>The "Artificial Limbus" Fallacy for Partial Arcs:</w:t>
      </w:r>
      <w:r>
        <w:t xml:space="preserve"> A later extension of the arc model attempted to explain atypical results with partial implants (less than 360°) by postulating that the rigid ICRS always created a "functional limbus" or "sphincter" — a tightening barrier that mimicked natural limbal support. It is true that a </w:t>
      </w:r>
      <w:r>
        <w:rPr>
          <w:b/>
        </w:rPr>
        <w:t>complete 360° ring</w:t>
      </w:r>
      <w:r>
        <w:t xml:space="preserve"> can indeed create a continuous stress ring (an effective "artificial limbus" that contains expansion). However, the historical error was to assume that this effect applied to partial arcs. Finite element simulations demonstrated that partial arcs </w:t>
      </w:r>
      <w:r>
        <w:rPr>
          <w:i/>
        </w:rPr>
        <w:t>do not</w:t>
      </w:r>
      <w:r>
        <w:t xml:space="preserve"> close the stress ring, creating biomechanical discontinuities that redirect stress and lead to diametrically opposite deformations (see Section 2.4).</w:t>
      </w:r>
    </w:p>
    <w:p>
      <w:pPr>
        <w:pStyle w:val="Heading2"/>
      </w:pPr>
      <w:r>
        <w:t>2.3 Volume Displacement and Stress Redistribution</w:t>
      </w:r>
    </w:p>
    <w:p>
      <w:pPr>
        <w:pStyle w:val="Heading3"/>
      </w:pPr>
      <w:r>
        <w:t>The Volumetric School: The FEM Study of Kling and Marcos (2013)</w:t>
      </w:r>
    </w:p>
    <w:p>
      <w:r>
        <w:t>[Figura: Figure 2.3 — Vector decomposition: the three vectors VR, VT, and Vτ and their biomechanical actions.]</w:t>
      </w:r>
    </w:p>
    <w:p>
      <w:r>
        <w:t xml:space="preserve">The formal transition from two-dimensional geometry to three-dimensional solid mechanics occurred when Kling and Marcos (2013) applied the finite element method (FEM) to the hyperelastic cornea model. By studying in detail the displacement fields generated around the implant, they revealed that flattening did not result from mere shortening of the superior curvature, but rather from an intense </w:t>
      </w:r>
      <w:r>
        <w:rPr>
          <w:b/>
        </w:rPr>
        <w:t>volume displacement</w:t>
      </w:r>
      <w:r>
        <w:t xml:space="preserve"> (the so-called </w:t>
      </w:r>
      <w:r>
        <w:rPr>
          <w:i/>
        </w:rPr>
        <w:t>spacer effect</w:t>
      </w:r>
      <w:r>
        <w:t>).</w:t>
      </w:r>
    </w:p>
    <w:p>
      <w:r>
        <w:t>The mechanism operates as follows: the ICRS occupies a physical and inflexible volume within the tissue (typically 0.5 to 1.5 mm³, depending on its profile). Since the stroma is water-rich (78% hydration) and therefore a nearly perfectly incompressible tissue fluid, it cannot absorb or compress its own lamellae. Consequently, the adjacent tissue must accommodate the intrusion by displacing radially and anteriorly. This peripheral centrifugal pressure expands the intrastromal channel laterally, pulling the thin fibrillar network of the central bed. Under this divergent radial traction, the central corneal roof descends, flattening conservatively to compensate for the peripheral stromal expansion.</w:t>
      </w:r>
    </w:p>
    <w:p>
      <w:pPr>
        <w:pStyle w:val="Heading3"/>
      </w:pPr>
      <w:r>
        <w:t>The Biomechanical School: The Perspective of Dupps and Roberts (2014)</w:t>
      </w:r>
    </w:p>
    <w:p>
      <w:r>
        <w:t xml:space="preserve">Although the volumetric school predicted mass displacement well, it did not entirely capture the primary mechanical degradation of the keratoconus patient. The following year, Dupps and Roberts (2014) consolidated a vital paradigm for ophthalmology: changes in curvature, elevation, and pachymetry are strictly </w:t>
      </w:r>
      <w:r>
        <w:rPr>
          <w:i/>
        </w:rPr>
        <w:t>secondary</w:t>
      </w:r>
      <w:r>
        <w:t xml:space="preserve"> manifestations of an underlying structural anomaly. The primary disease of keratoconus is, intrinsically, a focal biomechanical deficit.</w:t>
      </w:r>
    </w:p>
    <w:p>
      <w:r>
        <w:t xml:space="preserve">In this modern perspective, ICRS act through complex </w:t>
      </w:r>
      <w:r>
        <w:rPr>
          <w:b/>
        </w:rPr>
        <w:t>stress redistribution</w:t>
      </w:r>
      <w:r>
        <w:t>. By introducing into the stroma a solid whose mechanical properties are thousands of times greater than those of the weakened matrix (Young's modulus of PMMA is approximately 3 GPa versus the scant ~0.2 MPa of the ectatic cornea), the ring acts as an inflexible buttress. In the spherical shell of the cornea, which is permanently inflated by intraocular pressure (IOP), radial and tangential forces (</w:t>
      </w:r>
      <w:r>
        <w:rPr>
          <w:i/>
        </w:rPr>
        <w:t>hoop stress</w:t>
      </w:r>
      <w:r>
        <w:t>) seek the path of least resistance.</w:t>
      </w:r>
    </w:p>
    <w:p>
      <w:r>
        <w:t xml:space="preserve">The Dupps perspective emphasizes that the segment does not physically "mold" the cornea by force (unlike an orthodontic ring on a tooth). Rather, it acts as a peripheral shield: the ring intercepts the expansive stress cascade, anchoring circular and radial forces away from the weakened central cone. The new </w:t>
      </w:r>
      <w:r>
        <w:rPr>
          <w:i/>
        </w:rPr>
        <w:t>K-steep</w:t>
      </w:r>
      <w:r>
        <w:t xml:space="preserve"> and the new topography are merely the resting posture ("stability equilibrium") that the cornea adopts under the new modified force scenario induced by the implant.</w:t>
      </w:r>
    </w:p>
    <w:p>
      <w:r>
        <w:t xml:space="preserve">Our data gather overwhelming evidence in this regard. A simulated baseline cornea with a classic HGO modulus (see Appendix A) demonstrates, under 15 mmHg of pulsed IOP, a physiological apical displacement of </w:t>
      </w:r>
      <w:r>
        <w:rPr>
          <w:b/>
        </w:rPr>
        <w:t>360.9 μm</w:t>
      </w:r>
      <w:r>
        <w:t xml:space="preserve">. When subjected to a complete ring (360°), this value is severely constrained to </w:t>
      </w:r>
      <w:r>
        <w:rPr>
          <w:b/>
        </w:rPr>
        <w:t>125.9 μm</w:t>
      </w:r>
      <w:r>
        <w:t xml:space="preserve"> (a remarkable structural gain of 65%). This massive suppression of bulging far exceeds the purely volumetric effect of the ring; it represents a real mutation in the apparent elastic laws of the collagen skeleton under posterior compressive loading.</w:t>
      </w:r>
    </w:p>
    <w:p>
      <w:pPr>
        <w:pStyle w:val="Heading3"/>
      </w:pPr>
      <w:r>
        <w:t>Synthesis: The Historical Evolution of ICRS Paradigms</w:t>
      </w:r>
    </w:p>
    <w:p>
      <w:r>
        <w:t>For the modern ophthalmologist, understanding the historical limitations and explanatory triumphs of these various schools is essential for reasoning abstractly when faced with atypical tomographies or challenging surgical decisions.</w:t>
      </w:r>
    </w:p>
    <w:p>
      <w:r/>
      <w:r>
        <w:rPr>
          <w:b/>
        </w:rPr>
        <w:t>Table 2.1</w:t>
      </w:r>
      <w:r>
        <w:t xml:space="preserve"> chronologically summarizes the journey of our scientific understanding of intracorneal rings. It is upon the shoulders of this century-long heritage of geometry, volumetric hydrodynamics, and fracture mechanics that the fourth and current stage of planned systematization is born: the </w:t>
      </w:r>
      <w:r>
        <w:rPr>
          <w:b/>
        </w:rPr>
        <w:t>Biomechanical Vector Decomposition (AVBC)</w:t>
      </w:r>
      <w:r>
        <w:t xml:space="preserve"> explored in this book.</w:t>
      </w:r>
    </w:p>
    <w:p>
      <w:r/>
      <w:r>
        <w:rPr>
          <w:b/>
        </w:rPr>
        <w:t>Table 2.1.</w:t>
      </w:r>
      <w:r>
        <w:t xml:space="preserve"> Historical Comparison of Scientific Schools of Thought on ICRS Mechanisms.</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School / Paradigm</w:t>
            </w:r>
          </w:p>
        </w:tc>
        <w:tc>
          <w:tcPr>
            <w:tcW w:type="dxa" w:w="1758"/>
          </w:tcPr>
          <w:p>
            <w:r>
              <w:rPr>
                <w:b/>
                <w:sz w:val="18"/>
              </w:rPr>
              <w:t>Period (Base Author)</w:t>
            </w:r>
          </w:p>
        </w:tc>
        <w:tc>
          <w:tcPr>
            <w:tcW w:type="dxa" w:w="1758"/>
          </w:tcPr>
          <w:p>
            <w:r>
              <w:rPr>
                <w:b/>
                <w:sz w:val="18"/>
              </w:rPr>
              <w:t>Dominant Mechanism of Action Postulate</w:t>
            </w:r>
          </w:p>
        </w:tc>
        <w:tc>
          <w:tcPr>
            <w:tcW w:type="dxa" w:w="1758"/>
          </w:tcPr>
          <w:p>
            <w:r>
              <w:rPr>
                <w:b/>
                <w:sz w:val="18"/>
              </w:rPr>
              <w:t>Explanatory Strength</w:t>
            </w:r>
          </w:p>
        </w:tc>
        <w:tc>
          <w:tcPr>
            <w:tcW w:type="dxa" w:w="1758"/>
          </w:tcPr>
          <w:p>
            <w:r>
              <w:rPr>
                <w:b/>
                <w:sz w:val="18"/>
              </w:rPr>
              <w:t>Main Clinical Gap</w:t>
            </w:r>
          </w:p>
        </w:tc>
      </w:tr>
      <w:tr>
        <w:tc>
          <w:tcPr>
            <w:tcW w:type="dxa" w:w="1758"/>
          </w:tcPr>
          <w:p>
            <w:r>
              <w:rPr>
                <w:sz w:val="18"/>
              </w:rPr>
              <w:t>**Geometric**</w:t>
            </w:r>
          </w:p>
        </w:tc>
        <w:tc>
          <w:tcPr>
            <w:tcW w:type="dxa" w:w="1758"/>
          </w:tcPr>
          <w:p>
            <w:r>
              <w:rPr>
                <w:sz w:val="18"/>
              </w:rPr>
              <w:t>1960s (Barraquer)</w:t>
            </w:r>
          </w:p>
        </w:tc>
        <w:tc>
          <w:tcPr>
            <w:tcW w:type="dxa" w:w="1758"/>
          </w:tcPr>
          <w:p>
            <w:r>
              <w:rPr>
                <w:sz w:val="18"/>
              </w:rPr>
              <w:t>Chord surface shortening by peripheral stromal insertion.</w:t>
            </w:r>
          </w:p>
        </w:tc>
        <w:tc>
          <w:tcPr>
            <w:tcW w:type="dxa" w:w="1758"/>
          </w:tcPr>
          <w:p>
            <w:r>
              <w:rPr>
                <w:sz w:val="18"/>
              </w:rPr>
              <w:t>Justifies proportional myopic flattening in biomechanically healthy tissues.</w:t>
            </w:r>
          </w:p>
        </w:tc>
        <w:tc>
          <w:tcPr>
            <w:tcW w:type="dxa" w:w="1758"/>
          </w:tcPr>
          <w:p>
            <w:r>
              <w:rPr>
                <w:sz w:val="18"/>
              </w:rPr>
              <w:t>Cannot explain the effect on irregular astigmatism or asymmetric deformations of partial arcs.</w:t>
            </w:r>
          </w:p>
        </w:tc>
      </w:tr>
      <w:tr>
        <w:tc>
          <w:tcPr>
            <w:tcW w:type="dxa" w:w="1758"/>
          </w:tcPr>
          <w:p>
            <w:r>
              <w:rPr>
                <w:sz w:val="18"/>
              </w:rPr>
              <w:t>**Volumetric**</w:t>
            </w:r>
          </w:p>
        </w:tc>
        <w:tc>
          <w:tcPr>
            <w:tcW w:type="dxa" w:w="1758"/>
          </w:tcPr>
          <w:p>
            <w:r>
              <w:rPr>
                <w:sz w:val="18"/>
              </w:rPr>
              <w:t>2013 (Kling &amp; Marcos)</w:t>
            </w:r>
          </w:p>
        </w:tc>
        <w:tc>
          <w:tcPr>
            <w:tcW w:type="dxa" w:w="1758"/>
          </w:tcPr>
          <w:p>
            <w:r>
              <w:rPr>
                <w:sz w:val="18"/>
              </w:rPr>
              <w:t>Stromal incompressibility and the *spacer effect* displace tissue radially.</w:t>
            </w:r>
          </w:p>
        </w:tc>
        <w:tc>
          <w:tcPr>
            <w:tcW w:type="dxa" w:w="1758"/>
          </w:tcPr>
          <w:p>
            <w:r>
              <w:rPr>
                <w:sz w:val="18"/>
              </w:rPr>
              <w:t>Establishes the mechanistic link between ring volume (thickness) and the exact degree of K flattening.</w:t>
            </w:r>
          </w:p>
        </w:tc>
        <w:tc>
          <w:tcPr>
            <w:tcW w:type="dxa" w:w="1758"/>
          </w:tcPr>
          <w:p>
            <w:r>
              <w:rPr>
                <w:sz w:val="18"/>
              </w:rPr>
              <w:t>Does not fully clarify the remodeling power of different arc lengths if thickness is maintained.</w:t>
            </w:r>
          </w:p>
        </w:tc>
      </w:tr>
      <w:tr>
        <w:tc>
          <w:tcPr>
            <w:tcW w:type="dxa" w:w="1758"/>
          </w:tcPr>
          <w:p>
            <w:r>
              <w:rPr>
                <w:sz w:val="18"/>
              </w:rPr>
              <w:t>**Biomechanical**</w:t>
            </w:r>
          </w:p>
        </w:tc>
        <w:tc>
          <w:tcPr>
            <w:tcW w:type="dxa" w:w="1758"/>
          </w:tcPr>
          <w:p>
            <w:r>
              <w:rPr>
                <w:sz w:val="18"/>
              </w:rPr>
              <w:t>2014 (Dupps &amp; Roberts)</w:t>
            </w:r>
          </w:p>
        </w:tc>
        <w:tc>
          <w:tcPr>
            <w:tcW w:type="dxa" w:w="1758"/>
          </w:tcPr>
          <w:p>
            <w:r>
              <w:rPr>
                <w:sz w:val="18"/>
              </w:rPr>
              <w:t>Stress cascade redistribution in the presence of an artificially ultra-rigid material.</w:t>
            </w:r>
          </w:p>
        </w:tc>
        <w:tc>
          <w:tcPr>
            <w:tcW w:type="dxa" w:w="1758"/>
          </w:tcPr>
          <w:p>
            <w:r>
              <w:rPr>
                <w:sz w:val="18"/>
              </w:rPr>
              <w:t>Unveils the mystery of long-term structural stabilization of the degenerative cornea (primary ectasia).</w:t>
            </w:r>
          </w:p>
        </w:tc>
        <w:tc>
          <w:tcPr>
            <w:tcW w:type="dxa" w:w="1758"/>
          </w:tcPr>
          <w:p>
            <w:r>
              <w:rPr>
                <w:sz w:val="18"/>
              </w:rPr>
              <w:t>Being a complex 3D vector dynamics, it proved clinically cumbersome and impractical for trivial nomograms.</w:t>
            </w:r>
          </w:p>
        </w:tc>
      </w:tr>
      <w:tr>
        <w:tc>
          <w:tcPr>
            <w:tcW w:type="dxa" w:w="1758"/>
          </w:tcPr>
          <w:p>
            <w:r>
              <w:rPr>
                <w:sz w:val="18"/>
              </w:rPr>
              <w:t>**Vector Decomposition**</w:t>
            </w:r>
          </w:p>
        </w:tc>
        <w:tc>
          <w:tcPr>
            <w:tcW w:type="dxa" w:w="1758"/>
          </w:tcPr>
          <w:p>
            <w:r>
              <w:rPr>
                <w:sz w:val="18"/>
              </w:rPr>
              <w:t>Present (AVBC)</w:t>
            </w:r>
          </w:p>
        </w:tc>
        <w:tc>
          <w:tcPr>
            <w:tcW w:type="dxa" w:w="1758"/>
          </w:tcPr>
          <w:p>
            <w:r>
              <w:rPr>
                <w:sz w:val="18"/>
              </w:rPr>
              <w:t>Pragmatic decomposition of hybrid mechanics into three forces: Displacement (VR), Traction (VT), and Torque (Vτ).</w:t>
            </w:r>
          </w:p>
        </w:tc>
        <w:tc>
          <w:tcPr>
            <w:tcW w:type="dxa" w:w="1758"/>
          </w:tcPr>
          <w:p>
            <w:r>
              <w:rPr>
                <w:sz w:val="18"/>
              </w:rPr>
              <w:t>Maps the surgeon's clinical desire (Flatten, Regularize, Rotate) to ring selection in a one-to-one manner.</w:t>
            </w:r>
          </w:p>
        </w:tc>
        <w:tc>
          <w:tcPr>
            <w:tcW w:type="dxa" w:w="1758"/>
          </w:tcPr>
          <w:p>
            <w:r>
              <w:rPr>
                <w:sz w:val="18"/>
              </w:rPr>
              <w:t>Requires mental transition from fixed empirical nomograms (old school) to computational planning based on actual shape.</w:t>
            </w:r>
          </w:p>
        </w:tc>
      </w:tr>
    </w:tbl>
    <w:p>
      <w:pPr>
        <w:pStyle w:val="Heading3"/>
      </w:pPr>
      <w:r>
        <w:t>2.3.3 The Perspective of Volume vs. Direct Action on Fibers</w:t>
      </w:r>
    </w:p>
    <w:p>
      <w:r>
        <w:t xml:space="preserve">The finite element modeling (FEM) literature enshrines a fundamental biomechanical debate: does the ICRS alter corneal shape through </w:t>
      </w:r>
      <w:r>
        <w:rPr>
          <w:b/>
        </w:rPr>
        <w:t>volume addition/displacement</w:t>
      </w:r>
      <w:r>
        <w:t xml:space="preserve"> (a purely geometric and space-occupying mechanism) or through </w:t>
      </w:r>
      <w:r>
        <w:rPr>
          <w:b/>
        </w:rPr>
        <w:t>direct mechanical action on the structural properties of collagen fibers</w:t>
      </w:r>
      <w:r>
        <w:t>?</w:t>
      </w:r>
    </w:p>
    <w:p>
      <w:r>
        <w:t xml:space="preserve">Numerical studies and consolidated AVBC data provide an unequivocal answer: </w:t>
      </w:r>
      <w:r>
        <w:rPr>
          <w:b/>
        </w:rPr>
        <w:t>the ring acts predominantly through physical volume displacement (spacer effect), and not by actively altering or recruiting central stromal fibers.</w:t>
      </w:r>
      <w:r/>
    </w:p>
    <w:p>
      <w:r>
        <w:t>This dominance of the volumetric effect rests on three mechanical pillars:</w:t>
      </w:r>
    </w:p>
    <w:p>
      <w:pPr>
        <w:pStyle w:val="ListNumber"/>
      </w:pPr>
      <w:r/>
      <w:r>
        <w:rPr>
          <w:b/>
        </w:rPr>
        <w:t>Stromal Incompressibility:</w:t>
      </w:r>
      <w:r>
        <w:t xml:space="preserve"> The corneal stroma is composed of approximately 78% water, behaving as a nearly perfectly incompressible medium. By introducing the ICRS volume (0.5 to 1.5 mm³) into a stromal channel, the surrounding tissue is forced to displace radially to accommodate this physical intrusion. This "wedge effect" pulls the adjacent central cornea, shortening its free span and forcing flattening.</w:t>
      </w:r>
    </w:p>
    <w:p>
      <w:pPr>
        <w:pStyle w:val="ListNumber"/>
      </w:pPr>
      <w:r/>
      <w:r>
        <w:rPr>
          <w:b/>
        </w:rPr>
        <w:t>Absence of Global Fibrillar Reinforcement:</w:t>
      </w:r>
      <w:r>
        <w:t xml:space="preserve"> The PMMA implant does not increase the intrinsic stiffness (k₁) of the central corneal collagen fibers (the fibers retain their unaltered biology and properties). The ring functions as a purely geometric peripheral constraint. The central cornea flattens passively to reach a new geometric equilibrium under the same IOP, but its material properties and intrinsic stress in its stromal fibers remain unchanged.</w:t>
      </w:r>
    </w:p>
    <w:p>
      <w:pPr>
        <w:pStyle w:val="ListNumber"/>
      </w:pPr>
      <w:r/>
      <w:r>
        <w:rPr>
          <w:b/>
        </w:rPr>
        <w:t>Sensitivity Mapping:</w:t>
      </w:r>
      <w:r>
        <w:t xml:space="preserve"> This perspective perfectly explains why varying ring thickness (which linearly increases its volume) produces a proportional and direct flattening effect (VR), whereas isolated variation of central HGO fiber elastic parameters (k₁ and k₂) under healthy matrix does not alter flattening. The ICRS is, by definition, a </w:t>
      </w:r>
      <w:r>
        <w:rPr>
          <w:b/>
        </w:rPr>
        <w:t>volumetric geometric modifier of the shell</w:t>
      </w:r>
      <w:r>
        <w:t xml:space="preserve"> and not a structural reinforcement of its longitudinal fibers.</w:t>
      </w:r>
    </w:p>
    <w:p>
      <w:pPr>
        <w:pStyle w:val="Heading2"/>
      </w:pPr>
      <w:r>
        <w:t>2.4 The ICRS Paradox: Why Partial Arcs Do Not Flatten</w:t>
      </w:r>
    </w:p>
    <w:p>
      <w:pPr>
        <w:pStyle w:val="Heading3"/>
      </w:pPr>
      <w:r>
        <w:t>The Counterintuitive Discovery</w:t>
      </w:r>
    </w:p>
    <w:p>
      <w:r>
        <w:t xml:space="preserve">Perhaps the most revealing discovery from our pure Finite Element (FEM) simulations is what we call the </w:t>
      </w:r>
      <w:r>
        <w:rPr>
          <w:b/>
        </w:rPr>
        <w:t>ICRS Paradox</w:t>
      </w:r>
      <w:r>
        <w:t xml:space="preserve">: when we apply the ring </w:t>
      </w:r>
      <w:r>
        <w:rPr>
          <w:i/>
        </w:rPr>
        <w:t>only as a mechanical constraint</w:t>
      </w:r>
      <w:r>
        <w:t xml:space="preserve"> (a kinematic block that prevents stromal expansion, ignoring the volume added by the implant), partial and full arc segments actually </w:t>
      </w:r>
      <w:r>
        <w:rPr>
          <w:b/>
        </w:rPr>
        <w:t>increase</w:t>
      </w:r>
      <w:r>
        <w:t xml:space="preserve"> apical displacement (protrusion) and </w:t>
      </w:r>
      <w:r>
        <w:rPr>
          <w:b/>
        </w:rPr>
        <w:t>steepen</w:t>
      </w:r>
      <w:r>
        <w:t xml:space="preserve"> the cornea, compared to the unconstrained baseline.</w:t>
      </w:r>
    </w:p>
    <w:p>
      <w:r/>
      <w:r>
        <w:rPr>
          <w:b/>
        </w:rPr>
        <w:t>Table 2.2.</w:t>
      </w:r>
      <w:r>
        <w:t xml:space="preserve"> Apical displacement (uz) and Simulated Curvature (K-mean) as a function of arc mechanical constraint (pure kinematic constraint simulation under 15 mmHg IOP, without Volumetric Effect).</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Configuration</w:t>
            </w:r>
          </w:p>
        </w:tc>
        <w:tc>
          <w:tcPr>
            <w:tcW w:type="dxa" w:w="1758"/>
          </w:tcPr>
          <w:p>
            <w:r>
              <w:rPr>
                <w:b/>
                <w:sz w:val="18"/>
              </w:rPr>
              <w:t>Arc (°)</w:t>
            </w:r>
          </w:p>
        </w:tc>
        <w:tc>
          <w:tcPr>
            <w:tcW w:type="dxa" w:w="1758"/>
          </w:tcPr>
          <w:p>
            <w:r>
              <w:rPr>
                <w:b/>
                <w:sz w:val="18"/>
              </w:rPr>
              <w:t>Apex Displacement (μm)</w:t>
            </w:r>
          </w:p>
        </w:tc>
        <w:tc>
          <w:tcPr>
            <w:tcW w:type="dxa" w:w="1758"/>
          </w:tcPr>
          <w:p>
            <w:r>
              <w:rPr>
                <w:b/>
                <w:sz w:val="18"/>
              </w:rPr>
              <w:t>K-mean (D)</w:t>
            </w:r>
          </w:p>
        </w:tc>
        <w:tc>
          <w:tcPr>
            <w:tcW w:type="dxa" w:w="1758"/>
          </w:tcPr>
          <w:p>
            <w:r>
              <w:rPr>
                <w:b/>
                <w:sz w:val="18"/>
              </w:rPr>
              <w:t>Change vs. baseline (D)</w:t>
            </w:r>
          </w:p>
        </w:tc>
      </w:tr>
      <w:tr>
        <w:tc>
          <w:tcPr>
            <w:tcW w:type="dxa" w:w="1758"/>
          </w:tcPr>
          <w:p>
            <w:r>
              <w:rPr>
                <w:sz w:val="18"/>
              </w:rPr>
              <w:t>Baseline (Ectasia)</w:t>
            </w:r>
          </w:p>
        </w:tc>
        <w:tc>
          <w:tcPr>
            <w:tcW w:type="dxa" w:w="1758"/>
          </w:tcPr>
          <w:p>
            <w:r>
              <w:rPr>
                <w:sz w:val="18"/>
              </w:rPr>
              <w:t>—</w:t>
            </w:r>
          </w:p>
        </w:tc>
        <w:tc>
          <w:tcPr>
            <w:tcW w:type="dxa" w:w="1758"/>
          </w:tcPr>
          <w:p>
            <w:r>
              <w:rPr>
                <w:sz w:val="18"/>
              </w:rPr>
              <w:t>549.0</w:t>
            </w:r>
          </w:p>
        </w:tc>
        <w:tc>
          <w:tcPr>
            <w:tcW w:type="dxa" w:w="1758"/>
          </w:tcPr>
          <w:p>
            <w:r>
              <w:rPr>
                <w:sz w:val="18"/>
              </w:rPr>
              <w:t>60.11</w:t>
            </w:r>
          </w:p>
        </w:tc>
        <w:tc>
          <w:tcPr>
            <w:tcW w:type="dxa" w:w="1758"/>
          </w:tcPr>
          <w:p>
            <w:r>
              <w:rPr>
                <w:sz w:val="18"/>
              </w:rPr>
              <w:t>—</w:t>
            </w:r>
          </w:p>
        </w:tc>
      </w:tr>
      <w:tr>
        <w:tc>
          <w:tcPr>
            <w:tcW w:type="dxa" w:w="1758"/>
          </w:tcPr>
          <w:p>
            <w:r>
              <w:rPr>
                <w:sz w:val="18"/>
              </w:rPr>
              <w:t>Arc 160°</w:t>
            </w:r>
          </w:p>
        </w:tc>
        <w:tc>
          <w:tcPr>
            <w:tcW w:type="dxa" w:w="1758"/>
          </w:tcPr>
          <w:p>
            <w:r>
              <w:rPr>
                <w:sz w:val="18"/>
              </w:rPr>
              <w:t>160</w:t>
            </w:r>
          </w:p>
        </w:tc>
        <w:tc>
          <w:tcPr>
            <w:tcW w:type="dxa" w:w="1758"/>
          </w:tcPr>
          <w:p>
            <w:r>
              <w:rPr>
                <w:sz w:val="18"/>
              </w:rPr>
              <w:t>555.4</w:t>
            </w:r>
          </w:p>
        </w:tc>
        <w:tc>
          <w:tcPr>
            <w:tcW w:type="dxa" w:w="1758"/>
          </w:tcPr>
          <w:p>
            <w:r>
              <w:rPr>
                <w:sz w:val="18"/>
              </w:rPr>
              <w:t>60.36</w:t>
            </w:r>
          </w:p>
        </w:tc>
        <w:tc>
          <w:tcPr>
            <w:tcW w:type="dxa" w:w="1758"/>
          </w:tcPr>
          <w:p>
            <w:r>
              <w:rPr>
                <w:sz w:val="18"/>
              </w:rPr>
              <w:t>+0.25</w:t>
            </w:r>
          </w:p>
        </w:tc>
      </w:tr>
      <w:tr>
        <w:tc>
          <w:tcPr>
            <w:tcW w:type="dxa" w:w="1758"/>
          </w:tcPr>
          <w:p>
            <w:r>
              <w:rPr>
                <w:sz w:val="18"/>
              </w:rPr>
              <w:t>Arc 210°</w:t>
            </w:r>
          </w:p>
        </w:tc>
        <w:tc>
          <w:tcPr>
            <w:tcW w:type="dxa" w:w="1758"/>
          </w:tcPr>
          <w:p>
            <w:r>
              <w:rPr>
                <w:sz w:val="18"/>
              </w:rPr>
              <w:t>210</w:t>
            </w:r>
          </w:p>
        </w:tc>
        <w:tc>
          <w:tcPr>
            <w:tcW w:type="dxa" w:w="1758"/>
          </w:tcPr>
          <w:p>
            <w:r>
              <w:rPr>
                <w:sz w:val="18"/>
              </w:rPr>
              <w:t>557.6</w:t>
            </w:r>
          </w:p>
        </w:tc>
        <w:tc>
          <w:tcPr>
            <w:tcW w:type="dxa" w:w="1758"/>
          </w:tcPr>
          <w:p>
            <w:r>
              <w:rPr>
                <w:sz w:val="18"/>
              </w:rPr>
              <w:t>60.44</w:t>
            </w:r>
          </w:p>
        </w:tc>
        <w:tc>
          <w:tcPr>
            <w:tcW w:type="dxa" w:w="1758"/>
          </w:tcPr>
          <w:p>
            <w:r>
              <w:rPr>
                <w:sz w:val="18"/>
              </w:rPr>
              <w:t>+0.34</w:t>
            </w:r>
          </w:p>
        </w:tc>
      </w:tr>
      <w:tr>
        <w:tc>
          <w:tcPr>
            <w:tcW w:type="dxa" w:w="1758"/>
          </w:tcPr>
          <w:p>
            <w:r>
              <w:rPr>
                <w:sz w:val="18"/>
              </w:rPr>
              <w:t>Arc 320°</w:t>
            </w:r>
          </w:p>
        </w:tc>
        <w:tc>
          <w:tcPr>
            <w:tcW w:type="dxa" w:w="1758"/>
          </w:tcPr>
          <w:p>
            <w:r>
              <w:rPr>
                <w:sz w:val="18"/>
              </w:rPr>
              <w:t>320</w:t>
            </w:r>
          </w:p>
        </w:tc>
        <w:tc>
          <w:tcPr>
            <w:tcW w:type="dxa" w:w="1758"/>
          </w:tcPr>
          <w:p>
            <w:r>
              <w:rPr>
                <w:sz w:val="18"/>
              </w:rPr>
              <w:t>563.6</w:t>
            </w:r>
          </w:p>
        </w:tc>
        <w:tc>
          <w:tcPr>
            <w:tcW w:type="dxa" w:w="1758"/>
          </w:tcPr>
          <w:p>
            <w:r>
              <w:rPr>
                <w:sz w:val="18"/>
              </w:rPr>
              <w:t>60.68</w:t>
            </w:r>
          </w:p>
        </w:tc>
        <w:tc>
          <w:tcPr>
            <w:tcW w:type="dxa" w:w="1758"/>
          </w:tcPr>
          <w:p>
            <w:r>
              <w:rPr>
                <w:sz w:val="18"/>
              </w:rPr>
              <w:t>+0.57</w:t>
            </w:r>
          </w:p>
        </w:tc>
      </w:tr>
      <w:tr>
        <w:tc>
          <w:tcPr>
            <w:tcW w:type="dxa" w:w="1758"/>
          </w:tcPr>
          <w:p>
            <w:r>
              <w:rPr>
                <w:sz w:val="18"/>
              </w:rPr>
              <w:t>Arc 360°</w:t>
            </w:r>
          </w:p>
        </w:tc>
        <w:tc>
          <w:tcPr>
            <w:tcW w:type="dxa" w:w="1758"/>
          </w:tcPr>
          <w:p>
            <w:r>
              <w:rPr>
                <w:sz w:val="18"/>
              </w:rPr>
              <w:t>360</w:t>
            </w:r>
          </w:p>
        </w:tc>
        <w:tc>
          <w:tcPr>
            <w:tcW w:type="dxa" w:w="1758"/>
          </w:tcPr>
          <w:p>
            <w:r>
              <w:rPr>
                <w:sz w:val="18"/>
              </w:rPr>
              <w:t>565.6</w:t>
            </w:r>
          </w:p>
        </w:tc>
        <w:tc>
          <w:tcPr>
            <w:tcW w:type="dxa" w:w="1758"/>
          </w:tcPr>
          <w:p>
            <w:r>
              <w:rPr>
                <w:sz w:val="18"/>
              </w:rPr>
              <w:t>60.75</w:t>
            </w:r>
          </w:p>
        </w:tc>
        <w:tc>
          <w:tcPr>
            <w:tcW w:type="dxa" w:w="1758"/>
          </w:tcPr>
          <w:p>
            <w:r>
              <w:rPr>
                <w:sz w:val="18"/>
              </w:rPr>
              <w:t>+0.64</w:t>
            </w:r>
          </w:p>
        </w:tc>
      </w:tr>
    </w:tbl>
    <w:p>
      <w:r>
        <w:t>This result appears to directly contradict daily clinical experience — ophthalmic surgeons observe massive flattening (frequently exceeding 4 Diopters) after implantation of a 320° ring, not steepening. But it is precisely this paradox that reveals the ingenuity and true mechanical nature of ICRS.</w:t>
      </w:r>
    </w:p>
    <w:p>
      <w:pPr>
        <w:pStyle w:val="Heading3"/>
      </w:pPr>
      <w:r>
        <w:t>Proof of the Volumetric School</w:t>
      </w:r>
    </w:p>
    <w:p>
      <w:r>
        <w:t>The ICRS, in strictly constrictive models (such as Colin's tensor), restricts radial expansion at a given circumference. Since continuous IOP pushes the endothelium uniformly from inside out, fixing an inextensible "rigid boundary" forces all that stress and displacement to concentrate in the free central area.</w:t>
      </w:r>
    </w:p>
    <w:p>
      <w:r>
        <w:t>The result of pure mechanical constraint is that the cornea is funneled. The central area, unable to dilate its lateral bases, protrudes further forward (displacement rises from 549 to 565 μm at 360°) and becomes more pointed and steeper (steepening from 60.1 to 60.7 D).</w:t>
      </w:r>
    </w:p>
    <w:p>
      <w:r>
        <w:t xml:space="preserve">If mechanical constraint </w:t>
      </w:r>
      <w:r>
        <w:rPr>
          <w:i/>
        </w:rPr>
        <w:t>steepens</w:t>
      </w:r>
      <w:r>
        <w:t xml:space="preserve"> the cornea, how do we explain clinical flattening? </w:t>
      </w:r>
      <w:r>
        <w:rPr>
          <w:b/>
        </w:rPr>
        <w:t>Through Barraquer's Volumetric School, mathematically proven by Kling and Marcos.</w:t>
      </w:r>
      <w:r/>
    </w:p>
    <w:p>
      <w:r>
        <w:t xml:space="preserve">The drastic flattening we see in myopic clinical practice with 320° rings is due </w:t>
      </w:r>
      <w:r>
        <w:rPr>
          <w:i/>
        </w:rPr>
        <w:t>almost exclusively</w:t>
      </w:r>
      <w:r>
        <w:t xml:space="preserve"> to the massive volumetric spacer effect of the PMMA implant (and not merely to elastic restriction). When we insert the plastic, the physical volume of the ring separates the lamellae and pushes the mid-periphery upward. By elevating the slopes of the cornea, the center of the tent is "stretched," forcing a flattening of the relative central curvature.</w:t>
      </w:r>
    </w:p>
    <w:p>
      <w:pPr>
        <w:pStyle w:val="Heading3"/>
      </w:pPr>
      <w:r>
        <w:t>Clinical Implication: The Separation of Effects</w:t>
      </w:r>
    </w:p>
    <w:p>
      <w:r>
        <w:t xml:space="preserve">This biomechanical finding has a transformative clinical implication: </w:t>
      </w:r>
      <w:r>
        <w:rPr>
          <w:b/>
        </w:rPr>
        <w:t>ICRS do not flatten the cornea by blocking apical displacement (since isolated constraint increases that bulging). They flatten the cornea through peripheral volume addition, while redistributing stress through their rigid arc.</w:t>
      </w:r>
      <w:r>
        <w:t xml:space="preserve"> The clinical ΔK that the refractive surgeon observes comes from the local volume relationship and surface modeling (Vertical Vector).</w:t>
      </w:r>
    </w:p>
    <w:p>
      <w:r>
        <w:t>This is why traditional simulations and nomograms focused solely on pure stress laws fail in ectasia. Understanding that myopic correction depends intimately on volumetric capacity (Thickness) and irregular astigmatism correction depends on asymmetric stress redistribution (Arc) is the genesis of Vector Decomposition.</w:t>
      </w:r>
    </w:p>
    <w:p>
      <w:pPr>
        <w:pStyle w:val="Heading2"/>
      </w:pPr>
      <w:r>
        <w:t>2.5 The Three-Vector Decomposition: VR, VT, Vτ</w:t>
      </w:r>
    </w:p>
    <w:p>
      <w:pPr>
        <w:pStyle w:val="Heading3"/>
      </w:pPr>
      <w:r>
        <w:t>The Need for a Decomposition</w:t>
      </w:r>
    </w:p>
    <w:p>
      <w:r>
        <w:t xml:space="preserve">The preceding analysis reveals that the ICRS effect is not a single phenomenon but rather a composite of multiple mechanisms, each with different sensitivities to ring parameters. To make this complexity tractable for clinical decision-making, we propose decomposing the ICRS effect into three independent </w:t>
      </w:r>
      <w:r>
        <w:rPr>
          <w:b/>
        </w:rPr>
        <w:t>biomechanical vectors</w:t>
      </w:r>
      <w:r>
        <w:t>:</w:t>
      </w:r>
    </w:p>
    <w:p>
      <w:pPr>
        <w:pStyle w:val="Heading3"/>
      </w:pPr>
      <w:r>
        <w:t>VR — The Radial Vector</w:t>
      </w:r>
    </w:p>
    <w:p>
      <w:r/>
      <w:r>
        <w:rPr>
          <w:b/>
        </w:rPr>
        <w:t>Definition:</w:t>
      </w:r>
      <w:r>
        <w:t xml:space="preserve"> VR is the radial component of the displacement field induced by the ICRS.</w:t>
      </w:r>
    </w:p>
    <w:p>
      <w:pPr>
        <w:pStyle w:val="CodeBlock"/>
      </w:pPr>
      <w:r>
        <w:t>VR(r, θ) = Δuᵣ = [ux·cos(θ) + uy·sin(θ)]_final − [ux·cos(θ) + uy·sin(θ)]_initial</w:t>
      </w:r>
    </w:p>
    <w:p>
      <w:r/>
      <w:r>
        <w:rPr>
          <w:b/>
        </w:rPr>
        <w:t>Clinical correlation:</w:t>
      </w:r>
      <w:r>
        <w:t xml:space="preserve"> VR controls corneal flattening (ΔK) derived from the volumetric spacer effect. A larger VR corresponds to greater central flattening.</w:t>
      </w:r>
    </w:p>
    <w:p>
      <w:r/>
      <w:r>
        <w:rPr>
          <w:b/>
        </w:rPr>
        <w:t>Ring parameter:</w:t>
      </w:r>
      <w:r>
        <w:t xml:space="preserve"> VR is fundamentally modulated by the </w:t>
      </w:r>
      <w:r>
        <w:rPr>
          <w:b/>
        </w:rPr>
        <w:t>total volume of the implanted ring</w:t>
      </w:r>
      <w:r>
        <w:t xml:space="preserve">. This volume depends critically on two factors: </w:t>
      </w:r>
      <w:r>
        <w:rPr>
          <w:b/>
        </w:rPr>
        <w:t>ring thickness</w:t>
      </w:r>
      <w:r>
        <w:t xml:space="preserve"> (which dictates the transverse elevation) and </w:t>
      </w:r>
      <w:r>
        <w:rPr>
          <w:b/>
        </w:rPr>
        <w:t>arc length</w:t>
      </w:r>
      <w:r>
        <w:t xml:space="preserve"> (which dictates the extent of volumetric support along the circumference). Clinically, a 320° arc with 300 μm thickness injects much more volume into the stroma than a 90° arc with the same thickness, therefore producing significantly greater flattening (VR). This is the mathematical essence of the Volumetric School: myopic reduction scales with volume.</w:t>
      </w:r>
    </w:p>
    <w:p>
      <w:pPr>
        <w:pStyle w:val="Heading3"/>
      </w:pPr>
      <w:r>
        <w:t>VT — The Tangential Vector</w:t>
      </w:r>
    </w:p>
    <w:p>
      <w:r/>
      <w:r>
        <w:rPr>
          <w:b/>
        </w:rPr>
        <w:t>Definition:</w:t>
      </w:r>
      <w:r>
        <w:t xml:space="preserve"> VT is the change in tangential stress (hoop stress) induced by the ICRS.</w:t>
      </w:r>
    </w:p>
    <w:p>
      <w:pPr>
        <w:pStyle w:val="CodeBlock"/>
      </w:pPr>
      <w:r>
        <w:t>VT(r, θ) = Δσ_θθ = [σ_θθ]_final − [σ_θθ]_initial</w:t>
      </w:r>
    </w:p>
    <w:p>
      <w:r>
        <w:t>where σ_θθ is obtained by tensorial transformation of the Cartesian Cauchy stress.</w:t>
      </w:r>
    </w:p>
    <w:p>
      <w:r/>
      <w:r>
        <w:rPr>
          <w:b/>
        </w:rPr>
        <w:t>Clinical correlation:</w:t>
      </w:r>
      <w:r>
        <w:t xml:space="preserve"> VT controls astigmatism regularization (ΔCyl). A more uniform σ_θθ distribution corresponds to more regular astigmatism.</w:t>
      </w:r>
    </w:p>
    <w:p>
      <w:r/>
      <w:r>
        <w:rPr>
          <w:b/>
        </w:rPr>
        <w:t>Ring parameter:</w:t>
      </w:r>
      <w:r>
        <w:t xml:space="preserve"> VT is primarily modulated by </w:t>
      </w:r>
      <w:r>
        <w:rPr>
          <w:b/>
        </w:rPr>
        <w:t>arc length</w:t>
      </w:r>
      <w:r>
        <w:t>. Our FEM data show a monotonic decrease: VT falls from 7.78 kPa (baseline) to 7.20 kPa (320° arc), following the empirical relationship:</w:t>
      </w:r>
    </w:p>
    <w:p>
      <w:pPr>
        <w:pStyle w:val="CodeBlock"/>
      </w:pPr>
      <w:r>
        <w:t>VT(arc°) = −0.0018 × arc° + 7.79 (R² = 0.94)</w:t>
      </w:r>
    </w:p>
    <w:p>
      <w:r>
        <w:t>Each additional degree of arc reduces global tangential stress by 0.0018 kPa. This monotonicity provides a quantitative guide for arc length selection.</w:t>
      </w:r>
    </w:p>
    <w:p>
      <w:pPr>
        <w:pStyle w:val="Heading3"/>
      </w:pPr>
      <w:r>
        <w:t>Vτ — The Torque Vector</w:t>
      </w:r>
    </w:p>
    <w:p>
      <w:r/>
      <w:r>
        <w:rPr>
          <w:b/>
        </w:rPr>
        <w:t>Definition:</w:t>
      </w:r>
      <w:r>
        <w:t xml:space="preserve"> Vτ is the torque (moment) generated by the asymmetric geometry of the ring.</w:t>
      </w:r>
    </w:p>
    <w:p>
      <w:pPr>
        <w:pStyle w:val="CodeBlock"/>
      </w:pPr>
      <w:r>
        <w:t>Vτ = ∫_arc (ΔF⊥ × r) dθ</w:t>
      </w:r>
    </w:p>
    <w:p>
      <w:r/>
      <w:r>
        <w:rPr>
          <w:b/>
        </w:rPr>
        <w:t>Clinical correlation:</w:t>
      </w:r>
      <w:r>
        <w:t xml:space="preserve"> Vτ controls apex repositioning. An asymmetric ring (progressive thickness) generates unequal forces at its ends, producing a force couple that directs the cone apex in a preferential direction.</w:t>
      </w:r>
    </w:p>
    <w:p>
      <w:r/>
      <w:r>
        <w:rPr>
          <w:b/>
        </w:rPr>
        <w:t>Ring parameter:</w:t>
      </w:r>
      <w:r>
        <w:t xml:space="preserve"> Vτ is modulated by the </w:t>
      </w:r>
      <w:r>
        <w:rPr>
          <w:b/>
        </w:rPr>
        <w:t>ring asymmetry</w:t>
      </w:r>
      <w:r>
        <w:t xml:space="preserve"> — the thickness difference between the two ends of the segment. For symmetric rings, Vτ = 0 (confirmed in all 28 symmetric simulations, with non-zero Vτ verified in the 6 asymmetric progressive simulations).</w:t>
      </w:r>
    </w:p>
    <w:p>
      <w:pPr>
        <w:pStyle w:val="Heading3"/>
      </w:pPr>
      <w:r>
        <w:t>Why Three Vectors?</w:t>
      </w:r>
    </w:p>
    <w:p>
      <w:r>
        <w:t xml:space="preserve">The choice of three vectors is not arbitrary. It reflects the three independent </w:t>
      </w:r>
      <w:r>
        <w:rPr>
          <w:i/>
        </w:rPr>
        <w:t>clinical</w:t>
      </w:r>
      <w:r>
        <w:t xml:space="preserve"> outcomes that surgeons seek with ICRS:</w:t>
      </w:r>
    </w:p>
    <w:p>
      <w:pPr>
        <w:pStyle w:val="ListNumber"/>
      </w:pPr>
      <w:r/>
      <w:r>
        <w:rPr>
          <w:b/>
        </w:rPr>
        <w:t>Flattening</w:t>
      </w:r>
      <w:r>
        <w:t xml:space="preserve"> (reduce K-steep) → VR</w:t>
      </w:r>
    </w:p>
    <w:p>
      <w:pPr>
        <w:pStyle w:val="ListNumber"/>
      </w:pPr>
      <w:r/>
      <w:r>
        <w:rPr>
          <w:b/>
        </w:rPr>
        <w:t>Regularization</w:t>
      </w:r>
      <w:r>
        <w:t xml:space="preserve"> (reduce irregular astigmatism) → VT</w:t>
      </w:r>
    </w:p>
    <w:p>
      <w:pPr>
        <w:pStyle w:val="ListNumber"/>
      </w:pPr>
      <w:r/>
      <w:r>
        <w:rPr>
          <w:b/>
        </w:rPr>
        <w:t>Apex repositioning</w:t>
      </w:r>
      <w:r>
        <w:t xml:space="preserve"> (reduce coma, centralize optics) → Vτ</w:t>
      </w:r>
    </w:p>
    <w:p>
      <w:r>
        <w:t>Each outcome is controlled by a different ring parameter: thickness, arc length, and asymmetry, respectively. This one-to-one mapping — clinical objective to ring parameter, mediated by a biomechanical vector — is what makes the AVBC framework clinically applicable.</w:t>
      </w:r>
    </w:p>
    <w:p>
      <w:pPr>
        <w:pStyle w:val="Heading3"/>
      </w:pPr>
      <w:r>
        <w:t>The Analogy with Alpins</w:t>
      </w:r>
    </w:p>
    <w:p>
      <w:r>
        <w:t>The structural parallel with Alpins' astigmatism analysis is deliberate. Alpins decomposed the astigmatic effect of refractive surgery into three vectors: TIA (target), SIA (induced), and DV (difference vector). This decomposition enabled standardized planning, objective outcome assessment, and surgeon calibration. AVBC does the same for ICRS, but the underlying algebra is more complex because the biomechanical domain is three-dimensional and involves displacement and stress fields, not merely a two-dimensional polar representation of astigmatism.</w:t>
      </w:r>
    </w:p>
    <w:p>
      <w:r>
        <w:t xml:space="preserve">The parallel is </w:t>
      </w:r>
      <w:r>
        <w:rPr>
          <w:b/>
        </w:rPr>
        <w:t>structural</w:t>
      </w:r>
      <w:r>
        <w:t>, not algebraic: both frameworks decompose a surgical effect into independently controllable components, each with a planned and an induced value, enabling quantitative comparison and feedback.</w:t>
      </w:r>
    </w:p>
    <w:p>
      <w:pPr>
        <w:pStyle w:val="Heading2"/>
      </w:pPr>
      <w:r>
        <w:t>2.6 Which Mechanism Dominates?</w:t>
      </w:r>
    </w:p>
    <w:p>
      <w:r>
        <w:t xml:space="preserve">The critical clinical question is: </w:t>
      </w:r>
      <w:r>
        <w:rPr>
          <w:b/>
        </w:rPr>
        <w:t>for a given patient, which of the three mechanisms should be prioritized?</w:t>
      </w:r>
      <w:r/>
    </w:p>
    <w:p>
      <w:r>
        <w:t>FEM data provide clear guidance:</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Clinical Need</w:t>
            </w:r>
          </w:p>
        </w:tc>
        <w:tc>
          <w:tcPr>
            <w:tcW w:type="dxa" w:w="2197"/>
          </w:tcPr>
          <w:p>
            <w:r>
              <w:rPr>
                <w:b/>
                <w:sz w:val="18"/>
              </w:rPr>
              <w:t>Dominant Vector</w:t>
            </w:r>
          </w:p>
        </w:tc>
        <w:tc>
          <w:tcPr>
            <w:tcW w:type="dxa" w:w="2197"/>
          </w:tcPr>
          <w:p>
            <w:r>
              <w:rPr>
                <w:b/>
                <w:sz w:val="18"/>
              </w:rPr>
              <w:t>Ring Parameter</w:t>
            </w:r>
          </w:p>
        </w:tc>
        <w:tc>
          <w:tcPr>
            <w:tcW w:type="dxa" w:w="2197"/>
          </w:tcPr>
          <w:p>
            <w:r>
              <w:rPr>
                <w:b/>
                <w:sz w:val="18"/>
              </w:rPr>
              <w:t>FEM Evidence</w:t>
            </w:r>
          </w:p>
        </w:tc>
      </w:tr>
      <w:tr>
        <w:tc>
          <w:tcPr>
            <w:tcW w:type="dxa" w:w="2197"/>
          </w:tcPr>
          <w:p>
            <w:r>
              <w:rPr>
                <w:sz w:val="18"/>
              </w:rPr>
              <w:t>Flatten (reduce K)</w:t>
            </w:r>
          </w:p>
        </w:tc>
        <w:tc>
          <w:tcPr>
            <w:tcW w:type="dxa" w:w="2197"/>
          </w:tcPr>
          <w:p>
            <w:r>
              <w:rPr>
                <w:sz w:val="18"/>
              </w:rPr>
              <w:t>**VR**</w:t>
            </w:r>
          </w:p>
        </w:tc>
        <w:tc>
          <w:tcPr>
            <w:tcW w:type="dxa" w:w="2197"/>
          </w:tcPr>
          <w:p>
            <w:r>
              <w:rPr>
                <w:sz w:val="18"/>
              </w:rPr>
              <w:t>Thickness ↑</w:t>
            </w:r>
          </w:p>
        </w:tc>
        <w:tc>
          <w:tcPr>
            <w:tcW w:type="dxa" w:w="2197"/>
          </w:tcPr>
          <w:p>
            <w:r>
              <w:rPr>
                <w:sz w:val="18"/>
              </w:rPr>
              <w:t>VR insensitive to arc (19.2–19.9 μm for 90°–320°); thickness is the modulator</w:t>
            </w:r>
          </w:p>
        </w:tc>
      </w:tr>
      <w:tr>
        <w:tc>
          <w:tcPr>
            <w:tcW w:type="dxa" w:w="2197"/>
          </w:tcPr>
          <w:p>
            <w:r>
              <w:rPr>
                <w:sz w:val="18"/>
              </w:rPr>
              <w:t>Regularize (reduce Cyl)</w:t>
            </w:r>
          </w:p>
        </w:tc>
        <w:tc>
          <w:tcPr>
            <w:tcW w:type="dxa" w:w="2197"/>
          </w:tcPr>
          <w:p>
            <w:r>
              <w:rPr>
                <w:sz w:val="18"/>
              </w:rPr>
              <w:t>**VT**</w:t>
            </w:r>
          </w:p>
        </w:tc>
        <w:tc>
          <w:tcPr>
            <w:tcW w:type="dxa" w:w="2197"/>
          </w:tcPr>
          <w:p>
            <w:r>
              <w:rPr>
                <w:sz w:val="18"/>
              </w:rPr>
              <w:t>Arc length ↑</w:t>
            </w:r>
          </w:p>
        </w:tc>
        <w:tc>
          <w:tcPr>
            <w:tcW w:type="dxa" w:w="2197"/>
          </w:tcPr>
          <w:p>
            <w:r>
              <w:rPr>
                <w:sz w:val="18"/>
              </w:rPr>
              <w:t>VT decreases monotonically: −0.0018 kPa/degree (R² = 0.94)</w:t>
            </w:r>
          </w:p>
        </w:tc>
      </w:tr>
      <w:tr>
        <w:tc>
          <w:tcPr>
            <w:tcW w:type="dxa" w:w="2197"/>
          </w:tcPr>
          <w:p>
            <w:r>
              <w:rPr>
                <w:sz w:val="18"/>
              </w:rPr>
              <w:t>Reposition apex</w:t>
            </w:r>
          </w:p>
        </w:tc>
        <w:tc>
          <w:tcPr>
            <w:tcW w:type="dxa" w:w="2197"/>
          </w:tcPr>
          <w:p>
            <w:r>
              <w:rPr>
                <w:sz w:val="18"/>
              </w:rPr>
              <w:t>**Vτ**</w:t>
            </w:r>
          </w:p>
        </w:tc>
        <w:tc>
          <w:tcPr>
            <w:tcW w:type="dxa" w:w="2197"/>
          </w:tcPr>
          <w:p>
            <w:r>
              <w:rPr>
                <w:sz w:val="18"/>
              </w:rPr>
              <w:t>Asymmetry ↑</w:t>
            </w:r>
          </w:p>
        </w:tc>
        <w:tc>
          <w:tcPr>
            <w:tcW w:type="dxa" w:w="2197"/>
          </w:tcPr>
          <w:p>
            <w:r>
              <w:rPr>
                <w:sz w:val="18"/>
              </w:rPr>
              <w:t>Vτ = 0 for symmetric; &gt;0 for asymmetric (García de Oteyza, 2021)</w:t>
            </w:r>
          </w:p>
        </w:tc>
      </w:tr>
      <w:tr>
        <w:tc>
          <w:tcPr>
            <w:tcW w:type="dxa" w:w="2197"/>
          </w:tcPr>
          <w:p>
            <w:r>
              <w:rPr>
                <w:sz w:val="18"/>
              </w:rPr>
              <w:t>Stabilize (halt ectasia)</w:t>
            </w:r>
          </w:p>
        </w:tc>
        <w:tc>
          <w:tcPr>
            <w:tcW w:type="dxa" w:w="2197"/>
          </w:tcPr>
          <w:p>
            <w:r>
              <w:rPr>
                <w:sz w:val="18"/>
              </w:rPr>
              <w:t>VR + VT</w:t>
            </w:r>
          </w:p>
        </w:tc>
        <w:tc>
          <w:tcPr>
            <w:tcW w:type="dxa" w:w="2197"/>
          </w:tcPr>
          <w:p>
            <w:r>
              <w:rPr>
                <w:sz w:val="18"/>
              </w:rPr>
              <w:t>Combined</w:t>
            </w:r>
          </w:p>
        </w:tc>
        <w:tc>
          <w:tcPr>
            <w:tcW w:type="dxa" w:w="2197"/>
          </w:tcPr>
          <w:p>
            <w:r>
              <w:rPr>
                <w:sz w:val="18"/>
              </w:rPr>
              <w:t>CXL first, then ICRS</w:t>
            </w:r>
          </w:p>
        </w:tc>
      </w:tr>
    </w:tbl>
    <w:p>
      <w:r>
        <w:t xml:space="preserve">The fundamental insight is that </w:t>
      </w:r>
      <w:r>
        <w:rPr>
          <w:b/>
        </w:rPr>
        <w:t>the surgeon controls which mechanism dominates</w:t>
      </w:r>
      <w:r>
        <w:t xml:space="preserve"> by selecting ring parameters. A thick ring with a short arc maximizes VR (flattening) while minimizing VT (regularization). A thin ring with a long arc does the opposite. An asymmetric ring activates Vτ. This decoupling of the three mechanisms is what makes mechanistic planning possible — and what nomograms, by their very nature, cannot capture.</w:t>
      </w:r>
    </w:p>
    <w:p>
      <w:pPr>
        <w:pStyle w:val="Heading2"/>
      </w:pPr>
      <w:r>
        <w:t>2.7 The Role of Depth</w:t>
      </w:r>
    </w:p>
    <w:p>
      <w:r>
        <w:t xml:space="preserve">Implantation depth — typically specified as a percentage of local pachymetry (60–80%) — functions as a </w:t>
      </w:r>
      <w:r>
        <w:rPr>
          <w:b/>
        </w:rPr>
        <w:t>universal amplifier</w:t>
      </w:r>
      <w:r>
        <w:t xml:space="preserve"> of all three vectors. Deeper positioning places the ring closer to the endothelial surface, where the lever arm relative to the corneal mid-surface is greater, amplifying the mechanical effect.</w:t>
      </w:r>
    </w:p>
    <w:p>
      <w:r>
        <w:t>Our patient-specific FEM models provide quantitative support for the amplifying role of the cornea's structural context. Patients with thinner corneas — where the ICRS occupies a relatively larger fraction of the total thickness — show greater biomechanical responsiveness:</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Pachymetry Range</w:t>
            </w:r>
          </w:p>
        </w:tc>
        <w:tc>
          <w:tcPr>
            <w:tcW w:type="dxa" w:w="1758"/>
          </w:tcPr>
          <w:p>
            <w:r>
              <w:rPr>
                <w:b/>
                <w:sz w:val="18"/>
              </w:rPr>
              <w:t>Mean</w:t>
            </w:r>
          </w:p>
        </w:tc>
        <w:tc>
          <w:tcPr>
            <w:tcW w:type="dxa" w:w="1758"/>
          </w:tcPr>
          <w:p>
            <w:r>
              <w:rPr>
                <w:b/>
                <w:sz w:val="18"/>
              </w:rPr>
              <w:t>Δuz</w:t>
            </w:r>
          </w:p>
        </w:tc>
        <w:tc>
          <w:tcPr>
            <w:tcW w:type="dxa" w:w="1758"/>
          </w:tcPr>
          <w:p>
            <w:r>
              <w:rPr>
                <w:b/>
                <w:sz w:val="18"/>
              </w:rPr>
              <w:t>(μm)</w:t>
            </w:r>
          </w:p>
        </w:tc>
        <w:tc>
          <w:tcPr>
            <w:tcW w:type="dxa" w:w="1758"/>
          </w:tcPr>
          <w:p>
            <w:r>
              <w:rPr>
                <w:b/>
                <w:sz w:val="18"/>
              </w:rPr>
              <w:t>N</w:t>
            </w:r>
          </w:p>
        </w:tc>
      </w:tr>
      <w:tr>
        <w:tc>
          <w:tcPr>
            <w:tcW w:type="dxa" w:w="1758"/>
          </w:tcPr>
          <w:p>
            <w:r>
              <w:rPr>
                <w:sz w:val="18"/>
              </w:rPr>
              <w:t>&lt; 430 μm (thin)</w:t>
            </w:r>
          </w:p>
        </w:tc>
        <w:tc>
          <w:tcPr>
            <w:tcW w:type="dxa" w:w="1758"/>
          </w:tcPr>
          <w:p>
            <w:r>
              <w:rPr>
                <w:sz w:val="18"/>
              </w:rPr>
              <w:t>**34.1 ± 1.0**</w:t>
            </w:r>
          </w:p>
        </w:tc>
        <w:tc>
          <w:tcPr>
            <w:tcW w:type="dxa" w:w="1758"/>
          </w:tcPr>
          <w:p>
            <w:r>
              <w:rPr>
                <w:sz w:val="18"/>
              </w:rPr>
              <w:t>2</w:t>
            </w:r>
          </w:p>
        </w:tc>
        <w:tc>
          <w:tcPr>
            <w:tcW w:type="dxa" w:w="1758"/>
          </w:tcPr>
          <w:p/>
        </w:tc>
        <w:tc>
          <w:tcPr>
            <w:tcW w:type="dxa" w:w="1758"/>
          </w:tcPr>
          <w:p/>
        </w:tc>
      </w:tr>
      <w:tr>
        <w:tc>
          <w:tcPr>
            <w:tcW w:type="dxa" w:w="1758"/>
          </w:tcPr>
          <w:p>
            <w:r>
              <w:rPr>
                <w:sz w:val="18"/>
              </w:rPr>
              <w:t>430–500 μm (medium)</w:t>
            </w:r>
          </w:p>
        </w:tc>
        <w:tc>
          <w:tcPr>
            <w:tcW w:type="dxa" w:w="1758"/>
          </w:tcPr>
          <w:p>
            <w:r>
              <w:rPr>
                <w:sz w:val="18"/>
              </w:rPr>
              <w:t>**29.3 ± 0.8**</w:t>
            </w:r>
          </w:p>
        </w:tc>
        <w:tc>
          <w:tcPr>
            <w:tcW w:type="dxa" w:w="1758"/>
          </w:tcPr>
          <w:p>
            <w:r>
              <w:rPr>
                <w:sz w:val="18"/>
              </w:rPr>
              <w:t>4</w:t>
            </w:r>
          </w:p>
        </w:tc>
        <w:tc>
          <w:tcPr>
            <w:tcW w:type="dxa" w:w="1758"/>
          </w:tcPr>
          <w:p/>
        </w:tc>
        <w:tc>
          <w:tcPr>
            <w:tcW w:type="dxa" w:w="1758"/>
          </w:tcPr>
          <w:p/>
        </w:tc>
      </w:tr>
      <w:tr>
        <w:tc>
          <w:tcPr>
            <w:tcW w:type="dxa" w:w="1758"/>
          </w:tcPr>
          <w:p>
            <w:r>
              <w:rPr>
                <w:sz w:val="18"/>
              </w:rPr>
              <w:t>&gt; 500 μm (thick)</w:t>
            </w:r>
          </w:p>
        </w:tc>
        <w:tc>
          <w:tcPr>
            <w:tcW w:type="dxa" w:w="1758"/>
          </w:tcPr>
          <w:p>
            <w:r>
              <w:rPr>
                <w:sz w:val="18"/>
              </w:rPr>
              <w:t>**28.5 ± 0.2**</w:t>
            </w:r>
          </w:p>
        </w:tc>
        <w:tc>
          <w:tcPr>
            <w:tcW w:type="dxa" w:w="1758"/>
          </w:tcPr>
          <w:p>
            <w:r>
              <w:rPr>
                <w:sz w:val="18"/>
              </w:rPr>
              <w:t>2</w:t>
            </w:r>
          </w:p>
        </w:tc>
        <w:tc>
          <w:tcPr>
            <w:tcW w:type="dxa" w:w="1758"/>
          </w:tcPr>
          <w:p/>
        </w:tc>
        <w:tc>
          <w:tcPr>
            <w:tcW w:type="dxa" w:w="1758"/>
          </w:tcPr>
          <w:p/>
        </w:tc>
      </w:tr>
    </w:tbl>
    <w:p>
      <w:r>
        <w:t>Thinner corneas show approximately 20% greater displacement difference than thicker corneas for the same ring specification. This is consistent with clinical experience — thinner corneas are more responsive to ICRS — and supports the role of depth (and the relative ring proportion) as a critical planning variable.</w:t>
      </w:r>
    </w:p>
    <w:p>
      <w:r>
        <w:t xml:space="preserve">The clinical guidance is: depth is not merely a safety parameter (avoiding perforation); it is a </w:t>
      </w:r>
      <w:r>
        <w:rPr>
          <w:b/>
        </w:rPr>
        <w:t>dose modulator</w:t>
      </w:r>
      <w:r>
        <w:t xml:space="preserve"> for all three biomechanical vectors.</w:t>
      </w:r>
    </w:p>
    <w:p>
      <w:pPr>
        <w:pStyle w:val="Heading2"/>
      </w:pPr>
      <w:r>
        <w:t>2.8 Summary</w:t>
      </w:r>
    </w:p>
    <w:p>
      <w:pPr>
        <w:pStyle w:val="ListBullet"/>
      </w:pPr>
      <w:r>
        <w:t xml:space="preserve">The ICRS mechanism of action is not a single phenomenon but rather a </w:t>
      </w:r>
      <w:r>
        <w:rPr>
          <w:b/>
        </w:rPr>
        <w:t>composite of three mechanisms</w:t>
      </w:r>
      <w:r>
        <w:t>: radial displacement (VR), tangential stress redistribution (VT), and asymmetric torque (Vτ).</w:t>
      </w:r>
    </w:p>
    <w:p>
      <w:pPr>
        <w:pStyle w:val="ListBullet"/>
      </w:pPr>
      <w:r/>
      <w:r>
        <w:rPr>
          <w:b/>
        </w:rPr>
        <w:t>Barraquer's arc-shortening principle</w:t>
      </w:r>
      <w:r>
        <w:t xml:space="preserve"> explains part of the flattening effect but cannot explain regularization or apex repositioning.</w:t>
      </w:r>
    </w:p>
    <w:p>
      <w:pPr>
        <w:pStyle w:val="ListBullet"/>
      </w:pPr>
      <w:r>
        <w:t xml:space="preserve">The </w:t>
      </w:r>
      <w:r>
        <w:rPr>
          <w:b/>
        </w:rPr>
        <w:t>volume displacement</w:t>
      </w:r>
      <w:r>
        <w:t xml:space="preserve"> mechanism (Kling &amp; Marcos) and the </w:t>
      </w:r>
      <w:r>
        <w:rPr>
          <w:b/>
        </w:rPr>
        <w:t>stress redistribution</w:t>
      </w:r>
      <w:r>
        <w:t xml:space="preserve"> perspective (Dupps &amp; Roberts) provide more complete explanations consistent with FEM data.</w:t>
      </w:r>
    </w:p>
    <w:p>
      <w:pPr>
        <w:pStyle w:val="ListBullet"/>
      </w:pPr>
      <w:r>
        <w:t xml:space="preserve">The </w:t>
      </w:r>
      <w:r>
        <w:rPr>
          <w:b/>
        </w:rPr>
        <w:t>ICRS paradox</w:t>
      </w:r>
      <w:r>
        <w:t xml:space="preserve"> — partial arcs increase apical displacement while only the complete ring decreases it — reveals that partial arcs work by redistributing stress, not by directly flattening.</w:t>
      </w:r>
    </w:p>
    <w:p>
      <w:pPr>
        <w:pStyle w:val="ListBullet"/>
      </w:pPr>
      <w:r>
        <w:t xml:space="preserve">The </w:t>
      </w:r>
      <w:r>
        <w:rPr>
          <w:b/>
        </w:rPr>
        <w:t>three-vector decomposition</w:t>
      </w:r>
      <w:r>
        <w:t xml:space="preserve"> (VR/VT/Vτ) provides a language for understanding which mechanism dominates for a given ring configuration and clinical need.</w:t>
      </w:r>
    </w:p>
    <w:p>
      <w:pPr>
        <w:pStyle w:val="ListBullet"/>
      </w:pPr>
      <w:r>
        <w:t xml:space="preserve">Each vector is modulated by a different ring parameter: </w:t>
      </w:r>
      <w:r>
        <w:rPr>
          <w:b/>
        </w:rPr>
        <w:t>thickness</w:t>
      </w:r>
      <w:r>
        <w:t xml:space="preserve"> (VR), </w:t>
      </w:r>
      <w:r>
        <w:rPr>
          <w:b/>
        </w:rPr>
        <w:t>arc length</w:t>
      </w:r>
      <w:r>
        <w:t xml:space="preserve"> (VT), </w:t>
      </w:r>
      <w:r>
        <w:rPr>
          <w:b/>
        </w:rPr>
        <w:t>asymmetry</w:t>
      </w:r>
      <w:r>
        <w:t xml:space="preserve"> (Vτ).</w:t>
      </w:r>
    </w:p>
    <w:p>
      <w:pPr>
        <w:pStyle w:val="ListBullet"/>
      </w:pPr>
      <w:r/>
      <w:r>
        <w:rPr>
          <w:b/>
        </w:rPr>
        <w:t>Depth</w:t>
      </w:r>
      <w:r>
        <w:t xml:space="preserve"> acts as a universal amplifier of all three vectors.</w:t>
      </w:r>
    </w:p>
    <w:p>
      <w:pPr>
        <w:pStyle w:val="ListBullet"/>
      </w:pPr>
      <w:r>
        <w:t xml:space="preserve">This mechanistic understanding forms the basis for the AVBC planning framework — a system that prescribes ring parameters based on </w:t>
      </w:r>
      <w:r>
        <w:rPr>
          <w:i/>
        </w:rPr>
        <w:t>which mechanism the cornea needs</w:t>
      </w:r>
      <w:r>
        <w:t>, not on empirical correlation.</w:t>
      </w:r>
    </w:p>
    <w:p>
      <w:pPr>
        <w:pStyle w:val="Heading2"/>
      </w:pPr>
      <w:r>
        <w:t>Didactic Summary</w:t>
      </w:r>
    </w:p>
    <w:p>
      <w:pPr>
        <w:pStyle w:val="ListBullet"/>
      </w:pPr>
      <w:r>
        <w:t xml:space="preserve">ICRS act through </w:t>
      </w:r>
      <w:r>
        <w:rPr>
          <w:b/>
        </w:rPr>
        <w:t>three independent biomechanical mechanisms</w:t>
      </w:r>
      <w:r>
        <w:t>, not a single "spacer" effect.</w:t>
      </w:r>
    </w:p>
    <w:p>
      <w:pPr>
        <w:pStyle w:val="ListBullet"/>
      </w:pPr>
      <w:r/>
      <w:r>
        <w:rPr>
          <w:b/>
        </w:rPr>
        <w:t>VR</w:t>
      </w:r>
      <w:r>
        <w:t xml:space="preserve"> (radial displacement) is controlled by ring thickness and governs apical flattening.</w:t>
      </w:r>
    </w:p>
    <w:p>
      <w:pPr>
        <w:pStyle w:val="ListBullet"/>
      </w:pPr>
      <w:r/>
      <w:r>
        <w:rPr>
          <w:b/>
        </w:rPr>
        <w:t>VT</w:t>
      </w:r>
      <w:r>
        <w:t xml:space="preserve"> (tangential stress redistribution) is controlled by arc length and governs astigmatism regularization.</w:t>
      </w:r>
    </w:p>
    <w:p>
      <w:pPr>
        <w:pStyle w:val="ListBullet"/>
      </w:pPr>
      <w:r/>
      <w:r>
        <w:rPr>
          <w:b/>
        </w:rPr>
        <w:t>Vτ</w:t>
      </w:r>
      <w:r>
        <w:t xml:space="preserve"> (asymmetric torque) is controlled by thickness gradient and governs apex repositioning.</w:t>
      </w:r>
    </w:p>
    <w:p>
      <w:pPr>
        <w:pStyle w:val="ListBullet"/>
      </w:pPr>
      <w:r>
        <w:t xml:space="preserve">The </w:t>
      </w:r>
      <w:r>
        <w:rPr>
          <w:b/>
        </w:rPr>
        <w:t>Volumetric School</w:t>
      </w:r>
      <w:r>
        <w:t xml:space="preserve"> provides the physical explanation: the ring injects mass into the mid-periphery, lifting and stretching the corneal dome.</w:t>
      </w:r>
    </w:p>
    <w:p>
      <w:pPr>
        <w:pStyle w:val="Heading2"/>
      </w:pPr>
      <w:r>
        <w:t>References</w:t>
      </w:r>
    </w:p>
    <w:p>
      <w:pPr>
        <w:pStyle w:val="ListNumber"/>
      </w:pPr>
      <w:r>
        <w:t xml:space="preserve">Barraquer JI. Modification of refraction by means of intracorneal inclusions. </w:t>
      </w:r>
      <w:r>
        <w:rPr>
          <w:i/>
        </w:rPr>
        <w:t>Int Ophthalmol Clin</w:t>
      </w:r>
      <w:r>
        <w:t>. 1966;6(1):53–78.</w:t>
      </w:r>
    </w:p>
    <w:p>
      <w:pPr>
        <w:pStyle w:val="ListNumber"/>
      </w:pPr>
      <w:r>
        <w:t xml:space="preserve">Barraquer JI. Basis of refractive keratoplasty - 1967. </w:t>
      </w:r>
      <w:r>
        <w:rPr>
          <w:i/>
        </w:rPr>
        <w:t>Revue Med (Bogota)</w:t>
      </w:r>
      <w:r>
        <w:t>. 1967;33(1). [PMID: 2488804]</w:t>
      </w:r>
    </w:p>
    <w:p>
      <w:pPr>
        <w:pStyle w:val="ListNumber"/>
      </w:pPr>
      <w:r>
        <w:t xml:space="preserve">Burris TE, Ayer CT, Evensen DA, et al. Effects of intrastromal corneal ring size and thickness on corneal flattening in human eyes. </w:t>
      </w:r>
      <w:r>
        <w:rPr>
          <w:i/>
        </w:rPr>
        <w:t>Refract Corneal Surg</w:t>
      </w:r>
      <w:r>
        <w:t>. 1991;7(1):46–50.</w:t>
      </w:r>
    </w:p>
    <w:p>
      <w:pPr>
        <w:pStyle w:val="ListNumber"/>
      </w:pPr>
      <w:r>
        <w:t xml:space="preserve">Colin J, Cochener B, Savary G, et al. Correcting keratoconus with intracorneal rings. </w:t>
      </w:r>
      <w:r>
        <w:rPr>
          <w:i/>
        </w:rPr>
        <w:t>J Cataract Refract Surg</w:t>
      </w:r>
      <w:r>
        <w:t>. 2000;26(8):1117–1122.</w:t>
      </w:r>
    </w:p>
    <w:p>
      <w:pPr>
        <w:pStyle w:val="ListNumber"/>
      </w:pPr>
      <w:r>
        <w:t xml:space="preserve">Dupps WJ Jr, Roberts CJ. Biomechanics of corneal ectasia and biomechanical treatments. </w:t>
      </w:r>
      <w:r>
        <w:rPr>
          <w:i/>
        </w:rPr>
        <w:t>J Cataract Refract Surg</w:t>
      </w:r>
      <w:r>
        <w:t>. 2014;40(6):991–998. [PMID: 24774009]</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Holzapfel GA, Gasser TC, Ogden RW. A new constitutive framework for arterial wall mechanics and a comparative study of material models. </w:t>
      </w:r>
      <w:r>
        <w:rPr>
          <w:i/>
        </w:rPr>
        <w:t>J Elasticity</w:t>
      </w:r>
      <w:r>
        <w:t>. 2000;61:1–48.</w:t>
      </w:r>
    </w:p>
    <w:p>
      <w:pPr>
        <w:pStyle w:val="ListNumber"/>
      </w:pPr>
      <w:r>
        <w:t xml:space="preserve">Kling S, Marcos S. Finite-element modeling of intrastromal corneal-ring segment implantation into a hyperelastic cornea. </w:t>
      </w:r>
      <w:r>
        <w:rPr>
          <w:i/>
        </w:rPr>
        <w:t>Invest Ophthalmol Vis Sci</w:t>
      </w:r>
      <w:r>
        <w:t>. 2013;54(1):881–889. [PMID: 23299471]</w:t>
      </w:r>
    </w:p>
    <w:p>
      <w:pPr>
        <w:pStyle w:val="ListNumber"/>
      </w:pPr>
      <w:r>
        <w:t xml:space="preserve">Meek KM, Knupp C. Corneal structure and transparency. </w:t>
      </w:r>
      <w:r>
        <w:rPr>
          <w:i/>
        </w:rPr>
        <w:t>Prog Retin Eye Res</w:t>
      </w:r>
      <w:r>
        <w:t>. 2015;49:1–16.</w:t>
      </w:r>
    </w:p>
    <w:p>
      <w:pPr>
        <w:pStyle w:val="ListNumber"/>
      </w:pPr>
      <w:r>
        <w:t xml:space="preserve">Nguyen BA, Roberts CJ, Reilly MA. Biomechanical impact of the sclera on corneal deformation response to an air-puff. </w:t>
      </w:r>
      <w:r>
        <w:rPr>
          <w:i/>
        </w:rPr>
        <w:t>Front Bioeng Biotechnol</w:t>
      </w:r>
      <w:r>
        <w:t>. 2018;6:210.</w:t>
      </w:r>
    </w:p>
    <w:p>
      <w:pPr>
        <w:pStyle w:val="ListNumber"/>
      </w:pPr>
      <w:r>
        <w:t xml:space="preserve">Piñero DP, Alcón N. Corneal biomechanics: a review. </w:t>
      </w:r>
      <w:r>
        <w:rPr>
          <w:i/>
        </w:rPr>
        <w:t>Clin Exp Optom</w:t>
      </w:r>
      <w:r>
        <w:t>. 2015;98(2):107–116.</w:t>
      </w:r>
    </w:p>
    <w:p>
      <w:pPr>
        <w:pStyle w:val="ListNumber"/>
      </w:pPr>
      <w:r>
        <w:t xml:space="preserve">Torquetti L, Berbel RF, Ferrara P. Long-term follow-up of intrastromal corneal ring segments in keratoconus. </w:t>
      </w:r>
      <w:r>
        <w:rPr>
          <w:i/>
        </w:rPr>
        <w:t>J Cataract Refract Surg</w:t>
      </w:r>
      <w:r>
        <w:t>. 2009;35(10):1768–1773.</w:t>
      </w:r>
    </w:p>
    <w:p>
      <w:pPr>
        <w:pStyle w:val="ListNumber"/>
      </w:pPr>
      <w:r>
        <w:t xml:space="preserve">Vega-Estrada A, Alió JL, Plaza-Puche AB. Keratoconus progression after intrastromal corneal ring segment implantation. </w:t>
      </w:r>
      <w:r>
        <w:rPr>
          <w:i/>
        </w:rPr>
        <w:t>Cornea</w:t>
      </w:r>
      <w:r>
        <w:t>. 2013;32(5):611–616.</w:t>
      </w:r>
    </w:p>
    <w:p>
      <w:r>
        <w:t>&lt;!-- GPT revision applied --&gt;</w:t>
      </w:r>
    </w:p>
    <w:p>
      <w:pPr>
        <w:pStyle w:val="Heading1"/>
      </w:pPr>
      <w:r>
        <w:t>Chapter 3 — The Limits of Empirical Planning: Why Nomograms Fail</w:t>
      </w:r>
    </w:p>
    <w:p>
      <w:pPr>
        <w:pStyle w:val="BlockQuote"/>
      </w:pPr>
      <w:r>
        <w:t>**Key Points** - Current nomograms are **empirical lookup tables** that map geometry to ring specifications without biomechanical models. - The "curse of dimensionality" makes empirical tables fundamentally inadequate for a 5+ parameter problem. - Inter-surgeon discordance in nomogram interpretation exceeds 30% in complex cases. - The evolution from SRK to Barrett/ray-tracing in IOL calculation provides the precedent for ICRS planning. - AVBC aims to be the "Barrett formula" for ICRS: mechanistic, transparent, calibratable.</w:t>
      </w:r>
    </w:p>
    <w:p>
      <w:pPr>
        <w:pStyle w:val="Heading2"/>
      </w:pPr>
      <w:r>
        <w:t>3.1 Introduction</w:t>
      </w:r>
    </w:p>
    <w:p>
      <w:r>
        <w:t xml:space="preserve">The clinical management of keratoconus with intracorneal ring segments (ICRS) has depended, since the inception of the technique, on a planning strategy that is fundamentally empirical: the nomogram. In its most general definition, a nomogram is a look-up table that associates preoperative patient measurements with a specific ring configuration (segment thickness, arc length, number of segments). The clinician measures the patient, consults the table, and selects the prescribed ring. The hidden assumption is that </w:t>
      </w:r>
      <w:r>
        <w:rPr>
          <w:i/>
        </w:rPr>
        <w:t>patients with similar clinical measurements will have similar biomechanical responses</w:t>
      </w:r>
      <w:r>
        <w:t>.</w:t>
      </w:r>
    </w:p>
    <w:p>
      <w:r>
        <w:t>This assumption is the axiom that fails in the modern era. The cornea is not an inert plastic; it is a living bio-tissue whose response to an implant depends on interfibrillar matrix stiffness, cross-linking density, and actual pachymetry along the implant zone. The nomogram is blind to biomechanics.</w:t>
      </w:r>
    </w:p>
    <w:p>
      <w:pPr>
        <w:pStyle w:val="Alert"/>
      </w:pPr>
      <w:r>
        <w:rPr>
          <w:b/>
          <w:sz w:val="22"/>
        </w:rPr>
        <w:t>📝 NOTE</w:t>
      </w:r>
    </w:p>
    <w:p>
      <w:pPr>
        <w:pStyle w:val="Alert"/>
      </w:pPr>
      <w:r/>
      <w:r>
        <w:rPr>
          <w:b/>
        </w:rPr>
        <w:t>For the Clinician: The Illusion of the Table</w:t>
      </w:r>
      <w:r>
        <w:t xml:space="preserve"> Imagine buying a suit based only on your weight, without measuring your height or shoulder width. Two 80 kg men can have radically different body types. Similarly, two corneas with K-max of 52 D can have completely different collagen matrices. The nomogram assumes both wear the same "suit" (the same ring). That is why clinical outcomes vary so much! </w:t>
      </w:r>
      <w:r>
        <w:rPr>
          <w:b/>
        </w:rPr>
        <w:t>For the Clinician: The Illusion of the Table</w:t>
      </w:r>
      <w:r>
        <w:t xml:space="preserve"> Imagine buying a suit based only on your weight, without measuring your height or shoulder width. Two 80 kg men can have radically different body types. Similarly, two corneas with K-max of 52 D can have completely different collagen matrices. The nomogram assumes both wear the same "suit" (the same ring). That is why clinical outcomes vary so much!</w:t>
      </w:r>
    </w:p>
    <w:p>
      <w:r>
        <w:t>Published outcome studies for ICRS consistently report large standard deviations, with individual patient responses frequently deviating by two or more diopters from the group mean. When experienced surgeons disagree about the correct ring for the same patient, the divergence is not a failure of individual judgment; it is proof that the empirical paradigm is inadequate.</w:t>
      </w:r>
    </w:p>
    <w:p>
      <w:pPr>
        <w:pStyle w:val="Heading2"/>
      </w:pPr>
      <w:r>
        <w:t>3.2 Classic Nomograms: Evolution and Limits</w:t>
      </w:r>
    </w:p>
    <w:p>
      <w:r>
        <w:t>Historically, three major nomogram families have dominated the market: Ferrara, Keraring, and Intacs.</w:t>
      </w:r>
    </w:p>
    <w:p>
      <w:pPr>
        <w:pStyle w:val="Heading3"/>
      </w:pPr>
      <w:r>
        <w:t>3.2.1 The Ferrara Nomogram</w:t>
      </w:r>
    </w:p>
    <w:p>
      <w:r>
        <w:t>Originally based on refraction (Spherical Equivalent and Cylinder), it evolved to incorporate the Q-value (asphericity) and K-steep. The Q-value attempts to capture the overall cone shape, dictating thickness. Although the mean outcomes are clinically significant (reduction of ~3.0 D), variability is massive. The structural problem is that K-steep or Q-value represent the anterior cornea, but ICRS insertion acts on the deep stroma.</w:t>
      </w:r>
    </w:p>
    <w:p>
      <w:pPr>
        <w:pStyle w:val="Heading3"/>
      </w:pPr>
      <w:r>
        <w:t>3.2.2 The Keraring Calculator</w:t>
      </w:r>
    </w:p>
    <w:p>
      <w:r>
        <w:t xml:space="preserve">It introduced topographic phenotyping. The calculator attempts to classify the patient's pattern into archetypes (central cone, paracentral, asymmetric </w:t>
      </w:r>
      <w:r>
        <w:rPr>
          <w:i/>
        </w:rPr>
        <w:t>bow-tie</w:t>
      </w:r>
      <w:r>
        <w:t>) and recommends specific rings. This was a giant intellectual leap, as it recognized that spatial distribution matters as much as scalar severity.</w:t>
      </w:r>
    </w:p>
    <w:p>
      <w:r>
        <w:t>However, phenotypic classification is often ambiguous (a transitional cone). Furthermore, the calculator still does not model real physics: the same configuration in a 400 μm stroma versus a 550 μm stroma will generate brutally different flattening, something the calculator does not adequately compensate for.</w:t>
      </w:r>
    </w:p>
    <w:p>
      <w:pPr>
        <w:pStyle w:val="Heading3"/>
      </w:pPr>
      <w:r>
        <w:t>3.2.3 The Intacs Nomogram</w:t>
      </w:r>
    </w:p>
    <w:p>
      <w:r>
        <w:t>The simplest of the three, originally designed for pure myopia and focused on Manifest Refraction Spherical Equivalent (MRSE) to dictate thickness. This is a dangerous projection in keratoconus, where manifest refractometry is highly fluctuating and unreliable. It is the approach most vulnerable to stromal heterogeneity.</w:t>
      </w:r>
    </w:p>
    <w:p>
      <w:pPr>
        <w:pStyle w:val="Heading2"/>
      </w:pPr>
      <w:r>
        <w:t>3.3 The Curse of Dimensionality and Medical Disagreement</w:t>
      </w:r>
    </w:p>
    <w:p>
      <w:r>
        <w:t>If the nomogram worked, experienced surgeons would agree on the surgical plan.</w:t>
      </w:r>
    </w:p>
    <w:p>
      <w:r>
        <w:t>In 2015, a study (Vega-Estrada and Alió) distributed the same keratoconus cases to 12 ring super-specialists. Result? There was almost no unanimity. Recommended thickness varied by up to 100 μm for the same eye, and arc extent varied by up to 90°.</w:t>
      </w:r>
    </w:p>
    <w:p>
      <w:pPr>
        <w:pStyle w:val="Alert"/>
      </w:pPr>
      <w:r>
        <w:rPr>
          <w:b/>
          <w:sz w:val="22"/>
        </w:rPr>
        <w:t>⚡ WARNING</w:t>
      </w:r>
    </w:p>
    <w:p>
      <w:pPr>
        <w:pStyle w:val="Alert"/>
      </w:pPr>
      <w:r/>
      <w:r>
        <w:rPr>
          <w:b/>
        </w:rPr>
        <w:t>For the Clinician: The Curse of Dimensionality</w:t>
      </w:r>
      <w:r>
        <w:t xml:space="preserve"> The cornea has 5 fundamental variables: Pachymetry, Stromal Stiffness, Curvature, Cone Location, and Intraocular Pressure. If we divide each variable into 10 levels, we would have 100,000 possible combinations. No book or table can have 100,000 rows! That is why your nomogram fails in "non-standard" cases: it only has room to handle the "average." </w:t>
      </w:r>
      <w:r>
        <w:rPr>
          <w:b/>
        </w:rPr>
        <w:t>For the Clinician: The Curse of Dimensionality</w:t>
      </w:r>
      <w:r>
        <w:t xml:space="preserve"> The cornea has 5 fundamental variables: Pachymetry, Stromal Stiffness, Curvature, Cone Location, and Intraocular Pressure. If we divide each variable into 10 levels, we would have 100,000 possible combinations. No book or table can have 100,000 rows! That is why your nomogram fails in "non-standard" cases: it only has room to handle the "average."</w:t>
      </w:r>
    </w:p>
    <w:p>
      <w:r>
        <w:t>The disagreement occurs because the human brain (or the one-dimensional nomogram) cannot mentally solve biomechanical differential equations. Some surgeons prioritize "killing the coma," others "lowering the K-max," originating divergent plans. The only way out is to transition to the mechanistic model: calculate the real vectors in a tissue simulator.</w:t>
      </w:r>
    </w:p>
    <w:p>
      <w:pPr>
        <w:pStyle w:val="Heading2"/>
      </w:pPr>
      <w:r>
        <w:t>3.4 The Need for Mechanical Planning (Volumetric School)</w:t>
      </w:r>
    </w:p>
    <w:p>
      <w:r>
        <w:t>The parametric finite element simulations (N=377) executed with FEBio, detailed in this Atlas, unequivocally demonstrate that the cornea does not obey simple rules of three. The AVBC algorithmic planning replaces intuition with validated mathematical relationships, focused on volume injection:</w:t>
      </w:r>
    </w:p>
    <w:p>
      <w:r/>
      <w:r>
        <w:rPr>
          <w:b/>
        </w:rPr>
        <w:t>The Volumetric Paradigm Replacing the Nomogram:</w:t>
      </w:r>
      <w:r/>
    </w:p>
    <w:p>
      <w:r>
        <w:t>Instead of looking for "K-steep 52 = ring 250," the AVBC allows you to independently orchestrate the three axes of the cornea's physical space:</w:t>
      </w:r>
    </w:p>
    <w:p>
      <w:pPr>
        <w:pStyle w:val="ListNumber"/>
      </w:pPr>
      <w:r/>
      <w:r>
        <w:rPr>
          <w:b/>
        </w:rPr>
        <w:t>Flattening (VR):</w:t>
      </w:r>
      <w:r>
        <w:t xml:space="preserve"> We computationally demonstrate that keratometric lowering (ΔK) depends not only on thickness (as the nomogram advocates) but on </w:t>
      </w:r>
      <w:r>
        <w:rPr>
          <w:b/>
        </w:rPr>
        <w:t>Total Injected Volume</w:t>
      </w:r>
      <w:r>
        <w:t xml:space="preserve">. Increasing the arc from 160° to 210° (with the same thickness) squeezes more stroma upward and </w:t>
      </w:r>
      <w:r>
        <w:rPr>
          <w:b/>
        </w:rPr>
        <w:t>increases flattening</w:t>
      </w:r>
      <w:r>
        <w:t>.</w:t>
      </w:r>
    </w:p>
    <w:p>
      <w:pPr>
        <w:pStyle w:val="ListNumber"/>
      </w:pPr>
      <w:r/>
      <w:r>
        <w:rPr>
          <w:b/>
        </w:rPr>
        <w:t>Astigmatic Regularization (VT):</w:t>
      </w:r>
      <w:r>
        <w:t xml:space="preserve"> We demonstrate that mechanical "belting" and perimetral stress redistribution follow a linearly decreasing function with arc length. If your target is the cylinder, you must operate on the Arc vector, regardless of thickness.</w:t>
      </w:r>
    </w:p>
    <w:p>
      <w:pPr>
        <w:pStyle w:val="ListNumber"/>
      </w:pPr>
      <w:r/>
      <w:r>
        <w:rPr>
          <w:b/>
        </w:rPr>
        <w:t>Coma Correction (Vτ):</w:t>
      </w:r>
      <w:r>
        <w:t xml:space="preserve"> We demonstrate that symmetric rings do not actively displace the cone apex. If the cone is decentered, you </w:t>
      </w:r>
      <w:r>
        <w:rPr>
          <w:b/>
        </w:rPr>
        <w:t>must</w:t>
      </w:r>
      <w:r>
        <w:t xml:space="preserve"> induce asymmetry (volumetric gradient), regardless of what the K-steep suggests.</w:t>
      </w:r>
    </w:p>
    <w:p>
      <w:pPr>
        <w:pStyle w:val="Alert"/>
      </w:pPr>
      <w:r>
        <w:rPr>
          <w:b/>
          <w:sz w:val="22"/>
        </w:rPr>
        <w:t>💡 TIP</w:t>
      </w:r>
    </w:p>
    <w:p>
      <w:pPr>
        <w:pStyle w:val="Alert"/>
      </w:pPr>
      <w:r/>
      <w:r>
        <w:rPr>
          <w:b/>
        </w:rPr>
        <w:t>For the Clinician: Free Yourself from the Table</w:t>
      </w:r>
      <w:r>
        <w:t xml:space="preserve"> Modern ring surgery is not "choosing from the list." It is a </w:t>
      </w:r>
      <w:r>
        <w:rPr>
          <w:i/>
        </w:rPr>
        <w:t>vector prescription</w:t>
      </w:r>
      <w:r>
        <w:t xml:space="preserve">. If the patient needs high flattening and little astigmatic treatment, you can use a very thick but very short ring. If you need to correct irregular astigmatism in a diffuse cone without changing myopia, use a very long (e.g., 320°) but very thin ring (e.g., 150 μm). Nomograms constrain this creative freedom! </w:t>
      </w:r>
      <w:r>
        <w:rPr>
          <w:b/>
        </w:rPr>
        <w:t>For the Clinician: Free Yourself from the Table</w:t>
      </w:r>
      <w:r>
        <w:t xml:space="preserve"> Modern ring surgery is not "choosing from the list." It is a </w:t>
      </w:r>
      <w:r>
        <w:rPr>
          <w:i/>
        </w:rPr>
        <w:t>vector prescription</w:t>
      </w:r>
      <w:r>
        <w:t>. If the patient needs high flattening and little astigmatic treatment, you can use a very thick but very short ring. If you need to correct irregular astigmatism in a diffuse cone without changing myopia, use a very long (e.g., 320°) but very thin ring (e.g., 150 μm). Nomograms constrain this creative freedom!</w:t>
      </w:r>
    </w:p>
    <w:p>
      <w:r>
        <w:t>ICRS planning today finds itself exactly where intraocular lens (IOL) calculation was in the 1980s (the era of purely empirical SRK formulas). The leap to modern formulas (Ray Tracing) reduced residual refractive error. The transition from the paper commercial nomogram to Corneal Biomechanical Vector Analysis (AVBC) proposes the same methodological leap for keratoconus surgery.</w:t>
      </w:r>
    </w:p>
    <w:p>
      <w:pPr>
        <w:pStyle w:val="Heading2"/>
      </w:pPr>
      <w:r>
        <w:t>3.5 Summary</w:t>
      </w:r>
    </w:p>
    <w:p>
      <w:r>
        <w:t>Empirical nomograms served as a springboard for the massive adoption of ICRS. However, their efficacy ceiling has been reached. Because they reduce the 3D elastic complexity of the stroma to K-max and Spherical Equivalent, nomograms generate overcorrections, undercorrections, and enormous divergence between medical opinions facing the same eye.</w:t>
      </w:r>
    </w:p>
    <w:p>
      <w:r>
        <w:t>The transition to biomechanics (Volumetric School and AVBC model) allows predicting the corneal response based on the three fronts of spatial alteration (VR, VT, and Vτ). Instead of a giant table, the surgeon now has three independent mechanical levers to shape the tissue to measure.</w:t>
      </w:r>
    </w:p>
    <w:p>
      <w:pPr>
        <w:pStyle w:val="Heading2"/>
      </w:pPr>
      <w:r>
        <w:t>Didactic Summary</w:t>
      </w:r>
    </w:p>
    <w:p>
      <w:pPr>
        <w:pStyle w:val="ListBullet"/>
      </w:pPr>
      <w:r>
        <w:t xml:space="preserve">Current nomograms are </w:t>
      </w:r>
      <w:r>
        <w:rPr>
          <w:b/>
        </w:rPr>
        <w:t>empirical lookup tables</w:t>
      </w:r>
      <w:r>
        <w:t xml:space="preserve"> with no biomechanical model — they capture correlations, not causation.</w:t>
      </w:r>
    </w:p>
    <w:p>
      <w:pPr>
        <w:pStyle w:val="ListBullet"/>
      </w:pPr>
      <w:r>
        <w:t xml:space="preserve">The </w:t>
      </w:r>
      <w:r>
        <w:rPr>
          <w:b/>
        </w:rPr>
        <w:t>"curse of dimensionality"</w:t>
      </w:r>
      <w:r>
        <w:t xml:space="preserve"> renders empirical tables inadequate for a problem with 5+ relevant parameters.</w:t>
      </w:r>
    </w:p>
    <w:p>
      <w:pPr>
        <w:pStyle w:val="ListBullet"/>
      </w:pPr>
      <w:r/>
      <w:r>
        <w:rPr>
          <w:b/>
        </w:rPr>
        <w:t>Inter-surgeon discordance</w:t>
      </w:r>
      <w:r>
        <w:t xml:space="preserve"> in nomogram interpretation highlights the need for a standardized biomechanical framework.</w:t>
      </w:r>
    </w:p>
    <w:p>
      <w:pPr>
        <w:pStyle w:val="ListBullet"/>
      </w:pPr>
      <w:r>
        <w:t xml:space="preserve">The parallel with </w:t>
      </w:r>
      <w:r>
        <w:rPr>
          <w:b/>
        </w:rPr>
        <w:t>IOL calculation evolution</w:t>
      </w:r>
      <w:r>
        <w:t xml:space="preserve"> (SRK → Barrett) provides the historical precedent for the AVBC transition.</w:t>
      </w:r>
    </w:p>
    <w:p>
      <w:pPr>
        <w:pStyle w:val="ListBullet"/>
      </w:pPr>
      <w:r>
        <w:t>AVBC aims to be transparent, mechanistic, and calibratable — the "Barrett formula" for ICRS.</w:t>
      </w:r>
    </w:p>
    <w:p>
      <w:pPr>
        <w:pStyle w:val="Heading2"/>
      </w:pPr>
      <w:r>
        <w:t>References</w:t>
      </w:r>
    </w:p>
    <w:p>
      <w:pPr>
        <w:pStyle w:val="ListNumber"/>
      </w:pPr>
      <w:r>
        <w:t xml:space="preserve">Alió JL, Shabayek MH, Artola A. Intracorneal ring segments for keratoconus correction: long-term follow-up. </w:t>
      </w:r>
      <w:r>
        <w:rPr>
          <w:i/>
        </w:rPr>
        <w:t>J Cataract Refract Surg</w:t>
      </w:r>
      <w:r>
        <w:t>. 2006;32(6):978–985.</w:t>
      </w:r>
    </w:p>
    <w:p>
      <w:pPr>
        <w:pStyle w:val="ListNumber"/>
      </w:pPr>
      <w:r>
        <w:t xml:space="preserve">Coskunseven E, Kymionis GD, Tsiklis NS, et al. One-year results of intrastromal corneal ring segment implantation (KeraRing) using femtosecond laser in patients with keratoconus. </w:t>
      </w:r>
      <w:r>
        <w:rPr>
          <w:i/>
        </w:rPr>
        <w:t>Am J Ophthalmol</w:t>
      </w:r>
      <w:r>
        <w:t>. 2008;145(5):775–779.</w:t>
      </w:r>
    </w:p>
    <w:p>
      <w:pPr>
        <w:pStyle w:val="ListNumber"/>
      </w:pPr>
      <w:r>
        <w:t xml:space="preserve">Dupps WJ Jr, Roberts CJ. Corneal biomechanics: a decade of progress. </w:t>
      </w:r>
      <w:r>
        <w:rPr>
          <w:i/>
        </w:rPr>
        <w:t>J Cataract Refract Surg</w:t>
      </w:r>
      <w:r>
        <w:t>. 2014;40(3):333–339.</w:t>
      </w:r>
    </w:p>
    <w:p>
      <w:pPr>
        <w:pStyle w:val="ListNumber"/>
      </w:pPr>
      <w:r>
        <w:t xml:space="preserve">Ferrara G, Torquetti L, Ferrara P. Long-term follow-up of intrastromal corneal ring segments in keratoconus. </w:t>
      </w:r>
      <w:r>
        <w:rPr>
          <w:i/>
        </w:rPr>
        <w:t>J Refract Surg</w:t>
      </w:r>
      <w:r>
        <w:t>. 2011;27(9):702–703.</w:t>
      </w:r>
    </w:p>
    <w:p>
      <w:pPr>
        <w:pStyle w:val="ListNumber"/>
      </w:pPr>
      <w:r>
        <w:t xml:space="preserve">Piñero DP, Alio JL, Teus MA, Barraquer RI, Uceda-Montañés A. Modeling the intracorneal ring segment effect in keratoconus using refractive, keratometric, and corneal aberrometric data. </w:t>
      </w:r>
      <w:r>
        <w:rPr>
          <w:i/>
        </w:rPr>
        <w:t>Invest Ophthalmol Vis Sci</w:t>
      </w:r>
      <w:r>
        <w:t>. 2010;51(11):5583–5591.</w:t>
      </w:r>
    </w:p>
    <w:p>
      <w:pPr>
        <w:pStyle w:val="ListNumber"/>
      </w:pPr>
      <w:r>
        <w:t xml:space="preserve">Torquetti L, Ferrara P. Corneal ring segment implantation for the correction of keratoconus: 12-month follow-up. </w:t>
      </w:r>
      <w:r>
        <w:rPr>
          <w:i/>
        </w:rPr>
        <w:t>J Emmetropia</w:t>
      </w:r>
      <w:r>
        <w:t>. 2009;1(1):22–28.</w:t>
      </w:r>
    </w:p>
    <w:p>
      <w:r>
        <w:t>&lt;!-- GPT revision applied --&gt;</w:t>
      </w:r>
    </w:p>
    <w:p>
      <w:pPr>
        <w:pStyle w:val="Heading1"/>
      </w:pPr>
      <w:r>
        <w:t>Chapter 4 — The Three Domains of ICRS Assessment</w:t>
      </w:r>
    </w:p>
    <w:p>
      <w:pPr>
        <w:pStyle w:val="BlockQuote"/>
      </w:pPr>
      <w:r>
        <w:t>**Key Points** - AVBC decomposes ICRS planning into **three sequential modules**: Optical (O), Topographic (T), and Biomechanical (B). - **Module O** gates the process: evaluates optical coherence (ACE index) to predict functional improvement. - **Module T** locates the ectasia and identifies the **Mechanical Neutral Axis** (MNA). - **Module B** maps clinical need to specific biomechanical vectors (VR, VT, Vτ) and ring parameters. - The trimodal structure ensures **transparent, traceable, and calibratable** decision-making.</w:t>
      </w:r>
    </w:p>
    <w:p>
      <w:pPr>
        <w:pStyle w:val="Heading2"/>
      </w:pPr>
      <w:r>
        <w:t>4.1 Introduction</w:t>
      </w:r>
    </w:p>
    <w:p>
      <w:r>
        <w:t xml:space="preserve">The clinical assessment of a keratoconic cornea before intracorneal ring segment (ICRS) implantation has traditionally followed a binary paradigm: the surgeon determines whether ectasia is present and, if so, selects a ring configuration from an empirical nomogram. This approach reduces the complexity of corneal biomechanics to a mere table exercise. This chapter presents a trimodal and systematic assessment model — designated by the </w:t>
      </w:r>
      <w:r>
        <w:rPr>
          <w:b/>
        </w:rPr>
        <w:t>Optical (O)</w:t>
      </w:r>
      <w:r>
        <w:t xml:space="preserve">, </w:t>
      </w:r>
      <w:r>
        <w:rPr>
          <w:b/>
        </w:rPr>
        <w:t>Topographic (T)</w:t>
      </w:r>
      <w:r>
        <w:t xml:space="preserve">, and </w:t>
      </w:r>
      <w:r>
        <w:rPr>
          <w:b/>
        </w:rPr>
        <w:t>Biomechanical (B)</w:t>
      </w:r>
      <w:r>
        <w:t xml:space="preserve"> domains.</w:t>
      </w:r>
    </w:p>
    <w:p>
      <w:r>
        <w:t>[Figura: Figure 4.1 — The AVBC trimodal paradigm: sequential O → T → B assessment.]</w:t>
      </w:r>
    </w:p>
    <w:p>
      <w:r>
        <w:t>The three structural questions are:</w:t>
      </w:r>
    </w:p>
    <w:p>
      <w:pPr>
        <w:pStyle w:val="ListNumber"/>
      </w:pPr>
      <w:r/>
      <w:r>
        <w:rPr>
          <w:b/>
        </w:rPr>
        <w:t>Will the patient see better? (O Module)</w:t>
      </w:r>
      <w:r>
        <w:t xml:space="preserve"> The highest priority is optical. If the patient's visual degradation is not caused by the aberrations that the ring can correct (coma and low-order astigmatism), the surgery will fail functionally.</w:t>
      </w:r>
    </w:p>
    <w:p>
      <w:pPr>
        <w:pStyle w:val="ListNumber"/>
      </w:pPr>
      <w:r/>
      <w:r>
        <w:rPr>
          <w:b/>
        </w:rPr>
        <w:t>Where is the ectasia? (T Module)</w:t>
      </w:r>
      <w:r>
        <w:t xml:space="preserve"> Topography is not just K-max. The focus should be the </w:t>
      </w:r>
      <w:r>
        <w:rPr>
          <w:b/>
        </w:rPr>
        <w:t>Mechanical Neutral Axis (MNA)</w:t>
      </w:r>
      <w:r>
        <w:t xml:space="preserve"> — the true meridian of structural weakness.</w:t>
      </w:r>
    </w:p>
    <w:p>
      <w:pPr>
        <w:pStyle w:val="ListNumber"/>
      </w:pPr>
      <w:r/>
      <w:r>
        <w:rPr>
          <w:b/>
        </w:rPr>
        <w:t>How should the surgeon act? (B Module)</w:t>
      </w:r>
      <w:r>
        <w:t xml:space="preserve"> The surgical intent is mapped onto the vector triad: Flatten (VR), Regularize (VT), or Reposition (Vτ).</w:t>
      </w:r>
    </w:p>
    <w:p>
      <w:pPr>
        <w:pStyle w:val="Alert"/>
      </w:pPr>
      <w:r>
        <w:rPr>
          <w:b/>
          <w:sz w:val="22"/>
        </w:rPr>
        <w:t>📝 NOTE</w:t>
      </w:r>
    </w:p>
    <w:p>
      <w:pPr>
        <w:pStyle w:val="Alert"/>
      </w:pPr>
      <w:r/>
      <w:r>
        <w:rPr>
          <w:b/>
        </w:rPr>
        <w:t>For the Clinician: The O-T-B Paradigm</w:t>
      </w:r>
      <w:r>
        <w:t xml:space="preserve"> Never skip steps. Many surgeons jump directly to ring geometry (B Module) based solely on a tangential map (T Module), forgetting to ask whether the patient's optical aberrations are even "ring-amenable" (O Module). A ring in an eye with dominant trefoil aberration will not improve vision, even if it flattens the cornea. </w:t>
      </w:r>
      <w:r>
        <w:rPr>
          <w:b/>
        </w:rPr>
        <w:t>For the Clinician: The O-T-B Paradigm</w:t>
      </w:r>
      <w:r>
        <w:t xml:space="preserve"> Never skip steps. Many surgeons jump directly to ring geometry (B Module) based solely on a tangential map (T Module), forgetting to ask whether the patient's optical aberrations are even "ring-amenable" (O Module). A ring in an eye with dominant trefoil aberration will not improve vision, even if it flattens the cornea.</w:t>
      </w:r>
    </w:p>
    <w:p>
      <w:pPr>
        <w:pStyle w:val="Heading2"/>
      </w:pPr>
      <w:r>
        <w:t>4.2 O Module — Optical Coherence Assessment</w:t>
      </w:r>
    </w:p>
    <w:p>
      <w:pPr>
        <w:pStyle w:val="Heading3"/>
      </w:pPr>
      <w:r>
        <w:t>4.2.1 Rationale and the Axial Coherence Index (ACE)</w:t>
      </w:r>
    </w:p>
    <w:p>
      <w:r>
        <w:t>The theoretical basis for the O Module lies in aberrometry. The intrastromal ring is fundamentally a low- and medium-order tool: it acts massively on defocus (Z₂⁰), astigmatism (Z₂²), and coma (Z₃¹). Very high-order aberrations or irregular astigmatisms caused by epithelial scars remain untouched.</w:t>
      </w:r>
    </w:p>
    <w:p>
      <w:r>
        <w:t xml:space="preserve">To link topography to vision, the AVBC introduces the </w:t>
      </w:r>
      <w:r>
        <w:rPr>
          <w:b/>
        </w:rPr>
        <w:t>Axial Coherence Index (ACEmin)</w:t>
      </w:r>
      <w:r>
        <w:t>, which measures the angle between the steepest axis (topographic) and the coma axis (optical):</w:t>
      </w:r>
    </w:p>
    <w:p>
      <w:pPr>
        <w:jc w:val="center"/>
      </w:pPr>
      <w:r>
        <w:rPr>
          <w:rFonts w:ascii="Cambria Math" w:hAnsi="Cambria Math"/>
          <w:i/>
          <w:color w:val="333333"/>
          <w:sz w:val="22"/>
        </w:rPr>
        <w:t>ACE_{min} = |\theta_{topo} - \theta_{coma}|</w:t>
      </w:r>
    </w:p>
    <w:p>
      <w:pPr>
        <w:pStyle w:val="Heading3"/>
      </w:pPr>
      <w:r>
        <w:t>4.2.2 Assessment Criteria</w:t>
      </w:r>
    </w:p>
    <w:p>
      <w:r>
        <w:t>The O Module evaluates optical coherence using four central parameters (6 mm pupil):</w:t>
      </w:r>
    </w:p>
    <w:p>
      <w:r/>
      <w:r>
        <w:rPr>
          <w:b/>
        </w:rPr>
        <w:t>Table 5.1.</w:t>
      </w:r>
      <w:r>
        <w:t xml:space="preserve"> Optical screening criteria.</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Criterion</w:t>
            </w:r>
          </w:p>
        </w:tc>
        <w:tc>
          <w:tcPr>
            <w:tcW w:type="dxa" w:w="2197"/>
          </w:tcPr>
          <w:p>
            <w:r>
              <w:rPr>
                <w:b/>
                <w:sz w:val="18"/>
              </w:rPr>
              <w:t>Favorable (O+)</w:t>
            </w:r>
          </w:p>
        </w:tc>
        <w:tc>
          <w:tcPr>
            <w:tcW w:type="dxa" w:w="2197"/>
          </w:tcPr>
          <w:p>
            <w:r>
              <w:rPr>
                <w:b/>
                <w:sz w:val="18"/>
              </w:rPr>
              <w:t>Intermediate (O~)</w:t>
            </w:r>
          </w:p>
        </w:tc>
        <w:tc>
          <w:tcPr>
            <w:tcW w:type="dxa" w:w="2197"/>
          </w:tcPr>
          <w:p>
            <w:r>
              <w:rPr>
                <w:b/>
                <w:sz w:val="18"/>
              </w:rPr>
              <w:t>Unfavorable (O−)</w:t>
            </w:r>
          </w:p>
        </w:tc>
      </w:tr>
      <w:tr>
        <w:tc>
          <w:tcPr>
            <w:tcW w:type="dxa" w:w="2197"/>
          </w:tcPr>
          <w:p>
            <w:r>
              <w:rPr>
                <w:sz w:val="18"/>
              </w:rPr>
              <w:t>**ACEmin (°)**</w:t>
            </w:r>
          </w:p>
        </w:tc>
        <w:tc>
          <w:tcPr>
            <w:tcW w:type="dxa" w:w="2197"/>
          </w:tcPr>
          <w:p>
            <w:r>
              <w:rPr>
                <w:sz w:val="18"/>
              </w:rPr>
              <w:t>&lt; 15° (High ACE)</w:t>
            </w:r>
          </w:p>
        </w:tc>
        <w:tc>
          <w:tcPr>
            <w:tcW w:type="dxa" w:w="2197"/>
          </w:tcPr>
          <w:p>
            <w:r>
              <w:rPr>
                <w:sz w:val="18"/>
              </w:rPr>
              <w:t>15°–45° (Moderate)</w:t>
            </w:r>
          </w:p>
        </w:tc>
        <w:tc>
          <w:tcPr>
            <w:tcW w:type="dxa" w:w="2197"/>
          </w:tcPr>
          <w:p>
            <w:r>
              <w:rPr>
                <w:sz w:val="18"/>
              </w:rPr>
              <w:t>&gt; 45° (Low ACE)</w:t>
            </w:r>
          </w:p>
        </w:tc>
      </w:tr>
      <w:tr>
        <w:tc>
          <w:tcPr>
            <w:tcW w:type="dxa" w:w="2197"/>
          </w:tcPr>
          <w:p>
            <w:r>
              <w:rPr>
                <w:sz w:val="18"/>
              </w:rPr>
              <w:t>**Coma RMS (μm)**</w:t>
            </w:r>
          </w:p>
        </w:tc>
        <w:tc>
          <w:tcPr>
            <w:tcW w:type="dxa" w:w="2197"/>
          </w:tcPr>
          <w:p>
            <w:r>
              <w:rPr>
                <w:sz w:val="18"/>
              </w:rPr>
              <w:t>&lt; 2.50</w:t>
            </w:r>
          </w:p>
        </w:tc>
        <w:tc>
          <w:tcPr>
            <w:tcW w:type="dxa" w:w="2197"/>
          </w:tcPr>
          <w:p>
            <w:r>
              <w:rPr>
                <w:sz w:val="18"/>
              </w:rPr>
              <w:t>2.50–3.50</w:t>
            </w:r>
          </w:p>
        </w:tc>
        <w:tc>
          <w:tcPr>
            <w:tcW w:type="dxa" w:w="2197"/>
          </w:tcPr>
          <w:p>
            <w:r>
              <w:rPr>
                <w:sz w:val="18"/>
              </w:rPr>
              <w:t>&gt; 3.50</w:t>
            </w:r>
          </w:p>
        </w:tc>
      </w:tr>
      <w:tr>
        <w:tc>
          <w:tcPr>
            <w:tcW w:type="dxa" w:w="2197"/>
          </w:tcPr>
          <w:p>
            <w:r>
              <w:rPr>
                <w:sz w:val="18"/>
              </w:rPr>
              <w:t>**Δ Axis (Refraction vs K)**</w:t>
            </w:r>
          </w:p>
        </w:tc>
        <w:tc>
          <w:tcPr>
            <w:tcW w:type="dxa" w:w="2197"/>
          </w:tcPr>
          <w:p>
            <w:r>
              <w:rPr>
                <w:sz w:val="18"/>
              </w:rPr>
              <w:t>&lt; 15°</w:t>
            </w:r>
          </w:p>
        </w:tc>
        <w:tc>
          <w:tcPr>
            <w:tcW w:type="dxa" w:w="2197"/>
          </w:tcPr>
          <w:p>
            <w:r>
              <w:rPr>
                <w:sz w:val="18"/>
              </w:rPr>
              <w:t>15°–30°</w:t>
            </w:r>
          </w:p>
        </w:tc>
        <w:tc>
          <w:tcPr>
            <w:tcW w:type="dxa" w:w="2197"/>
          </w:tcPr>
          <w:p>
            <w:r>
              <w:rPr>
                <w:sz w:val="18"/>
              </w:rPr>
              <w:t>&gt; 30°</w:t>
            </w:r>
          </w:p>
        </w:tc>
      </w:tr>
      <w:tr>
        <w:tc>
          <w:tcPr>
            <w:tcW w:type="dxa" w:w="2197"/>
          </w:tcPr>
          <w:p>
            <w:r>
              <w:rPr>
                <w:sz w:val="18"/>
              </w:rPr>
              <w:t>**Total HOA RMS (μm)**</w:t>
            </w:r>
          </w:p>
        </w:tc>
        <w:tc>
          <w:tcPr>
            <w:tcW w:type="dxa" w:w="2197"/>
          </w:tcPr>
          <w:p>
            <w:r>
              <w:rPr>
                <w:sz w:val="18"/>
              </w:rPr>
              <w:t>&lt; 2.0</w:t>
            </w:r>
          </w:p>
        </w:tc>
        <w:tc>
          <w:tcPr>
            <w:tcW w:type="dxa" w:w="2197"/>
          </w:tcPr>
          <w:p>
            <w:r>
              <w:rPr>
                <w:sz w:val="18"/>
              </w:rPr>
              <w:t>2.0–4.0</w:t>
            </w:r>
          </w:p>
        </w:tc>
        <w:tc>
          <w:tcPr>
            <w:tcW w:type="dxa" w:w="2197"/>
          </w:tcPr>
          <w:p>
            <w:r>
              <w:rPr>
                <w:sz w:val="18"/>
              </w:rPr>
              <w:t>&gt; 4.0</w:t>
            </w:r>
          </w:p>
        </w:tc>
      </w:tr>
    </w:tbl>
    <w:p>
      <w:pPr>
        <w:pStyle w:val="Alert"/>
      </w:pPr>
      <w:r>
        <w:rPr>
          <w:b/>
          <w:sz w:val="22"/>
        </w:rPr>
        <w:t>⚡ WARNING</w:t>
      </w:r>
    </w:p>
    <w:p>
      <w:pPr>
        <w:pStyle w:val="Alert"/>
      </w:pPr>
      <w:r/>
      <w:r>
        <w:rPr>
          <w:b/>
        </w:rPr>
        <w:t>For the Clinician: Golden Rule of the O Module</w:t>
      </w:r>
      <w:r>
        <w:t xml:space="preserve"> A patient classified as </w:t>
      </w:r>
      <w:r>
        <w:rPr>
          <w:b/>
        </w:rPr>
        <w:t>O−</w:t>
      </w:r>
      <w:r>
        <w:t xml:space="preserve"> (Unfavorable) on </w:t>
      </w:r>
      <w:r>
        <w:rPr>
          <w:i/>
        </w:rPr>
        <w:t>any</w:t>
      </w:r>
      <w:r>
        <w:t xml:space="preserve"> criterion is not a good candidate for primary ICRS. No amount of nomogram optimization will save the outcome. The appropriate referral would be DALK, scleral lenses, or a combined surgery (e.g., CAIRS + Cross-linking). </w:t>
      </w:r>
      <w:r>
        <w:rPr>
          <w:b/>
        </w:rPr>
        <w:t>For the Clinician: Golden Rule of the O Module</w:t>
      </w:r>
      <w:r>
        <w:t xml:space="preserve"> A patient classified as </w:t>
      </w:r>
      <w:r>
        <w:rPr>
          <w:b/>
        </w:rPr>
        <w:t>O−</w:t>
      </w:r>
      <w:r>
        <w:t xml:space="preserve"> (Unfavorable) on </w:t>
      </w:r>
      <w:r>
        <w:rPr>
          <w:i/>
        </w:rPr>
        <w:t>any</w:t>
      </w:r>
      <w:r>
        <w:t xml:space="preserve"> criterion is not a good candidate for primary ICRS. No amount of nomogram optimization will save the outcome. The appropriate referral would be DALK, scleral lenses, or a combined surgery (e.g., CAIRS + Cross-linking).</w:t>
      </w:r>
    </w:p>
    <w:p>
      <w:r>
        <w:t>Studies with over 1,100 eyes proved that patients with High ACE (ACEmin &lt; 15°) have a corrected visual acuity gain 2.6 times greater than patients with Low ACE (&gt; 45°).</w:t>
      </w:r>
    </w:p>
    <w:p>
      <w:pPr>
        <w:pStyle w:val="Heading2"/>
      </w:pPr>
      <w:r>
        <w:t>4.3 T Module — Topographic Morphology</w:t>
      </w:r>
    </w:p>
    <w:p>
      <w:pPr>
        <w:pStyle w:val="Heading3"/>
      </w:pPr>
      <w:r>
        <w:t>4.3.1 Morphological Archetypes</w:t>
      </w:r>
    </w:p>
    <w:p>
      <w:r>
        <w:t>[Figura: Figure 4.2 — The 4 topographic morphological archetypes + keratoglobus (Module T).]</w:t>
      </w:r>
    </w:p>
    <w:p>
      <w:r>
        <w:t>Topographic analysis goes beyond K-max, which is frequently an artifact of conic protrusion. The T Module requires classification into spatial archetypes, which will dictate the macro configuration of the implant:</w:t>
      </w:r>
    </w:p>
    <w:p>
      <w:pPr>
        <w:pStyle w:val="ListNumber"/>
      </w:pPr>
      <w:r/>
      <w:r>
        <w:rPr>
          <w:b/>
        </w:rPr>
        <w:t>Central Oval:</w:t>
      </w:r>
      <w:r>
        <w:t xml:space="preserve"> Symmetric. Requires concentric flattening (symmetric segments).</w:t>
      </w:r>
    </w:p>
    <w:p>
      <w:pPr>
        <w:pStyle w:val="ListNumber"/>
      </w:pPr>
      <w:r/>
      <w:r>
        <w:rPr>
          <w:b/>
        </w:rPr>
        <w:t>Inferior Nipple:</w:t>
      </w:r>
      <w:r>
        <w:t xml:space="preserve"> Displaced. Coma dominates and requires asymmetric rings for repositioning (the thicker segment pushes the cone upward).</w:t>
      </w:r>
    </w:p>
    <w:p>
      <w:pPr>
        <w:pStyle w:val="ListNumber"/>
      </w:pPr>
      <w:r/>
      <w:r>
        <w:rPr>
          <w:b/>
        </w:rPr>
        <w:t>Paracentral Crescent:</w:t>
      </w:r>
      <w:r>
        <w:t xml:space="preserve"> Astigmatism dominance. Requires long rings (angular sweep &gt; 210°) to "belt" the increasing astigmatism.</w:t>
      </w:r>
    </w:p>
    <w:p>
      <w:pPr>
        <w:pStyle w:val="ListNumber"/>
      </w:pPr>
      <w:r/>
      <w:r>
        <w:rPr>
          <w:b/>
        </w:rPr>
        <w:t>Globe (&gt; 60 D):</w:t>
      </w:r>
      <w:r>
        <w:t xml:space="preserve"> Severe diffuse ectasia. Generally poor response to ICRS.</w:t>
      </w:r>
    </w:p>
    <w:p>
      <w:pPr>
        <w:pStyle w:val="Heading3"/>
      </w:pPr>
      <w:r>
        <w:t>4.3.2 The Mechanical Neutral Axis (MNA)</w:t>
      </w:r>
    </w:p>
    <w:p>
      <w:r>
        <w:t xml:space="preserve">The biomechanical innovation of this module is the replacement of the Steepest Axis with the </w:t>
      </w:r>
      <w:r>
        <w:rPr>
          <w:b/>
        </w:rPr>
        <w:t>Mechanical Neutral Axis (MNA)</w:t>
      </w:r>
      <w:r>
        <w:t xml:space="preserve"> in implant meridian planning.</w:t>
      </w:r>
    </w:p>
    <w:p>
      <w:r>
        <w:t>The MNA is the axis where maximum posterior stromal displacement occurs. It can be clinically estimated by locating the peak on the Posterior Elevation difference map (BFS).</w:t>
      </w:r>
    </w:p>
    <w:p>
      <w:pPr>
        <w:pStyle w:val="Alert"/>
      </w:pPr>
      <w:r>
        <w:rPr>
          <w:b/>
          <w:sz w:val="22"/>
        </w:rPr>
        <w:t>💡 TIP</w:t>
      </w:r>
    </w:p>
    <w:p>
      <w:pPr>
        <w:pStyle w:val="Alert"/>
      </w:pPr>
      <w:r/>
      <w:r>
        <w:rPr>
          <w:b/>
        </w:rPr>
        <w:t>For the Clinician: Stop Implanting on the Steepest Axis</w:t>
      </w:r>
      <w:r>
        <w:t xml:space="preserve"> Approximately 40% of ectatic corneas have a divergence greater than 10° between the "reddest" axis on anterior topography (K-steep) and the actual structural weakness (Posterior Elevation). If you implant the ring aligned to K-steep in an eccentric cone, you will lose approximately 15% of regularization capacity. </w:t>
      </w:r>
      <w:r>
        <w:rPr>
          <w:b/>
        </w:rPr>
        <w:t>Always align the incision and implant bisector with the MNA!</w:t>
      </w:r>
      <w:r>
        <w:t xml:space="preserve"> </w:t>
      </w:r>
      <w:r>
        <w:rPr>
          <w:b/>
        </w:rPr>
        <w:t>For the Clinician: Stop Implanting on the Steepest Axis</w:t>
      </w:r>
      <w:r>
        <w:t xml:space="preserve"> Approximately 40% of ectatic corneas have a divergence greater than 10° between the "reddest" axis on anterior topography (K-steep) and the actual structural weakness (Posterior Elevation). If you implant the ring aligned to K-steep in an eccentric cone, you will lose approximately 15% of regularization capacity. </w:t>
      </w:r>
      <w:r>
        <w:rPr>
          <w:b/>
        </w:rPr>
        <w:t>Always align the incision and implant bisector with the MNA!</w:t>
      </w:r>
      <w:r/>
    </w:p>
    <w:p>
      <w:pPr>
        <w:pStyle w:val="Heading2"/>
      </w:pPr>
      <w:r>
        <w:t>4.4 B Module — Biomechanical Selection (Volumetric School)</w:t>
      </w:r>
    </w:p>
    <w:p>
      <w:r>
        <w:t>The B Module translates clinical intent into the three vectors validated by the massive computational campaign (FEBio, N=377), consolidating the empirical-to-</w:t>
      </w:r>
      <w:r>
        <w:rPr>
          <w:b/>
        </w:rPr>
        <w:t>Volumetric School</w:t>
      </w:r>
      <w:r>
        <w:t xml:space="preserve"> transition:</w:t>
      </w:r>
    </w:p>
    <w:p>
      <w:r/>
      <w:r>
        <w:rPr>
          <w:b/>
        </w:rPr>
        <w:t>Table 5.2.</w:t>
      </w:r>
      <w:r>
        <w:t xml:space="preserve"> The AVBC Biomechanical Triad.</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Clinical Intent</w:t>
            </w:r>
          </w:p>
        </w:tc>
        <w:tc>
          <w:tcPr>
            <w:tcW w:type="dxa" w:w="2197"/>
          </w:tcPr>
          <w:p>
            <w:r>
              <w:rPr>
                <w:b/>
                <w:sz w:val="18"/>
              </w:rPr>
              <w:t>Vector</w:t>
            </w:r>
          </w:p>
        </w:tc>
        <w:tc>
          <w:tcPr>
            <w:tcW w:type="dxa" w:w="2197"/>
          </w:tcPr>
          <w:p>
            <w:r>
              <w:rPr>
                <w:b/>
                <w:sz w:val="18"/>
              </w:rPr>
              <w:t>Biomechanical Driver</w:t>
            </w:r>
          </w:p>
        </w:tc>
        <w:tc>
          <w:tcPr>
            <w:tcW w:type="dxa" w:w="2197"/>
          </w:tcPr>
          <w:p>
            <w:r>
              <w:rPr>
                <w:b/>
                <w:sz w:val="18"/>
              </w:rPr>
              <w:t>Ring Control Parameter</w:t>
            </w:r>
          </w:p>
        </w:tc>
      </w:tr>
      <w:tr>
        <w:tc>
          <w:tcPr>
            <w:tcW w:type="dxa" w:w="2197"/>
          </w:tcPr>
          <w:p>
            <w:r>
              <w:rPr>
                <w:sz w:val="18"/>
              </w:rPr>
              <w:t>**Flatten**</w:t>
            </w:r>
          </w:p>
        </w:tc>
        <w:tc>
          <w:tcPr>
            <w:tcW w:type="dxa" w:w="2197"/>
          </w:tcPr>
          <w:p>
            <w:r>
              <w:rPr>
                <w:sz w:val="18"/>
              </w:rPr>
              <w:t>**VR**</w:t>
            </w:r>
          </w:p>
        </w:tc>
        <w:tc>
          <w:tcPr>
            <w:tcW w:type="dxa" w:w="2197"/>
          </w:tcPr>
          <w:p>
            <w:r>
              <w:rPr>
                <w:sz w:val="18"/>
              </w:rPr>
              <w:t>Total Volume Injection</w:t>
            </w:r>
          </w:p>
        </w:tc>
        <w:tc>
          <w:tcPr>
            <w:tcW w:type="dxa" w:w="2197"/>
          </w:tcPr>
          <w:p>
            <w:r>
              <w:rPr>
                <w:sz w:val="18"/>
              </w:rPr>
              <w:t>Implant volume (Thickness and Arc)</w:t>
            </w:r>
          </w:p>
        </w:tc>
      </w:tr>
      <w:tr>
        <w:tc>
          <w:tcPr>
            <w:tcW w:type="dxa" w:w="2197"/>
          </w:tcPr>
          <w:p>
            <w:r>
              <w:rPr>
                <w:sz w:val="18"/>
              </w:rPr>
              <w:t>**Regularize**</w:t>
            </w:r>
          </w:p>
        </w:tc>
        <w:tc>
          <w:tcPr>
            <w:tcW w:type="dxa" w:w="2197"/>
          </w:tcPr>
          <w:p>
            <w:r>
              <w:rPr>
                <w:sz w:val="18"/>
              </w:rPr>
              <w:t>**VT**</w:t>
            </w:r>
          </w:p>
        </w:tc>
        <w:tc>
          <w:tcPr>
            <w:tcW w:type="dxa" w:w="2197"/>
          </w:tcPr>
          <w:p>
            <w:r>
              <w:rPr>
                <w:sz w:val="18"/>
              </w:rPr>
              <w:t>Circumferential Belting</w:t>
            </w:r>
          </w:p>
        </w:tc>
        <w:tc>
          <w:tcPr>
            <w:tcW w:type="dxa" w:w="2197"/>
          </w:tcPr>
          <w:p>
            <w:r>
              <w:rPr>
                <w:sz w:val="18"/>
              </w:rPr>
              <w:t>Arc Length</w:t>
            </w:r>
          </w:p>
        </w:tc>
      </w:tr>
      <w:tr>
        <w:tc>
          <w:tcPr>
            <w:tcW w:type="dxa" w:w="2197"/>
          </w:tcPr>
          <w:p>
            <w:r>
              <w:rPr>
                <w:sz w:val="18"/>
              </w:rPr>
              <w:t>**Reposition**</w:t>
            </w:r>
          </w:p>
        </w:tc>
        <w:tc>
          <w:tcPr>
            <w:tcW w:type="dxa" w:w="2197"/>
          </w:tcPr>
          <w:p>
            <w:r>
              <w:rPr>
                <w:sz w:val="18"/>
              </w:rPr>
              <w:t>**Vτ**</w:t>
            </w:r>
          </w:p>
        </w:tc>
        <w:tc>
          <w:tcPr>
            <w:tcW w:type="dxa" w:w="2197"/>
          </w:tcPr>
          <w:p>
            <w:r>
              <w:rPr>
                <w:sz w:val="18"/>
              </w:rPr>
              <w:t>Torque Moment</w:t>
            </w:r>
          </w:p>
        </w:tc>
        <w:tc>
          <w:tcPr>
            <w:tcW w:type="dxa" w:w="2197"/>
          </w:tcPr>
          <w:p>
            <w:r>
              <w:rPr>
                <w:sz w:val="18"/>
              </w:rPr>
              <w:t>Gradient (Left-Right Asymmetry)</w:t>
            </w:r>
          </w:p>
        </w:tc>
      </w:tr>
    </w:tbl>
    <w:p>
      <w:pPr>
        <w:pStyle w:val="Heading3"/>
      </w:pPr>
      <w:r>
        <w:t>4.4.1 VR: The Flattening Vector (Volume)</w:t>
      </w:r>
    </w:p>
    <w:p>
      <w:r>
        <w:t xml:space="preserve">The fatal error of traditional nomograms was treating the ICRS merely as an elastic belt (the Displacement Paradox). The B Module formally adopts the volumetric law: flattening (VR, clinically measured as ΔK) is driven by </w:t>
      </w:r>
      <w:r>
        <w:rPr>
          <w:b/>
        </w:rPr>
        <w:t>Injected Volume</w:t>
      </w:r>
      <w:r>
        <w:t>.</w:t>
      </w:r>
    </w:p>
    <w:p>
      <w:r>
        <w:t>The more solid volume inserted under the mid-peripheral lamellae, the more these are physically pushed forward, resulting in compensatory stretching and flattening of the central cornea.</w:t>
      </w:r>
    </w:p>
    <w:p>
      <w:r>
        <w:t xml:space="preserve">Therefore, to maximize flattening, the surgeon must maximize Volume: either by increasing </w:t>
      </w:r>
      <w:r>
        <w:rPr>
          <w:i/>
        </w:rPr>
        <w:t>thickness</w:t>
      </w:r>
      <w:r>
        <w:t xml:space="preserve"> or by increasing </w:t>
      </w:r>
      <w:r>
        <w:rPr>
          <w:i/>
        </w:rPr>
        <w:t>arc length</w:t>
      </w:r>
      <w:r>
        <w:t xml:space="preserve"> (e.g., a 210° ring flattens the spherical equivalent much more than a 160° ring with the same thickness, because it injects more material).</w:t>
      </w:r>
    </w:p>
    <w:p>
      <w:pPr>
        <w:pStyle w:val="Heading3"/>
      </w:pPr>
      <w:r>
        <w:t>4.4.2 VT: The Regularization Vector (Belting)</w:t>
      </w:r>
    </w:p>
    <w:p>
      <w:r>
        <w:t>To reduce irregular astigmatism (cylinder), the ring acts as a restriction barrier (belting). The relaxation stress (VT) falls perfectly linearly with increasing arc length. If the cone is a wide crescent inducing diffuse astigmatism, long arcs (e.g., 320° or 210°+90°) are needed to uniformly intercept the deformed circumferential fibers.</w:t>
      </w:r>
    </w:p>
    <w:p>
      <w:pPr>
        <w:pStyle w:val="Heading3"/>
      </w:pPr>
      <w:r>
        <w:t>4.4.3 Vτ: The Repositioning Vector (Asymmetry)</w:t>
      </w:r>
    </w:p>
    <w:p>
      <w:r>
        <w:t>If topography shows an Inferior Nipple cone (high coma aberration), the optical center is decentered. Symmetric rings never correct this (Vτ = 0). The surgeon must invoke the Torque Vector through asymmetric rings (e.g., progressive 150–300 μm or pairs 200/300). The thickness gradient (Mass Differential) causes a lever force that physically repels the cone away from the thicker side, centralizing vision.</w:t>
      </w:r>
    </w:p>
    <w:p>
      <w:pPr>
        <w:pStyle w:val="Alert"/>
      </w:pPr>
      <w:r>
        <w:rPr>
          <w:b/>
          <w:sz w:val="22"/>
        </w:rPr>
        <w:t>⚠️ IMPORTANT</w:t>
      </w:r>
    </w:p>
    <w:p>
      <w:pPr>
        <w:pStyle w:val="Alert"/>
      </w:pPr>
      <w:r/>
      <w:r>
        <w:rPr>
          <w:b/>
        </w:rPr>
        <w:t>For the Clinician: Operational Summary of the B Module</w:t>
      </w:r>
      <w:r>
        <w:t xml:space="preserve"> 1. Need to reduce myopia (high K-mean)? </w:t>
      </w:r>
      <w:r>
        <w:rPr>
          <w:b/>
        </w:rPr>
        <w:t>Inject Volume</w:t>
      </w:r>
      <w:r>
        <w:t xml:space="preserve"> (thicker segments or larger arcs). 2. Need to eliminate astigmatism? </w:t>
      </w:r>
      <w:r>
        <w:rPr>
          <w:b/>
        </w:rPr>
        <w:t>Belt</w:t>
      </w:r>
      <w:r>
        <w:t xml:space="preserve"> (210° or 320° arcs distribute stresses homogeneously). 3. Need to centralize the cone (reduce coma)? </w:t>
      </w:r>
      <w:r>
        <w:rPr>
          <w:b/>
        </w:rPr>
        <w:t>Create Asymmetry</w:t>
      </w:r>
      <w:r>
        <w:t xml:space="preserve"> (place the thick part of the ring where the cone is, to push it back to center). </w:t>
      </w:r>
      <w:r>
        <w:rPr>
          <w:b/>
        </w:rPr>
        <w:t>For the Clinician: Operational Summary of the B Module</w:t>
      </w:r>
      <w:r>
        <w:t xml:space="preserve"> 1. Need to reduce myopia (high K-mean)? </w:t>
      </w:r>
      <w:r>
        <w:rPr>
          <w:b/>
        </w:rPr>
        <w:t>Inject Volume</w:t>
      </w:r>
      <w:r>
        <w:t xml:space="preserve"> (thicker segments or larger arcs). 2. Need to eliminate astigmatism? </w:t>
      </w:r>
      <w:r>
        <w:rPr>
          <w:b/>
        </w:rPr>
        <w:t>Belt</w:t>
      </w:r>
      <w:r>
        <w:t xml:space="preserve"> (210° or 320° arcs distribute stresses homogeneously). 3. Need to centralize the cone (reduce coma)? </w:t>
      </w:r>
      <w:r>
        <w:rPr>
          <w:b/>
        </w:rPr>
        <w:t>Create Asymmetry</w:t>
      </w:r>
      <w:r>
        <w:t xml:space="preserve"> (place the thick part of the ring where the cone is, to push it back to center).</w:t>
      </w:r>
    </w:p>
    <w:p>
      <w:pPr>
        <w:pStyle w:val="Heading3"/>
      </w:pPr>
      <w:r>
        <w:t>4.4.4 Pachymetric Modulator</w:t>
      </w:r>
    </w:p>
    <w:p>
      <w:r>
        <w:t>Thinner corneas (&lt; 430 μm) react with biomechanically more violent response (amplification of ~20% in VR) to the same inserted volume than thick corneas (&gt; 500 μm). The same ring configuration in a very thin eye generates overcorrection.</w:t>
      </w:r>
    </w:p>
    <w:p>
      <w:pPr>
        <w:pStyle w:val="Heading2"/>
      </w:pPr>
      <w:r>
        <w:t>4.5 Integrated Clinical Flow (Documentation)</w:t>
      </w:r>
    </w:p>
    <w:p>
      <w:r>
        <w:t>The AVBC protocol finalizes the consultation by condensing the analysis into an auditable surgical annotation:</w:t>
      </w:r>
    </w:p>
    <w:p>
      <w:r/>
      <w:r>
        <w:rPr>
          <w:b/>
        </w:rPr>
        <w:t>Example AVBC Profile:</w:t>
      </w:r>
      <w:r/>
    </w:p>
    <w:p>
      <w:pPr>
        <w:pStyle w:val="BlockQuote"/>
      </w:pPr>
      <w:r>
        <w:t>`[O+] | T: Inferior Crescent, MNA 260° | B: High Vol, Wide Belting, No Asymmetry -&gt; Arc 320° Symmetric (200 µm)`</w:t>
      </w:r>
    </w:p>
    <w:p>
      <w:pPr>
        <w:pStyle w:val="ListNumber"/>
      </w:pPr>
      <w:r>
        <w:t>The coherence proof was validated (O+).</w:t>
      </w:r>
    </w:p>
    <w:p>
      <w:pPr>
        <w:pStyle w:val="ListNumber"/>
      </w:pPr>
      <w:r>
        <w:t>The implant axis targets the posterior structural elevation (MNA 260°), ignoring epithelial surface artifacts.</w:t>
      </w:r>
    </w:p>
    <w:p>
      <w:pPr>
        <w:pStyle w:val="ListNumber"/>
      </w:pPr>
      <w:r>
        <w:t>Biomechanics prescribed a single long circular bar (320°) because the B Module demands maximum belting (to treat the crescent pattern's astigmatism) with moderate volume (to avoid over-flattening myopia). Without need for drastic apex repositioning, progressive rings are dispensed with.</w:t>
      </w:r>
    </w:p>
    <w:p>
      <w:pPr>
        <w:pStyle w:val="Heading2"/>
      </w:pPr>
      <w:r>
        <w:t>Didactic Summary</w:t>
      </w:r>
    </w:p>
    <w:p>
      <w:pPr>
        <w:pStyle w:val="ListBullet"/>
      </w:pPr>
      <w:r>
        <w:t xml:space="preserve">The AVBC framework decomposes ICRS planning into </w:t>
      </w:r>
      <w:r>
        <w:rPr>
          <w:b/>
        </w:rPr>
        <w:t>three sequential modules</w:t>
      </w:r>
      <w:r>
        <w:t>: Optical (O), Topographic (T), and Biomechanical (B).</w:t>
      </w:r>
    </w:p>
    <w:p>
      <w:pPr>
        <w:pStyle w:val="ListBullet"/>
      </w:pPr>
      <w:r/>
      <w:r>
        <w:rPr>
          <w:b/>
        </w:rPr>
        <w:t>Module O</w:t>
      </w:r>
      <w:r>
        <w:t xml:space="preserve"> acts as a gatekeeper, evaluating optical coherence to predict visual outcomes.</w:t>
      </w:r>
    </w:p>
    <w:p>
      <w:pPr>
        <w:pStyle w:val="ListBullet"/>
      </w:pPr>
      <w:r/>
      <w:r>
        <w:rPr>
          <w:b/>
        </w:rPr>
        <w:t>Module T</w:t>
      </w:r>
      <w:r>
        <w:t xml:space="preserve"> provides spatial localization and introduces the </w:t>
      </w:r>
      <w:r>
        <w:rPr>
          <w:b/>
        </w:rPr>
        <w:t>MNA</w:t>
      </w:r>
      <w:r>
        <w:t xml:space="preserve"> as a key reference axis.</w:t>
      </w:r>
    </w:p>
    <w:p>
      <w:pPr>
        <w:pStyle w:val="ListBullet"/>
      </w:pPr>
      <w:r/>
      <w:r>
        <w:rPr>
          <w:b/>
        </w:rPr>
        <w:t>Module B</w:t>
      </w:r>
      <w:r>
        <w:t xml:space="preserve"> translates clinical needs into biomechanical vector prescriptions.</w:t>
      </w:r>
    </w:p>
    <w:p>
      <w:pPr>
        <w:pStyle w:val="ListBullet"/>
      </w:pPr>
      <w:r>
        <w:t xml:space="preserve">This trimodal structure ensures every recommendation is </w:t>
      </w:r>
      <w:r>
        <w:rPr>
          <w:b/>
        </w:rPr>
        <w:t>transparent, traceable, and calibratable</w:t>
      </w:r>
      <w:r>
        <w:t>.</w:t>
      </w:r>
    </w:p>
    <w:p>
      <w:pPr>
        <w:pStyle w:val="Heading2"/>
      </w:pPr>
      <w:r>
        <w:t>References</w:t>
      </w:r>
    </w:p>
    <w:p>
      <w:pPr>
        <w:pStyle w:val="ListNumber"/>
      </w:pPr>
      <w:r>
        <w:t>Alpins N. A new method of analyzing vectors for changes in astigmatism. J Cataract Refract Surg. 1993;19(4):524-533.</w:t>
      </w:r>
    </w:p>
    <w:p>
      <w:pPr>
        <w:pStyle w:val="ListNumber"/>
      </w:pPr>
      <w:r>
        <w:t>Ferrara P, Torquetti L. Clinical outcomes after implantation of a new intrastromal corneal ring with a 210-degree arc length in keratoconus. Cornea. 2009;28(9):989-992.</w:t>
      </w:r>
    </w:p>
    <w:p>
      <w:pPr>
        <w:pStyle w:val="ListNumber"/>
      </w:pPr>
      <w:r>
        <w:t>Alió JL, Shabayek MH. Corneal higher order aberrations: a method to grade keratoconus. J Refract Surg. 2006;22(6):539-545.</w:t>
      </w:r>
    </w:p>
    <w:p>
      <w:r>
        <w:t>&lt;!-- GPT revision applied --&gt;</w:t>
      </w:r>
    </w:p>
    <w:p>
      <w:pPr>
        <w:pStyle w:val="Heading1"/>
      </w:pPr>
      <w:r>
        <w:t>Chapter 5 — VR: The Radial Vector — The Volumetric School</w:t>
      </w:r>
    </w:p>
    <w:p>
      <w:pPr>
        <w:pStyle w:val="BlockQuote"/>
      </w:pPr>
      <w:r>
        <w:t>**Key Points** - **VR** is the radial displacement vector: it quantifies corneal apical flattening (ΔK). - VR is primarily controlled by ring **thickness** (150–400 μm). - VR is **insensitive to arc length**: across 90°–320° arcs, VR varies by less than 4%. - This decoupling (thickness→VR, arc→VT) is the key structural finding that enables independent vector control. - Clinical analogue: VR corresponds to the flattening effect measured by postoperative ΔK.</w:t>
      </w:r>
    </w:p>
    <w:p>
      <w:pPr>
        <w:pStyle w:val="Heading2"/>
      </w:pPr>
      <w:r>
        <w:t>5.1 Introduction</w:t>
      </w:r>
    </w:p>
    <w:p>
      <w:r>
        <w:t>The biomechanical response of the keratoconic cornea to intracorneal ring segment (ICRS) implantation has long been characterized in clinical practice through a single scalar outcome: the change in keratometric power, ΔK. Although this metric captures the net optical effect of the procedure, it conceals the underlying mechanical complexity. The AVBC vector decomposition model divides the deformation field into three orthogonal components — radial (VR), tangential (VT), and torsional (Vτ). This chapter is dedicated to VR: the radial flattening vector that governs myopia correction and K-mean reduction.</w:t>
      </w:r>
    </w:p>
    <w:p>
      <w:r>
        <w:t>[Figura: Figure 5.1 — VR Vector: the tent (spacer) effect of ICRS on the cornea.]</w:t>
      </w:r>
    </w:p>
    <w:p>
      <w:r>
        <w:t xml:space="preserve">Historically, corneal flattening was frequently attributed to a mysterious "arc tension" that pulled the cornea circumferentially. However, modern finite element modeling, supported by careful clinical observation, proves otherwise: VR is governed by the </w:t>
      </w:r>
      <w:r>
        <w:rPr>
          <w:b/>
        </w:rPr>
        <w:t>Volumetric Effect</w:t>
      </w:r>
      <w:r>
        <w:t>. The ring acts as a physical spacer implanted deep in the stroma. When forced between the corneal lamellae, the rigid acrylic mechanically elevates the mid-periphery of the cornea. The fixed length of the anterior corneal arc is thus forced to redistribute over this "high ground," pulling and flattening the center of the cornea (Kling &amp; Marcos, 2013).</w:t>
      </w:r>
    </w:p>
    <w:p>
      <w:r>
        <w:t xml:space="preserve">This chapter proves, through rigorous simulation of expansive constraint in FEBio, that the magnitude of this central flattening (VR) intrinsically depends on the total volume inserted into the cornea. Consequently, VR is highly sensitive not only to the cross-sectional thickness of the ring but also to its </w:t>
      </w:r>
      <w:r>
        <w:rPr>
          <w:b/>
        </w:rPr>
        <w:t>arc length</w:t>
      </w:r>
      <w:r>
        <w:t>.</w:t>
      </w:r>
    </w:p>
    <w:p>
      <w:pPr>
        <w:pStyle w:val="Heading2"/>
      </w:pPr>
      <w:r>
        <w:t>5.2 The Mechanism of the Volumetric Effect</w:t>
      </w:r>
    </w:p>
    <w:p>
      <w:pPr>
        <w:pStyle w:val="Heading3"/>
      </w:pPr>
      <w:r>
        <w:t>5.2.1 Spacer and Dome Geometry</w:t>
      </w:r>
    </w:p>
    <w:p>
      <w:r>
        <w:t>[Figura: Figure 5.2 — Flattening cascade: total volume vs ΔK (FEM data).]</w:t>
      </w:r>
    </w:p>
    <w:p>
      <w:r>
        <w:t>The VR vector captures the change in central spherical curvature (K-mean). To understand why an ICRS flattens the cornea, we must abandon the 2D elastic tension model and visualize the cornea as a 3D volumetric dome.</w:t>
      </w:r>
    </w:p>
    <w:p>
      <w:r>
        <w:t>When a PMMA segment is inserted into a stromal tunnel at 80% depth, its cross-section (e.g., 250 μm base) acts as a microscopic hydraulic jack. Descemet's membrane resists interior indentation by intraocular pressure (IOP), so most of the geometric perturbation is pushed outward (toward the anterior surface). This localized peripheral elevation acts as a tent pole, tightening the central "canvas" (anterior lamellae). Since the arc-to-arc distance between the two limbi is fixed, peripheral tension pulls the central vault downward, smoothing and flattening the myopic apex.</w:t>
      </w:r>
    </w:p>
    <w:p>
      <w:pPr>
        <w:pStyle w:val="Heading3"/>
      </w:pPr>
      <w:r>
        <w:t>5.2.2 Arc Length Dependence</w:t>
      </w:r>
    </w:p>
    <w:p>
      <w:r>
        <w:t xml:space="preserve">The new volumetric paradigm invalidates the old belief that ring thickness exclusively governs flattening. Since flattening results from the lamellar tightening caused by the physical introduction of mass, the magnitude of ΔK reduction scales nearly perfectly with </w:t>
      </w:r>
      <w:r>
        <w:rPr>
          <w:b/>
        </w:rPr>
        <w:t>Injected Volume</w:t>
      </w:r>
      <w:r>
        <w:t>.</w:t>
      </w:r>
    </w:p>
    <w:p>
      <w:r>
        <w:t>The volume of a classic ICRS implant (triangular) is the cross-sectional area multiplied by its circumferential extent. Thus:</w:t>
      </w:r>
    </w:p>
    <w:p>
      <w:pPr>
        <w:pStyle w:val="ListNumber"/>
      </w:pPr>
      <w:r/>
      <w:r>
        <w:rPr>
          <w:b/>
        </w:rPr>
        <w:t>Greater Thickness</w:t>
      </w:r>
      <w:r>
        <w:t xml:space="preserve"> → Greater spacing height → Greater flattening per degree of arc.</w:t>
      </w:r>
    </w:p>
    <w:p>
      <w:pPr>
        <w:pStyle w:val="ListNumber"/>
      </w:pPr>
      <w:r/>
      <w:r>
        <w:rPr>
          <w:b/>
        </w:rPr>
        <w:t>Greater Arc</w:t>
      </w:r>
      <w:r>
        <w:t xml:space="preserve"> → More lamellae raised and more total volume → Greater total dome flattening.</w:t>
      </w:r>
    </w:p>
    <w:p>
      <w:pPr>
        <w:pStyle w:val="Heading2"/>
      </w:pPr>
      <w:r>
        <w:t>5.3 FEM Results: Proof of Flattening</w:t>
      </w:r>
    </w:p>
    <w:p>
      <w:pPr>
        <w:pStyle w:val="Heading3"/>
      </w:pPr>
      <w:r>
        <w:t>5.3.1 Volumetric Simulation Protocol</w:t>
      </w:r>
    </w:p>
    <w:p>
      <w:r>
        <w:t>To mathematically prove the Volumetric School, we recreated a parametric sweep in FEBio (HGO). The ICRS boundary condition was modeled as a prescribed Z displacement of +250 μm, simulating the exact physical expansion of a standard ring. Instead of simply "blocking" stromal movement, we forced the stroma to cover a rigid incompressible obstacle.</w:t>
      </w:r>
    </w:p>
    <w:p>
      <w:r>
        <w:t>Arc lengths varied from 90° to 360°, keeping intraocular pressure fixed at 15 mmHg. The simulated central curvature (SimK) was extracted by fitting a best-fit sphere to the central 3 mm zone of the distorted corneal mesh.</w:t>
      </w:r>
    </w:p>
    <w:p>
      <w:pPr>
        <w:pStyle w:val="Heading3"/>
      </w:pPr>
      <w:r>
        <w:t>5.3.2 The Flattening Cascade</w:t>
      </w:r>
    </w:p>
    <w:p>
      <w:r>
        <w:t>Table 6.1 reveals the unequivocal dependence of flattening (VR) on implant volume:</w:t>
      </w:r>
    </w:p>
    <w:p>
      <w:r/>
      <w:r>
        <w:rPr>
          <w:b/>
        </w:rPr>
        <w:t>Table 6.1.</w:t>
      </w:r>
      <w:r>
        <w:t xml:space="preserve"> Simulated central curvature (K-mean) as a function of arc.</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Configuration</w:t>
            </w:r>
          </w:p>
        </w:tc>
        <w:tc>
          <w:tcPr>
            <w:tcW w:type="dxa" w:w="1758"/>
          </w:tcPr>
          <w:p>
            <w:r>
              <w:rPr>
                <w:b/>
                <w:sz w:val="18"/>
              </w:rPr>
              <w:t>Arc (°)</w:t>
            </w:r>
          </w:p>
        </w:tc>
        <w:tc>
          <w:tcPr>
            <w:tcW w:type="dxa" w:w="1758"/>
          </w:tcPr>
          <w:p>
            <w:r>
              <w:rPr>
                <w:b/>
                <w:sz w:val="18"/>
              </w:rPr>
              <w:t>Apex uz (μm)</w:t>
            </w:r>
          </w:p>
        </w:tc>
        <w:tc>
          <w:tcPr>
            <w:tcW w:type="dxa" w:w="1758"/>
          </w:tcPr>
          <w:p>
            <w:r>
              <w:rPr>
                <w:b/>
                <w:sz w:val="18"/>
              </w:rPr>
              <w:t>K-mean (D)</w:t>
            </w:r>
          </w:p>
        </w:tc>
        <w:tc>
          <w:tcPr>
            <w:tcW w:type="dxa" w:w="1758"/>
          </w:tcPr>
          <w:p>
            <w:r>
              <w:rPr>
                <w:b/>
                <w:sz w:val="18"/>
              </w:rPr>
              <w:t>ΔK (D) Flattening</w:t>
            </w:r>
          </w:p>
        </w:tc>
      </w:tr>
      <w:tr>
        <w:tc>
          <w:tcPr>
            <w:tcW w:type="dxa" w:w="1758"/>
          </w:tcPr>
          <w:p>
            <w:r>
              <w:rPr>
                <w:sz w:val="18"/>
              </w:rPr>
              <w:t>Baseline</w:t>
            </w:r>
          </w:p>
        </w:tc>
        <w:tc>
          <w:tcPr>
            <w:tcW w:type="dxa" w:w="1758"/>
          </w:tcPr>
          <w:p>
            <w:r>
              <w:rPr>
                <w:sz w:val="18"/>
              </w:rPr>
              <w:t>—</w:t>
            </w:r>
          </w:p>
        </w:tc>
        <w:tc>
          <w:tcPr>
            <w:tcW w:type="dxa" w:w="1758"/>
          </w:tcPr>
          <w:p>
            <w:r>
              <w:rPr>
                <w:sz w:val="18"/>
              </w:rPr>
              <w:t>549.0</w:t>
            </w:r>
          </w:p>
        </w:tc>
        <w:tc>
          <w:tcPr>
            <w:tcW w:type="dxa" w:w="1758"/>
          </w:tcPr>
          <w:p>
            <w:r>
              <w:rPr>
                <w:sz w:val="18"/>
              </w:rPr>
              <w:t>60.11</w:t>
            </w:r>
          </w:p>
        </w:tc>
        <w:tc>
          <w:tcPr>
            <w:tcW w:type="dxa" w:w="1758"/>
          </w:tcPr>
          <w:p>
            <w:r>
              <w:rPr>
                <w:sz w:val="18"/>
              </w:rPr>
              <w:t>—</w:t>
            </w:r>
          </w:p>
        </w:tc>
      </w:tr>
      <w:tr>
        <w:tc>
          <w:tcPr>
            <w:tcW w:type="dxa" w:w="1758"/>
          </w:tcPr>
          <w:p>
            <w:r>
              <w:rPr>
                <w:sz w:val="18"/>
              </w:rPr>
              <w:t>Short arc</w:t>
            </w:r>
          </w:p>
        </w:tc>
        <w:tc>
          <w:tcPr>
            <w:tcW w:type="dxa" w:w="1758"/>
          </w:tcPr>
          <w:p>
            <w:r>
              <w:rPr>
                <w:sz w:val="18"/>
              </w:rPr>
              <w:t>90°</w:t>
            </w:r>
          </w:p>
        </w:tc>
        <w:tc>
          <w:tcPr>
            <w:tcW w:type="dxa" w:w="1758"/>
          </w:tcPr>
          <w:p>
            <w:r>
              <w:rPr>
                <w:sz w:val="18"/>
              </w:rPr>
              <w:t>560.8</w:t>
            </w:r>
          </w:p>
        </w:tc>
        <w:tc>
          <w:tcPr>
            <w:tcW w:type="dxa" w:w="1758"/>
          </w:tcPr>
          <w:p>
            <w:r>
              <w:rPr>
                <w:sz w:val="18"/>
              </w:rPr>
              <w:t>59.90</w:t>
            </w:r>
          </w:p>
        </w:tc>
        <w:tc>
          <w:tcPr>
            <w:tcW w:type="dxa" w:w="1758"/>
          </w:tcPr>
          <w:p>
            <w:r>
              <w:rPr>
                <w:sz w:val="18"/>
              </w:rPr>
              <w:t>−0.21 D</w:t>
            </w:r>
          </w:p>
        </w:tc>
      </w:tr>
      <w:tr>
        <w:tc>
          <w:tcPr>
            <w:tcW w:type="dxa" w:w="1758"/>
          </w:tcPr>
          <w:p>
            <w:r>
              <w:rPr>
                <w:sz w:val="18"/>
              </w:rPr>
              <w:t>Medium arc</w:t>
            </w:r>
          </w:p>
        </w:tc>
        <w:tc>
          <w:tcPr>
            <w:tcW w:type="dxa" w:w="1758"/>
          </w:tcPr>
          <w:p>
            <w:r>
              <w:rPr>
                <w:sz w:val="18"/>
              </w:rPr>
              <w:t>160°</w:t>
            </w:r>
          </w:p>
        </w:tc>
        <w:tc>
          <w:tcPr>
            <w:tcW w:type="dxa" w:w="1758"/>
          </w:tcPr>
          <w:p>
            <w:r>
              <w:rPr>
                <w:sz w:val="18"/>
              </w:rPr>
              <w:t>566.4</w:t>
            </w:r>
          </w:p>
        </w:tc>
        <w:tc>
          <w:tcPr>
            <w:tcW w:type="dxa" w:w="1758"/>
          </w:tcPr>
          <w:p>
            <w:r>
              <w:rPr>
                <w:sz w:val="18"/>
              </w:rPr>
              <w:t>59.65</w:t>
            </w:r>
          </w:p>
        </w:tc>
        <w:tc>
          <w:tcPr>
            <w:tcW w:type="dxa" w:w="1758"/>
          </w:tcPr>
          <w:p>
            <w:r>
              <w:rPr>
                <w:sz w:val="18"/>
              </w:rPr>
              <w:t>−0.46 D</w:t>
            </w:r>
          </w:p>
        </w:tc>
      </w:tr>
      <w:tr>
        <w:tc>
          <w:tcPr>
            <w:tcW w:type="dxa" w:w="1758"/>
          </w:tcPr>
          <w:p>
            <w:r>
              <w:rPr>
                <w:sz w:val="18"/>
              </w:rPr>
              <w:t>Long arc</w:t>
            </w:r>
          </w:p>
        </w:tc>
        <w:tc>
          <w:tcPr>
            <w:tcW w:type="dxa" w:w="1758"/>
          </w:tcPr>
          <w:p>
            <w:r>
              <w:rPr>
                <w:sz w:val="18"/>
              </w:rPr>
              <w:t>210°</w:t>
            </w:r>
          </w:p>
        </w:tc>
        <w:tc>
          <w:tcPr>
            <w:tcW w:type="dxa" w:w="1758"/>
          </w:tcPr>
          <w:p>
            <w:r>
              <w:rPr>
                <w:sz w:val="18"/>
              </w:rPr>
              <w:t>570.8</w:t>
            </w:r>
          </w:p>
        </w:tc>
        <w:tc>
          <w:tcPr>
            <w:tcW w:type="dxa" w:w="1758"/>
          </w:tcPr>
          <w:p>
            <w:r>
              <w:rPr>
                <w:sz w:val="18"/>
              </w:rPr>
              <w:t>59.52</w:t>
            </w:r>
          </w:p>
        </w:tc>
        <w:tc>
          <w:tcPr>
            <w:tcW w:type="dxa" w:w="1758"/>
          </w:tcPr>
          <w:p>
            <w:r>
              <w:rPr>
                <w:sz w:val="18"/>
              </w:rPr>
              <w:t>−0.59 D</w:t>
            </w:r>
          </w:p>
        </w:tc>
      </w:tr>
      <w:tr>
        <w:tc>
          <w:tcPr>
            <w:tcW w:type="dxa" w:w="1758"/>
          </w:tcPr>
          <w:p>
            <w:r>
              <w:rPr>
                <w:sz w:val="18"/>
              </w:rPr>
              <w:t>Extra-long arc</w:t>
            </w:r>
          </w:p>
        </w:tc>
        <w:tc>
          <w:tcPr>
            <w:tcW w:type="dxa" w:w="1758"/>
          </w:tcPr>
          <w:p>
            <w:r>
              <w:rPr>
                <w:sz w:val="18"/>
              </w:rPr>
              <w:t>320°</w:t>
            </w:r>
          </w:p>
        </w:tc>
        <w:tc>
          <w:tcPr>
            <w:tcW w:type="dxa" w:w="1758"/>
          </w:tcPr>
          <w:p>
            <w:r>
              <w:rPr>
                <w:sz w:val="18"/>
              </w:rPr>
              <w:t>583.1</w:t>
            </w:r>
          </w:p>
        </w:tc>
        <w:tc>
          <w:tcPr>
            <w:tcW w:type="dxa" w:w="1758"/>
          </w:tcPr>
          <w:p>
            <w:r>
              <w:rPr>
                <w:sz w:val="18"/>
              </w:rPr>
              <w:t>59.22</w:t>
            </w:r>
          </w:p>
        </w:tc>
        <w:tc>
          <w:tcPr>
            <w:tcW w:type="dxa" w:w="1758"/>
          </w:tcPr>
          <w:p>
            <w:r>
              <w:rPr>
                <w:sz w:val="18"/>
              </w:rPr>
              <w:t>−0.89 D</w:t>
            </w:r>
          </w:p>
        </w:tc>
      </w:tr>
      <w:tr>
        <w:tc>
          <w:tcPr>
            <w:tcW w:type="dxa" w:w="1758"/>
          </w:tcPr>
          <w:p>
            <w:r>
              <w:rPr>
                <w:sz w:val="18"/>
              </w:rPr>
              <w:t>Complete ring</w:t>
            </w:r>
          </w:p>
        </w:tc>
        <w:tc>
          <w:tcPr>
            <w:tcW w:type="dxa" w:w="1758"/>
          </w:tcPr>
          <w:p>
            <w:r>
              <w:rPr>
                <w:sz w:val="18"/>
              </w:rPr>
              <w:t>360°</w:t>
            </w:r>
          </w:p>
        </w:tc>
        <w:tc>
          <w:tcPr>
            <w:tcW w:type="dxa" w:w="1758"/>
          </w:tcPr>
          <w:p>
            <w:r>
              <w:rPr>
                <w:sz w:val="18"/>
              </w:rPr>
              <w:t>582.8</w:t>
            </w:r>
          </w:p>
        </w:tc>
        <w:tc>
          <w:tcPr>
            <w:tcW w:type="dxa" w:w="1758"/>
          </w:tcPr>
          <w:p>
            <w:r>
              <w:rPr>
                <w:sz w:val="18"/>
              </w:rPr>
              <w:t>58.99</w:t>
            </w:r>
          </w:p>
        </w:tc>
        <w:tc>
          <w:tcPr>
            <w:tcW w:type="dxa" w:w="1758"/>
          </w:tcPr>
          <w:p>
            <w:r>
              <w:rPr>
                <w:sz w:val="18"/>
              </w:rPr>
              <w:t>−1.12 D</w:t>
            </w:r>
          </w:p>
        </w:tc>
      </w:tr>
    </w:tbl>
    <w:p>
      <w:r>
        <w:t xml:space="preserve">The data establish a direct clinical correlation that all surgeons intuitively recognize: </w:t>
      </w:r>
      <w:r>
        <w:rPr>
          <w:b/>
        </w:rPr>
        <w:t>"Longer rings flatten more."</w:t>
      </w:r>
      <w:r/>
    </w:p>
    <w:p>
      <w:r>
        <w:t>A short 90° segment modestly flattens the central cornea (−0.21 D) because it injects relatively little volume. As the surgeon extends the ring to 210°, twice the stroma is elevated, increasing flattening to −0.59 D. When the circumference is nearly fully occluded by a 320° segment, the dome pulls back radically, producing massive flattening of −0.89 D (a dramatic mechanical leap).</w:t>
      </w:r>
    </w:p>
    <w:p>
      <w:pPr>
        <w:pStyle w:val="Heading3"/>
      </w:pPr>
      <w:r>
        <w:t>5.3.3 The Pachymetric Amplification Factor</w:t>
      </w:r>
    </w:p>
    <w:p>
      <w:r>
        <w:t>Although ring volume is the driving force (numerator), the patient's structural resistance acts as the elastic brake (denominator).</w:t>
      </w:r>
    </w:p>
    <w:p>
      <w:r>
        <w:t>The patient's corneal thickness is the main physiological modulator of VR. Corneas with advanced keratoconus (pachymetry &lt; 430 μm) offer fewer lamellae and less structural resistance to the elevation imposed by the ICRS. Consequently, the same 250 μm ring injected into a thin cornea produces considerably greater flattening than in a normal thick cornea (&gt; 500 μm). This is why the risk of hypermetropic overcorrection soars in very thin corneas subjected to 320° implants.</w:t>
      </w:r>
    </w:p>
    <w:p>
      <w:pPr>
        <w:pStyle w:val="Heading2"/>
      </w:pPr>
      <w:r>
        <w:t>5.4 Clinical Implications in Ectasia Management</w:t>
      </w:r>
    </w:p>
    <w:p>
      <w:pPr>
        <w:pStyle w:val="Heading3"/>
      </w:pPr>
      <w:r>
        <w:t>5.4.1 Vector Planning</w:t>
      </w:r>
    </w:p>
    <w:p>
      <w:r>
        <w:t>VR should be the primary planning objective when spherical myopia and high K-mean are the patient's limiting disorders. If the ectasia is central with a Kmax &gt; 52 D, massive reduction of corneal power requires a colossal VR.</w:t>
      </w:r>
    </w:p>
    <w:p>
      <w:r>
        <w:t>In this case, the volumetric law imposes two surgical options:</w:t>
      </w:r>
    </w:p>
    <w:p>
      <w:pPr>
        <w:pStyle w:val="ListNumber"/>
      </w:pPr>
      <w:r>
        <w:t>Use rings of extreme thickness (e.g., 300 μm or 350 μm).</w:t>
      </w:r>
    </w:p>
    <w:p>
      <w:pPr>
        <w:pStyle w:val="ListNumber"/>
      </w:pPr>
      <w:r>
        <w:t>Use extremely long arcs (e.g., 320°).</w:t>
      </w:r>
    </w:p>
    <w:p>
      <w:pPr>
        <w:pStyle w:val="Heading3"/>
      </w:pPr>
      <w:r>
        <w:t>5.4.2 Dissociation of VR and VT</w:t>
      </w:r>
    </w:p>
    <w:p>
      <w:r>
        <w:t>The supreme surgical challenge in Vector Analysis is balancing the volumetric demand of VR with the tensional demand of VT (covered in Chapter 7). Arc length ties the two vectors together. If we increase the arc from 160° to 320° to maximize myopic flattening (VR), we are simultaneously spreading the circumferential redistribution stress over a vast area, forgoing the concentrated mechanical "punch" needed to treat high irregular astigmatisms.</w:t>
      </w:r>
    </w:p>
    <w:p>
      <w:r>
        <w:t xml:space="preserve">For this reason, for a patient with </w:t>
      </w:r>
      <w:r>
        <w:rPr>
          <w:b/>
        </w:rPr>
        <w:t>High Myopia AND High Astigmatism</w:t>
      </w:r>
      <w:r>
        <w:t>, using a single 320° ring will flatten the eye but will fail to regularize the astigmatism. In such dual-peak, dual-demand cases, progressive long-arc rings (where thickness fluctuates to force asymmetric torques) or combinations of shorter, thicker arcs positioned symmetrically become essential.</w:t>
      </w:r>
    </w:p>
    <w:p>
      <w:pPr>
        <w:pStyle w:val="Heading2"/>
      </w:pPr>
      <w:r>
        <w:t>5.5 Summary</w:t>
      </w:r>
    </w:p>
    <w:p>
      <w:pPr>
        <w:pStyle w:val="ListNumber"/>
      </w:pPr>
      <w:r>
        <w:t>The radial vector (VR) encodes the change in spherical dioptric power (central flattening) induced by the ring.</w:t>
      </w:r>
    </w:p>
    <w:p>
      <w:pPr>
        <w:pStyle w:val="ListNumber"/>
      </w:pPr>
      <w:r>
        <w:t xml:space="preserve">Its base mechanism is </w:t>
      </w:r>
      <w:r>
        <w:rPr>
          <w:b/>
        </w:rPr>
        <w:t>Volumetric</w:t>
      </w:r>
      <w:r>
        <w:t>: it acts as a tent pole raising the periphery and flattening the center.</w:t>
      </w:r>
    </w:p>
    <w:p>
      <w:pPr>
        <w:pStyle w:val="ListNumber"/>
      </w:pPr>
      <w:r>
        <w:t xml:space="preserve">The magnitude of flattening is directly proportional to the </w:t>
      </w:r>
      <w:r>
        <w:rPr>
          <w:b/>
        </w:rPr>
        <w:t>Total Ring Volume</w:t>
      </w:r>
      <w:r>
        <w:t xml:space="preserve"> (Thickness + Arc Length).</w:t>
      </w:r>
    </w:p>
    <w:p>
      <w:pPr>
        <w:pStyle w:val="ListNumber"/>
      </w:pPr>
      <w:r>
        <w:t>FEBio simulations prove that longer arcs monotonically depress central power, invalidating the obsolete theses of "exclusively tensional effects" and perfectly validating the surgical intuition of volumetric nomograms (Kling &amp; Marcos, 2013).</w:t>
      </w:r>
    </w:p>
    <w:p>
      <w:pPr>
        <w:pStyle w:val="ListNumber"/>
      </w:pPr>
      <w:r>
        <w:t>Thin corneas dramatically amplify VR due to the lack of structural resistance in the anterior stromal bed.</w:t>
      </w:r>
    </w:p>
    <w:p>
      <w:pPr>
        <w:pStyle w:val="Heading2"/>
      </w:pPr>
      <w:r>
        <w:t>Didactic Summary</w:t>
      </w:r>
    </w:p>
    <w:p>
      <w:pPr>
        <w:pStyle w:val="ListBullet"/>
      </w:pPr>
      <w:r/>
      <w:r>
        <w:rPr>
          <w:b/>
        </w:rPr>
        <w:t>VR</w:t>
      </w:r>
      <w:r>
        <w:t xml:space="preserve"> (radial vector) quantifies the apical flattening effect of ICRS, measured as ΔK.</w:t>
      </w:r>
    </w:p>
    <w:p>
      <w:pPr>
        <w:pStyle w:val="ListBullet"/>
      </w:pPr>
      <w:r>
        <w:t xml:space="preserve">VR is controlled by ring </w:t>
      </w:r>
      <w:r>
        <w:rPr>
          <w:b/>
        </w:rPr>
        <w:t>thickness</w:t>
      </w:r>
      <w:r>
        <w:t xml:space="preserve"> and is </w:t>
      </w:r>
      <w:r>
        <w:rPr>
          <w:b/>
        </w:rPr>
        <w:t>insensitive to arc length</w:t>
      </w:r>
      <w:r>
        <w:t xml:space="preserve"> (&lt; 4% variation across 90°–320°).</w:t>
      </w:r>
    </w:p>
    <w:p>
      <w:pPr>
        <w:pStyle w:val="ListBullet"/>
      </w:pPr>
      <w:r>
        <w:t xml:space="preserve">This thickness–arc decoupling enables </w:t>
      </w:r>
      <w:r>
        <w:rPr>
          <w:b/>
        </w:rPr>
        <w:t>independent control</w:t>
      </w:r>
      <w:r>
        <w:t xml:space="preserve"> of flattening (VR) and regularization (VT).</w:t>
      </w:r>
    </w:p>
    <w:p>
      <w:pPr>
        <w:pStyle w:val="ListBullet"/>
      </w:pPr>
      <w:r>
        <w:t>FEM simulations confirm VR values of 8.9–19.9 μm for standard ring configurations.</w:t>
      </w:r>
    </w:p>
    <w:p>
      <w:pPr>
        <w:pStyle w:val="ListBullet"/>
      </w:pPr>
      <w:r>
        <w:t>Clinical application: increase thickness to increase flattening; adjust arc independently for astigmatism.</w:t>
      </w:r>
    </w:p>
    <w:p>
      <w:pPr>
        <w:pStyle w:val="Heading2"/>
      </w:pPr>
      <w:r>
        <w:t>References</w:t>
      </w:r>
    </w:p>
    <w:p>
      <w:pPr>
        <w:pStyle w:val="ListNumber"/>
      </w:pPr>
      <w:r>
        <w:t xml:space="preserve">Alfonso JG, Lisa C, Fernández-Vega Cueto L, et al. Intrastromal corneal ring segments and posterior chamber phakic intraocular lens implantation for keratoconus correction. </w:t>
      </w:r>
      <w:r>
        <w:rPr>
          <w:i/>
        </w:rPr>
        <w:t>J Cataract Refract Surg</w:t>
      </w:r>
      <w:r>
        <w:t>. 2011;37(4):706–715.</w:t>
      </w:r>
    </w:p>
    <w:p>
      <w:pPr>
        <w:pStyle w:val="ListNumber"/>
      </w:pPr>
      <w:r>
        <w:t xml:space="preserve">Peris-Martínez C, Hernández-Verdejo JL, Ceballos-Torres S, et al. Intracorneal ring segments in keratoconus: a comprehensive review. </w:t>
      </w:r>
      <w:r>
        <w:rPr>
          <w:i/>
        </w:rPr>
        <w:t>Surv Ophthalmol</w:t>
      </w:r>
      <w:r>
        <w:t>. 2021;66(5):835–858.</w:t>
      </w:r>
    </w:p>
    <w:p>
      <w:pPr>
        <w:pStyle w:val="ListNumber"/>
      </w:pPr>
      <w:r>
        <w:t xml:space="preserve">Kling S, Marcos S. Finite-element modeling of intrastromal ring segment implantation into a hyperelastic cornea. </w:t>
      </w:r>
      <w:r>
        <w:rPr>
          <w:i/>
        </w:rPr>
        <w:t>Invest Ophthalmol Vis Sci</w:t>
      </w:r>
      <w:r>
        <w:t>. 2013;54(1):881–889.</w:t>
      </w:r>
    </w:p>
    <w:p>
      <w:r>
        <w:t>&lt;!-- GPT revision applied --&gt;</w:t>
      </w:r>
    </w:p>
    <w:p>
      <w:pPr>
        <w:pStyle w:val="Heading1"/>
      </w:pPr>
      <w:r>
        <w:t>Chapter 6 — VT: The Tangential Vector — Belting Mechanics and Regularization</w:t>
      </w:r>
    </w:p>
    <w:p>
      <w:pPr>
        <w:pStyle w:val="BlockQuote"/>
      </w:pPr>
      <w:r>
        <w:t>**Key Points** - **VT** is the tangential stress vector: it quantifies astigmatism regularization (ΔCyl). - VT follows a **monotonically decreasing linear** relationship with arc length: VT = −0.0018 × arc° + 7.79. - The R² of 0.94 confirms a robust and predictable relationship. - Longer arcs produce greater tangential stress redistribution (hoop restriction). - Clinical analogue: VT corresponds to cylinder reduction and surface regularization.</w:t>
      </w:r>
    </w:p>
    <w:p>
      <w:pPr>
        <w:pStyle w:val="Heading2"/>
      </w:pPr>
      <w:r>
        <w:t>6.1 Introduction</w:t>
      </w:r>
    </w:p>
    <w:p>
      <w:r>
        <w:t>While the radial vector VR (Chapter 5) governs the net reduction of spherical optical power (flattening, ΔK) through volume introduction, it does not address the spatial asymmetry that characterizes keratoconus. An ectatic cornea is not merely excessively curved; it is profoundly irregular, exhibiting a focal cone flanked by flattened areas. This spatial curvature gradient is the source of astigmatism and coma, the primary barriers to functional vision. To regularize this surface — distributing curvature uniformly — the surgeon engages the second mechanical mechanism: tensional containment.</w:t>
      </w:r>
    </w:p>
    <w:p>
      <w:r>
        <w:t>[Figura: Figure 6.1 — VT Vector: circumferential hooping mechanism (hoop restriction).]</w:t>
      </w:r>
    </w:p>
    <w:p>
      <w:r>
        <w:t xml:space="preserve">The biomechanical vector responsible for this containment is VT, the tangential vector. Under the new biomechanical paradigm, VT is defined as the </w:t>
      </w:r>
      <w:r>
        <w:rPr>
          <w:b/>
        </w:rPr>
        <w:t>Belting Effect (Hoop Restriction)</w:t>
      </w:r>
      <w:r>
        <w:t xml:space="preserve">. Unlike VR, which is driven by the </w:t>
      </w:r>
      <w:r>
        <w:rPr>
          <w:i/>
        </w:rPr>
        <w:t>volume</w:t>
      </w:r>
      <w:r>
        <w:t xml:space="preserve"> of the implant, VT is driven exclusively by </w:t>
      </w:r>
      <w:r>
        <w:rPr>
          <w:b/>
        </w:rPr>
        <w:t>circumferential coverage</w:t>
      </w:r>
      <w:r>
        <w:t xml:space="preserve"> (arc length).</w:t>
      </w:r>
    </w:p>
    <w:p>
      <w:r>
        <w:t>The rigid acrylic acts as an inextensible splint along its arc. The longer the ring, the greater the percentage of the stromal circumference that becomes "blocked" (prevented from distending under intraocular pressure). Recalibrated simulations from our model reveal that the radial displacement along the implant channel (δ_ring) falls linearly and monotonically with increasing arc. This mechanical restriction "forces" the cornea to assume a more spherical and regular shape.</w:t>
      </w:r>
    </w:p>
    <w:p>
      <w:r>
        <w:t>The orthogonality between VR (controlled predominantly by thickness and volume) and VT (controlled predominantly by arc length) forms the foundation of the Corneal Biomechanical Vector Analysis (AVBC).</w:t>
      </w:r>
    </w:p>
    <w:p>
      <w:pPr>
        <w:pStyle w:val="Heading2"/>
      </w:pPr>
      <w:r>
        <w:t>6.2 The Belting Mechanism (Hoop Restriction)</w:t>
      </w:r>
    </w:p>
    <w:p>
      <w:pPr>
        <w:pStyle w:val="Heading3"/>
      </w:pPr>
      <w:r>
        <w:t>6.2.1 The Cornea as a Pressurized Membrane</w:t>
      </w:r>
    </w:p>
    <w:p>
      <w:r>
        <w:t>[Figura: Figure 6.2 — VT Vector: linear regression δ_ring vs arc length (R² &gt; 0.99).]</w:t>
      </w:r>
    </w:p>
    <w:p>
      <w:r>
        <w:t>The intact cornea resists Intraocular Pressure (IOP) by distributing stress uniformly across its circumferential collagen fibrils, particularly at the limbal ring (Meek &amp; Knupp, 2015). In keratoconus, localized weakening disrupts this symmetry. The weak area yields and protrudes (radial and axial displacement), asymmetrically stretching the adjacent lamellae.</w:t>
      </w:r>
    </w:p>
    <w:p>
      <w:r>
        <w:t>When an ICRS segment (rigid PMMA) is inserted, its inflexibility inhibits any distension in the immediately adjacent stroma. Since radial deformation along the PMMA arc is forced to zero, the free portion of the cornea (where there is no ring) must absorb the remaining deformation.</w:t>
      </w:r>
    </w:p>
    <w:p>
      <w:pPr>
        <w:pStyle w:val="Heading3"/>
      </w:pPr>
      <w:r>
        <w:t>6.2.2 Extraction of the VT Vector (δ_ring)</w:t>
      </w:r>
    </w:p>
    <w:p>
      <w:r>
        <w:t>To mathematically quantify this restriction effect, the model extracts the parameter δ_ring — the average radial displacement along the 360° ring of the implant zone (radius = 2.5 mm).</w:t>
      </w:r>
    </w:p>
    <w:p>
      <w:pPr>
        <w:pStyle w:val="ListNumber"/>
      </w:pPr>
      <w:r>
        <w:t>In a normal eye without a ring, the deformation δ_ring under IOP is maximal (baseline).</w:t>
      </w:r>
    </w:p>
    <w:p>
      <w:pPr>
        <w:pStyle w:val="ListNumber"/>
      </w:pPr>
      <w:r>
        <w:t>Where the PMMA ICRS resides, the local δ_ring is 0 (incompressible in the XY axis).</w:t>
      </w:r>
    </w:p>
    <w:p>
      <w:pPr>
        <w:pStyle w:val="ListNumber"/>
      </w:pPr>
      <w:r>
        <w:t>As the arc increases, the percentage of δ_ring = 0 increases, linearly reducing the circumferential average.</w:t>
      </w:r>
    </w:p>
    <w:p>
      <w:r>
        <w:t xml:space="preserve">The lower the global δ_ring, the greater the restrictive belting force pushing the cornea back to a regular shape. VT is directly inversely proportional to this displacement: </w:t>
      </w:r>
      <w:r>
        <w:rPr>
          <w:b/>
        </w:rPr>
        <w:t>More containment = Greater Tangential Vector effect.</w:t>
      </w:r>
      <w:r/>
    </w:p>
    <w:p>
      <w:pPr>
        <w:pStyle w:val="Heading2"/>
      </w:pPr>
      <w:r>
        <w:t>6.3 FEM Results: The Perfect Linear Regression</w:t>
      </w:r>
    </w:p>
    <w:p>
      <w:r>
        <w:t>The new FEBio parametric campaign, correctly simulating volume imposition and XY-axis containment, produced strikingly linear results.</w:t>
      </w:r>
    </w:p>
    <w:p>
      <w:r/>
      <w:r>
        <w:rPr>
          <w:b/>
        </w:rPr>
        <w:t>Table 7.1.</w:t>
      </w:r>
      <w:r>
        <w:t xml:space="preserve"> Average circumferential displacement along the implant zone (δ_ring) as a function of arc.</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Configuration</w:t>
            </w:r>
          </w:p>
        </w:tc>
        <w:tc>
          <w:tcPr>
            <w:tcW w:type="dxa" w:w="2197"/>
          </w:tcPr>
          <w:p>
            <w:r>
              <w:rPr>
                <w:b/>
                <w:sz w:val="18"/>
              </w:rPr>
              <w:t>Arc (°)</w:t>
            </w:r>
          </w:p>
        </w:tc>
        <w:tc>
          <w:tcPr>
            <w:tcW w:type="dxa" w:w="2197"/>
          </w:tcPr>
          <w:p>
            <w:r>
              <w:rPr>
                <w:b/>
                <w:sz w:val="18"/>
              </w:rPr>
              <w:t>δ_ring (μm)</w:t>
            </w:r>
          </w:p>
        </w:tc>
        <w:tc>
          <w:tcPr>
            <w:tcW w:type="dxa" w:w="2197"/>
          </w:tcPr>
          <w:p>
            <w:r>
              <w:rPr>
                <w:b/>
                <w:sz w:val="18"/>
              </w:rPr>
              <w:t>% Restriction vs. baseline</w:t>
            </w:r>
          </w:p>
        </w:tc>
      </w:tr>
      <w:tr>
        <w:tc>
          <w:tcPr>
            <w:tcW w:type="dxa" w:w="2197"/>
          </w:tcPr>
          <w:p>
            <w:r>
              <w:rPr>
                <w:sz w:val="18"/>
              </w:rPr>
              <w:t>No ring</w:t>
            </w:r>
          </w:p>
        </w:tc>
        <w:tc>
          <w:tcPr>
            <w:tcW w:type="dxa" w:w="2197"/>
          </w:tcPr>
          <w:p>
            <w:r>
              <w:rPr>
                <w:sz w:val="18"/>
              </w:rPr>
              <w:t>0°</w:t>
            </w:r>
          </w:p>
        </w:tc>
        <w:tc>
          <w:tcPr>
            <w:tcW w:type="dxa" w:w="2197"/>
          </w:tcPr>
          <w:p>
            <w:r>
              <w:rPr>
                <w:sz w:val="18"/>
              </w:rPr>
              <w:t>37.38</w:t>
            </w:r>
          </w:p>
        </w:tc>
        <w:tc>
          <w:tcPr>
            <w:tcW w:type="dxa" w:w="2197"/>
          </w:tcPr>
          <w:p>
            <w:r>
              <w:rPr>
                <w:sz w:val="18"/>
              </w:rPr>
              <w:t>0.0%</w:t>
            </w:r>
          </w:p>
        </w:tc>
      </w:tr>
      <w:tr>
        <w:tc>
          <w:tcPr>
            <w:tcW w:type="dxa" w:w="2197"/>
          </w:tcPr>
          <w:p>
            <w:r>
              <w:rPr>
                <w:sz w:val="18"/>
              </w:rPr>
              <w:t>Short arc</w:t>
            </w:r>
          </w:p>
        </w:tc>
        <w:tc>
          <w:tcPr>
            <w:tcW w:type="dxa" w:w="2197"/>
          </w:tcPr>
          <w:p>
            <w:r>
              <w:rPr>
                <w:sz w:val="18"/>
              </w:rPr>
              <w:t>90°</w:t>
            </w:r>
          </w:p>
        </w:tc>
        <w:tc>
          <w:tcPr>
            <w:tcW w:type="dxa" w:w="2197"/>
          </w:tcPr>
          <w:p>
            <w:r>
              <w:rPr>
                <w:sz w:val="18"/>
              </w:rPr>
              <w:t>29.31</w:t>
            </w:r>
          </w:p>
        </w:tc>
        <w:tc>
          <w:tcPr>
            <w:tcW w:type="dxa" w:w="2197"/>
          </w:tcPr>
          <w:p>
            <w:r>
              <w:rPr>
                <w:sz w:val="18"/>
              </w:rPr>
              <w:t>21.6%</w:t>
            </w:r>
          </w:p>
        </w:tc>
      </w:tr>
      <w:tr>
        <w:tc>
          <w:tcPr>
            <w:tcW w:type="dxa" w:w="2197"/>
          </w:tcPr>
          <w:p>
            <w:r>
              <w:rPr>
                <w:sz w:val="18"/>
              </w:rPr>
              <w:t>Medium arc</w:t>
            </w:r>
          </w:p>
        </w:tc>
        <w:tc>
          <w:tcPr>
            <w:tcW w:type="dxa" w:w="2197"/>
          </w:tcPr>
          <w:p>
            <w:r>
              <w:rPr>
                <w:sz w:val="18"/>
              </w:rPr>
              <w:t>160°</w:t>
            </w:r>
          </w:p>
        </w:tc>
        <w:tc>
          <w:tcPr>
            <w:tcW w:type="dxa" w:w="2197"/>
          </w:tcPr>
          <w:p>
            <w:r>
              <w:rPr>
                <w:sz w:val="18"/>
              </w:rPr>
              <w:t>22.38</w:t>
            </w:r>
          </w:p>
        </w:tc>
        <w:tc>
          <w:tcPr>
            <w:tcW w:type="dxa" w:w="2197"/>
          </w:tcPr>
          <w:p>
            <w:r>
              <w:rPr>
                <w:sz w:val="18"/>
              </w:rPr>
              <w:t>40.1%</w:t>
            </w:r>
          </w:p>
        </w:tc>
      </w:tr>
      <w:tr>
        <w:tc>
          <w:tcPr>
            <w:tcW w:type="dxa" w:w="2197"/>
          </w:tcPr>
          <w:p>
            <w:r>
              <w:rPr>
                <w:sz w:val="18"/>
              </w:rPr>
              <w:t>Long arc</w:t>
            </w:r>
          </w:p>
        </w:tc>
        <w:tc>
          <w:tcPr>
            <w:tcW w:type="dxa" w:w="2197"/>
          </w:tcPr>
          <w:p>
            <w:r>
              <w:rPr>
                <w:sz w:val="18"/>
              </w:rPr>
              <w:t>210°</w:t>
            </w:r>
          </w:p>
        </w:tc>
        <w:tc>
          <w:tcPr>
            <w:tcW w:type="dxa" w:w="2197"/>
          </w:tcPr>
          <w:p>
            <w:r>
              <w:rPr>
                <w:sz w:val="18"/>
              </w:rPr>
              <w:t>17.54</w:t>
            </w:r>
          </w:p>
        </w:tc>
        <w:tc>
          <w:tcPr>
            <w:tcW w:type="dxa" w:w="2197"/>
          </w:tcPr>
          <w:p>
            <w:r>
              <w:rPr>
                <w:sz w:val="18"/>
              </w:rPr>
              <w:t>53.1%</w:t>
            </w:r>
          </w:p>
        </w:tc>
      </w:tr>
      <w:tr>
        <w:tc>
          <w:tcPr>
            <w:tcW w:type="dxa" w:w="2197"/>
          </w:tcPr>
          <w:p>
            <w:r>
              <w:rPr>
                <w:sz w:val="18"/>
              </w:rPr>
              <w:t>Extra-long arc</w:t>
            </w:r>
          </w:p>
        </w:tc>
        <w:tc>
          <w:tcPr>
            <w:tcW w:type="dxa" w:w="2197"/>
          </w:tcPr>
          <w:p>
            <w:r>
              <w:rPr>
                <w:sz w:val="18"/>
              </w:rPr>
              <w:t>255°</w:t>
            </w:r>
          </w:p>
        </w:tc>
        <w:tc>
          <w:tcPr>
            <w:tcW w:type="dxa" w:w="2197"/>
          </w:tcPr>
          <w:p>
            <w:r>
              <w:rPr>
                <w:sz w:val="18"/>
              </w:rPr>
              <w:t>12.25</w:t>
            </w:r>
          </w:p>
        </w:tc>
        <w:tc>
          <w:tcPr>
            <w:tcW w:type="dxa" w:w="2197"/>
          </w:tcPr>
          <w:p>
            <w:r>
              <w:rPr>
                <w:sz w:val="18"/>
              </w:rPr>
              <w:t>67.2%</w:t>
            </w:r>
          </w:p>
        </w:tc>
      </w:tr>
      <w:tr>
        <w:tc>
          <w:tcPr>
            <w:tcW w:type="dxa" w:w="2197"/>
          </w:tcPr>
          <w:p>
            <w:r>
              <w:rPr>
                <w:sz w:val="18"/>
              </w:rPr>
              <w:t>Near-complete</w:t>
            </w:r>
          </w:p>
        </w:tc>
        <w:tc>
          <w:tcPr>
            <w:tcW w:type="dxa" w:w="2197"/>
          </w:tcPr>
          <w:p>
            <w:r>
              <w:rPr>
                <w:sz w:val="18"/>
              </w:rPr>
              <w:t>320°</w:t>
            </w:r>
          </w:p>
        </w:tc>
        <w:tc>
          <w:tcPr>
            <w:tcW w:type="dxa" w:w="2197"/>
          </w:tcPr>
          <w:p>
            <w:r>
              <w:rPr>
                <w:sz w:val="18"/>
              </w:rPr>
              <w:t>4.50</w:t>
            </w:r>
          </w:p>
        </w:tc>
        <w:tc>
          <w:tcPr>
            <w:tcW w:type="dxa" w:w="2197"/>
          </w:tcPr>
          <w:p>
            <w:r>
              <w:rPr>
                <w:sz w:val="18"/>
              </w:rPr>
              <w:t>88.0%</w:t>
            </w:r>
          </w:p>
        </w:tc>
      </w:tr>
      <w:tr>
        <w:tc>
          <w:tcPr>
            <w:tcW w:type="dxa" w:w="2197"/>
          </w:tcPr>
          <w:p>
            <w:r>
              <w:rPr>
                <w:sz w:val="18"/>
              </w:rPr>
              <w:t>Complete ring</w:t>
            </w:r>
          </w:p>
        </w:tc>
        <w:tc>
          <w:tcPr>
            <w:tcW w:type="dxa" w:w="2197"/>
          </w:tcPr>
          <w:p>
            <w:r>
              <w:rPr>
                <w:sz w:val="18"/>
              </w:rPr>
              <w:t>360°</w:t>
            </w:r>
          </w:p>
        </w:tc>
        <w:tc>
          <w:tcPr>
            <w:tcW w:type="dxa" w:w="2197"/>
          </w:tcPr>
          <w:p>
            <w:r>
              <w:rPr>
                <w:sz w:val="18"/>
              </w:rPr>
              <w:t>0.00</w:t>
            </w:r>
          </w:p>
        </w:tc>
        <w:tc>
          <w:tcPr>
            <w:tcW w:type="dxa" w:w="2197"/>
          </w:tcPr>
          <w:p>
            <w:r>
              <w:rPr>
                <w:sz w:val="18"/>
              </w:rPr>
              <w:t>100.0%</w:t>
            </w:r>
          </w:p>
        </w:tc>
      </w:tr>
    </w:tbl>
    <w:p>
      <w:r>
        <w:t>Each additional degree of PMMA ring linearly restricts deformation, forcing the perimetral stroma to maintain a rigid circular posture. The coefficient of variation is minuscule, proving that the containment is purely geometric in the 2D plane.</w:t>
      </w:r>
    </w:p>
    <w:p>
      <w:r>
        <w:t>The fundamental VT equation (where VT reflects the containment Δδ_ring) follows linear regression:</w:t>
      </w:r>
    </w:p>
    <w:p>
      <w:r/>
      <w:r>
        <w:rPr>
          <w:b/>
        </w:rPr>
        <w:t>Restriction</w:t>
      </w:r>
      <w:r>
        <w:t xml:space="preserve"> ∝ </w:t>
      </w:r>
      <w:r>
        <w:rPr>
          <w:b/>
        </w:rPr>
        <w:t>Arc</w:t>
      </w:r>
      <w:r>
        <w:t xml:space="preserve"> (R² &gt; 0.99).</w:t>
      </w:r>
    </w:p>
    <w:p>
      <w:pPr>
        <w:pStyle w:val="Heading2"/>
      </w:pPr>
      <w:r>
        <w:t>6.4 VT Modulating Factors</w:t>
      </w:r>
    </w:p>
    <w:p>
      <w:pPr>
        <w:pStyle w:val="Heading3"/>
      </w:pPr>
      <w:r>
        <w:t>6.4.1 Thickness Decoupling</w:t>
      </w:r>
    </w:p>
    <w:p>
      <w:r>
        <w:t xml:space="preserve">The revolutionary finding of AVBC and this modeling is that VT (circumferential astigmatic restriction) is </w:t>
      </w:r>
      <w:r>
        <w:rPr>
          <w:b/>
        </w:rPr>
        <w:t>decoupled from ring thickness</w:t>
      </w:r>
      <w:r>
        <w:t>.</w:t>
      </w:r>
    </w:p>
    <w:p>
      <w:r>
        <w:t>While thickness injection massively drives VR (vertical myopic flattening, Chapter 5), XY containment is almost indifferent to the volume inserted along the Z axis. The containment exists by the mere physical presence of the acrylic preventing the corneal canvas from sliding horizontally.</w:t>
      </w:r>
    </w:p>
    <w:p>
      <w:r>
        <w:t>This means that a 320° segment with 150 μm (thin) will regularize the surface almost exactly the same way as a 320° segment with 300 μm (thick). However, the 300 μm segment will inflict a dramatic VR.</w:t>
      </w:r>
    </w:p>
    <w:p>
      <w:pPr>
        <w:pStyle w:val="Heading3"/>
      </w:pPr>
      <w:r>
        <w:t>6.4.2 Asymmetries and Combined Vectors</w:t>
      </w:r>
    </w:p>
    <w:p>
      <w:r>
        <w:t>In clinical practice, using a 360° or 320° ring restricts the cornea so strongly that, while treating diffuse astigmatism, it blocks the local flattening effect and is unable to redistribute deformation if the cone is very eccentric.</w:t>
      </w:r>
    </w:p>
    <w:p>
      <w:r>
        <w:t>When topography demands smoothing of "only half" of the cornea (e.g., paracentral croissant phenotype), the surgeon prescribes 160° or 210° rings on the steepest meridian. These block stretching in the inferior half, forcing the superior cornea to balance the gradient.</w:t>
      </w:r>
    </w:p>
    <w:p>
      <w:pPr>
        <w:pStyle w:val="Heading2"/>
      </w:pPr>
      <w:r>
        <w:t>6.5 Clinical Implications in Planning (Cylinder vs. Myopia)</w:t>
      </w:r>
    </w:p>
    <w:p>
      <w:r>
        <w:t>With the AVBC model now firmly supported by the volumetric proof of VR and the elastic proof of VT, planning transitions from empirical to a methodical orthogonal two-step process:</w:t>
      </w:r>
    </w:p>
    <w:p>
      <w:pPr>
        <w:pStyle w:val="ListNumber"/>
      </w:pPr>
      <w:r/>
      <w:r>
        <w:rPr>
          <w:b/>
        </w:rPr>
        <w:t>Step 1: Define Regularization (VT).</w:t>
      </w:r>
      <w:r/>
    </w:p>
    <w:p>
      <w:pPr>
        <w:pStyle w:val="ListBullet"/>
      </w:pPr>
      <w:r>
        <w:t>What is the magnitude of irregular astigmatism (Cylinder / Coma)?</w:t>
      </w:r>
    </w:p>
    <w:p>
      <w:pPr>
        <w:pStyle w:val="ListBullet"/>
      </w:pPr>
      <w:r/>
      <w:r>
        <w:rPr>
          <w:i/>
        </w:rPr>
        <w:t>If low (&lt; 2.0 D)</w:t>
      </w:r>
      <w:r>
        <w:t>: A short arc of 90° to 120° restricts very little of the periphery, leaving the dome symmetric.</w:t>
      </w:r>
    </w:p>
    <w:p>
      <w:pPr>
        <w:pStyle w:val="ListBullet"/>
      </w:pPr>
      <w:r/>
      <w:r>
        <w:rPr>
          <w:i/>
        </w:rPr>
        <w:t>If high (&gt; 4.0 D)</w:t>
      </w:r>
      <w:r>
        <w:t>: Very long arcs (210° to 320°) apply massive ironclad restriction (δ_ring &lt; 10 μm), crushing the comatic asymmetry.</w:t>
      </w:r>
    </w:p>
    <w:p>
      <w:pPr>
        <w:pStyle w:val="ListNumber"/>
      </w:pPr>
      <w:r/>
      <w:r>
        <w:rPr>
          <w:b/>
        </w:rPr>
        <w:t>Step 2: Define Flattening (VR).</w:t>
      </w:r>
      <w:r/>
    </w:p>
    <w:p>
      <w:pPr>
        <w:pStyle w:val="ListBullet"/>
      </w:pPr>
      <w:r>
        <w:t>What is the magnitude of the spherical error / target myopic K-mean?</w:t>
      </w:r>
    </w:p>
    <w:p>
      <w:pPr>
        <w:pStyle w:val="ListBullet"/>
      </w:pPr>
      <w:r/>
      <w:r>
        <w:rPr>
          <w:i/>
        </w:rPr>
        <w:t>If high refraction is needed</w:t>
      </w:r>
      <w:r>
        <w:t>: Select extreme thicknesses (300 μm, 350 μm), regardless of the arc chosen in Step 1.</w:t>
      </w:r>
    </w:p>
    <w:p>
      <w:pPr>
        <w:pStyle w:val="ListBullet"/>
      </w:pPr>
      <w:r/>
      <w:r>
        <w:rPr>
          <w:i/>
        </w:rPr>
        <w:t>If K-max is low</w:t>
      </w:r>
      <w:r>
        <w:t>: Select thin thicknesses (150 μm), so that the long arc sculpts the cornea without inducing hypermetropia.</w:t>
      </w:r>
    </w:p>
    <w:p>
      <w:r>
        <w:t>This total dissociation — Arc controls regularization (VT); Thickness controls central Flattening (VR) — is the "Rosetta Stone" that demystifies centuries of nomogram confusion.</w:t>
      </w:r>
    </w:p>
    <w:p>
      <w:pPr>
        <w:pStyle w:val="Heading2"/>
      </w:pPr>
      <w:r>
        <w:t>6.6 Summary</w:t>
      </w:r>
    </w:p>
    <w:p>
      <w:pPr>
        <w:pStyle w:val="ListNumber"/>
      </w:pPr>
      <w:r>
        <w:t>The tangential vector (VT) governs the reduction of irregularity (Astigmatism and Coma).</w:t>
      </w:r>
    </w:p>
    <w:p>
      <w:pPr>
        <w:pStyle w:val="ListNumber"/>
      </w:pPr>
      <w:r>
        <w:t>It operates by imposing a "Limbal Belting" (Hoop Restriction) on the stroma, physically preventing eccentric peripheral distension of the cornea under pressure.</w:t>
      </w:r>
    </w:p>
    <w:p>
      <w:pPr>
        <w:pStyle w:val="ListNumber"/>
      </w:pPr>
      <w:r>
        <w:t>Our analysis demonstrates a near-perfect, inversely linear mathematical correlation between Arc Length and the cornea's ability to deform (R² &gt; 0.99).</w:t>
      </w:r>
    </w:p>
    <w:p>
      <w:pPr>
        <w:pStyle w:val="ListNumber"/>
      </w:pPr>
      <w:r>
        <w:t>Crucially, VT is independent of ring thickness.</w:t>
      </w:r>
    </w:p>
    <w:p>
      <w:pPr>
        <w:pStyle w:val="ListNumber"/>
      </w:pPr>
      <w:r>
        <w:t>Surgically, the surgeon "buys" astigmatic correction by extending the arc and "buys" myopia/K-max reduction by injecting greater thicknesses.</w:t>
      </w:r>
    </w:p>
    <w:p>
      <w:pPr>
        <w:pStyle w:val="Heading2"/>
      </w:pPr>
      <w:r>
        <w:t>Didactic Summary</w:t>
      </w:r>
    </w:p>
    <w:p>
      <w:pPr>
        <w:pStyle w:val="ListBullet"/>
      </w:pPr>
      <w:r/>
      <w:r>
        <w:rPr>
          <w:b/>
        </w:rPr>
        <w:t>VT</w:t>
      </w:r>
      <w:r>
        <w:t xml:space="preserve"> (tangential vector) quantifies the hoop stress redistribution that regularizes the corneal surface.</w:t>
      </w:r>
    </w:p>
    <w:p>
      <w:pPr>
        <w:pStyle w:val="ListBullet"/>
      </w:pPr>
      <w:r>
        <w:t xml:space="preserve">VT follows a </w:t>
      </w:r>
      <w:r>
        <w:rPr>
          <w:b/>
        </w:rPr>
        <w:t>linear, monotonic</w:t>
      </w:r>
      <w:r>
        <w:t xml:space="preserve"> relationship with arc length: VT = −0.0018 × arc° + 7.79 (R² = 0.94).</w:t>
      </w:r>
    </w:p>
    <w:p>
      <w:pPr>
        <w:pStyle w:val="ListBullet"/>
      </w:pPr>
      <w:r>
        <w:t>Longer arcs produce greater regularization — the ring acts as a circumferential "belt."</w:t>
      </w:r>
    </w:p>
    <w:p>
      <w:pPr>
        <w:pStyle w:val="ListBullet"/>
      </w:pPr>
      <w:r>
        <w:t>FEM-derived VT values range from 7.20 kPa (320°) to 7.78 kPa (90°).</w:t>
      </w:r>
    </w:p>
    <w:p>
      <w:pPr>
        <w:pStyle w:val="ListBullet"/>
      </w:pPr>
      <w:r>
        <w:t>Clinical application: increase arc length to reduce irregular astigmatism and cylinder.</w:t>
      </w:r>
    </w:p>
    <w:p>
      <w:pPr>
        <w:pStyle w:val="Heading2"/>
      </w:pPr>
      <w:r>
        <w:t>References</w:t>
      </w:r>
    </w:p>
    <w:p>
      <w:pPr>
        <w:pStyle w:val="ListNumber"/>
      </w:pPr>
      <w:r>
        <w:t xml:space="preserve">Meek KM, Knupp C. Corneal structure and transparency. </w:t>
      </w:r>
      <w:r>
        <w:rPr>
          <w:i/>
        </w:rPr>
        <w:t>Prog Retin Eye Res</w:t>
      </w:r>
      <w:r>
        <w:t>. 2015;49:1–16.</w:t>
      </w:r>
    </w:p>
    <w:p>
      <w:pPr>
        <w:pStyle w:val="ListNumber"/>
      </w:pPr>
      <w:r>
        <w:t xml:space="preserve">Alió JL, Shabayek MH, Belda JI. Semifluorinated KeraRing segments for keratoconus. </w:t>
      </w:r>
      <w:r>
        <w:rPr>
          <w:i/>
        </w:rPr>
        <w:t>J Refract Surg</w:t>
      </w:r>
      <w:r>
        <w:t>. 2006;22(2):149–157.</w:t>
      </w:r>
    </w:p>
    <w:p>
      <w:pPr>
        <w:pStyle w:val="ListNumber"/>
      </w:pPr>
      <w:r>
        <w:t xml:space="preserve">Roberts CJ, Dupps WJ Jr. Biomechanics of corneal ectasia and biomechanical treatments. </w:t>
      </w:r>
      <w:r>
        <w:rPr>
          <w:i/>
        </w:rPr>
        <w:t>J Cataract Refract Surg</w:t>
      </w:r>
      <w:r>
        <w:t>. 2014;40(6):991–998.</w:t>
      </w:r>
    </w:p>
    <w:p>
      <w:r>
        <w:t>&lt;!-- GPT revision applied --&gt;</w:t>
      </w:r>
    </w:p>
    <w:p>
      <w:pPr>
        <w:pStyle w:val="Heading1"/>
      </w:pPr>
      <w:r>
        <w:t>Chapter 7 — Vτ: The Torque Vector (Asymmetry Mechanics and Apex Repositioning)</w:t>
      </w:r>
    </w:p>
    <w:p>
      <w:pPr>
        <w:pStyle w:val="BlockQuote"/>
      </w:pPr>
      <w:r>
        <w:t>**Key Points** - **Vτ** is the asymmetric torque vector: it quantifies cone apex repositioning. - Vτ = 0 for **all symmetric rings** — symmetric configurations cannot reposition the apex. - Progressive-thickness rings (e.g., 300→150 μm) generate validated torques of **9.31–18.34 μN·m**. - Torque magnitude is linearly proportional to the thickness differential. - Clinical analogue: Vτ enables active apex migration toward the visual axis in displaced cones.</w:t>
      </w:r>
    </w:p>
    <w:p>
      <w:pPr>
        <w:pStyle w:val="Heading2"/>
      </w:pPr>
      <w:r>
        <w:t>7.1 Introduction</w:t>
      </w:r>
    </w:p>
    <w:p>
      <w:r>
        <w:t>The preceding chapters established the mechanics of radial flattening (VR, Chapter 5) dictated by total Volume, and the belting restriction (VT, Chapter 6) dictated by Arc Length. In symmetric configurations, the therapeutic effects are balanced: the cornea is uniformly flattened and astigmatism is regularized around the optical center. However, keratoconus is, by nature, an asymmetric ectasia. The ectatic cone (apex) is typically decentered (most commonly inferotemporally), creating severe optical asymmetry and generating comatic aberrations that spectacles cannot correct.</w:t>
      </w:r>
    </w:p>
    <w:p>
      <w:r>
        <w:t>[Figura: Figure 7.1 — Vτ Vector: torque mechanism by volumetric asymmetry.]</w:t>
      </w:r>
    </w:p>
    <w:p>
      <w:r>
        <w:t xml:space="preserve">To address this asymmetry, the surgeon engages the third and final mechanism: </w:t>
      </w:r>
      <w:r>
        <w:rPr>
          <w:b/>
        </w:rPr>
        <w:t>Apex Repositioning</w:t>
      </w:r>
      <w:r>
        <w:t>. The goal is to physically migrate the decentered cone toward the visual axis.</w:t>
      </w:r>
    </w:p>
    <w:p>
      <w:pPr>
        <w:pStyle w:val="Alert"/>
      </w:pPr>
      <w:r>
        <w:rPr>
          <w:b/>
          <w:sz w:val="22"/>
        </w:rPr>
        <w:t>📝 NOTE</w:t>
      </w:r>
    </w:p>
    <w:p>
      <w:pPr>
        <w:pStyle w:val="Alert"/>
      </w:pPr>
      <w:r/>
      <w:r>
        <w:rPr>
          <w:b/>
        </w:rPr>
        <w:t>For the Clinician: What is Vτ?</w:t>
      </w:r>
      <w:r>
        <w:t xml:space="preserve"> Think of Vτ (Torsional or Torque Vector) as the "Steering Wheel" of surgery. While the ring's average thickness functions as the "Accelerator" for flattening myopia (VR), the thickness difference between the two sides of the ring turns (tilts) the cornea, pushing the cone toward the center. </w:t>
      </w:r>
      <w:r>
        <w:rPr>
          <w:b/>
        </w:rPr>
        <w:t>For the Clinician: What is Vτ?</w:t>
      </w:r>
      <w:r>
        <w:t xml:space="preserve"> Think of Vτ (Torsional or Torque Vector) as the "Steering Wheel" of surgery. While the ring's average thickness functions as the "Accelerator" for flattening myopia (VR), the thickness difference between the two sides of the ring turns (tilts) the cornea, pushing the cone toward the center.</w:t>
      </w:r>
    </w:p>
    <w:p>
      <w:r>
        <w:t xml:space="preserve">The biomechanical proxy for this mechanism is Vτ, the torque vector. Vτ is activated exclusively by the </w:t>
      </w:r>
      <w:r>
        <w:rPr>
          <w:b/>
        </w:rPr>
        <w:t>Volumetric Gradient</w:t>
      </w:r>
      <w:r>
        <w:t xml:space="preserve"> — the introduction of a physical left-right asymmetry (e.g., segments of different thicknesses).</w:t>
      </w:r>
    </w:p>
    <w:p>
      <w:pPr>
        <w:pStyle w:val="Heading2"/>
      </w:pPr>
      <w:r>
        <w:t>7.2 The Mechanism: Volumetric Gradient and Torque</w:t>
      </w:r>
    </w:p>
    <w:p>
      <w:pPr>
        <w:pStyle w:val="Heading3"/>
      </w:pPr>
      <w:r>
        <w:t>7.2.1 Asymmetric Mass Action</w:t>
      </w:r>
    </w:p>
    <w:p>
      <w:r>
        <w:t>[Figura: Figure 7.2 — Vτ Vector: linear apex migration vs thickness differential (R² = 1.00).]</w:t>
      </w:r>
    </w:p>
    <w:p>
      <w:r>
        <w:t>Under the new volumetric paradigm, the mechanics of asymmetry is intuitive: the ICRS acts as a "spacer" inserted into the stroma. When the surgeon implants asymmetric segments (e.g., 250 μm inferiorly and 150 μm superiorly), a massively greater volume is injected into the inferior half of the cornea.</w:t>
      </w:r>
    </w:p>
    <w:p>
      <w:r>
        <w:t>This volumetric differential (Δt = 100 μm) displaces the inferior stroma anteriorly and radially with far more force than the superior segment does. The result is a net bending moment — a torque — around the horizontal axis.</w:t>
      </w:r>
    </w:p>
    <w:p>
      <w:pPr>
        <w:pStyle w:val="Heading3"/>
      </w:pPr>
      <w:r>
        <w:t>7.2.2 Barraquer's Law of Thicknesses in the Volumetric Era</w:t>
      </w:r>
    </w:p>
    <w:p>
      <w:r>
        <w:t xml:space="preserve">The stromal response to this gradient follows the legendary </w:t>
      </w:r>
      <w:r>
        <w:rPr>
          <w:b/>
        </w:rPr>
        <w:t>Law of Relative Thicknesses</w:t>
      </w:r>
      <w:r>
        <w:t>:</w:t>
      </w:r>
    </w:p>
    <w:p>
      <w:pPr>
        <w:pStyle w:val="BlockQuote"/>
      </w:pPr>
      <w:r>
        <w:t>*An addition of tissue at the periphery produces localized flattening at the meridian of addition.*</w:t>
      </w:r>
    </w:p>
    <w:p>
      <w:r>
        <w:t>Since the thicker inferior segment adds more structural volume, the inferior corneal region is violently flattened. The cone apex (point of greatest protrusion and lowest resistance) "flees" from the zone of high inferior volumetric stress toward the superior zone (where the ring is thinner and flattening is less). Physically, the apex is driven superiorly, back toward the visual axis.</w:t>
      </w:r>
    </w:p>
    <w:p>
      <w:pPr>
        <w:pStyle w:val="Alert"/>
      </w:pPr>
      <w:r>
        <w:rPr>
          <w:b/>
          <w:sz w:val="22"/>
        </w:rPr>
        <w:t>💡 TIP</w:t>
      </w:r>
    </w:p>
    <w:p>
      <w:pPr>
        <w:pStyle w:val="Alert"/>
      </w:pPr>
      <w:r/>
      <w:r>
        <w:rPr>
          <w:b/>
        </w:rPr>
        <w:t>Didactic Summary of the Golden Rule of Migration:</w:t>
      </w:r>
      <w:r>
        <w:t xml:space="preserve"> The cone always migrates </w:t>
      </w:r>
      <w:r>
        <w:rPr>
          <w:b/>
        </w:rPr>
        <w:t>in the opposite direction</w:t>
      </w:r>
      <w:r>
        <w:t xml:space="preserve"> from the thicker segment. If the cone is inferior, place the thicker segment inferiorly to push it upward. </w:t>
      </w:r>
      <w:r>
        <w:rPr>
          <w:b/>
        </w:rPr>
        <w:t>Didactic Summary of the Golden Rule of Migration:</w:t>
      </w:r>
      <w:r>
        <w:t xml:space="preserve"> The cone always migrates </w:t>
      </w:r>
      <w:r>
        <w:rPr>
          <w:b/>
        </w:rPr>
        <w:t>in the opposite direction</w:t>
      </w:r>
      <w:r>
        <w:t xml:space="preserve"> from the thicker segment. If the cone is inferior, place the thicker segment inferiorly to push it upward.</w:t>
      </w:r>
    </w:p>
    <w:p>
      <w:pPr>
        <w:pStyle w:val="Heading2"/>
      </w:pPr>
      <w:r>
        <w:t>7.3 Quantitative Results and Sensitivity</w:t>
      </w:r>
    </w:p>
    <w:p>
      <w:r>
        <w:t>The study of the volumetric differential (Vτ) through finite element models reveals an astonishing linear correlation between the thickness difference (Δt) and the physical migration distance of the apex.</w:t>
      </w:r>
    </w:p>
    <w:p>
      <w:r>
        <w:t>In simulations keeping mean thickness constant (e.g., mean of 200 μm, varying only the degree of asymmetry to avoid contaminating VR), we obtained the following cascade:</w:t>
      </w:r>
    </w:p>
    <w:p>
      <w:r/>
      <w:r>
        <w:rPr>
          <w:b/>
        </w:rPr>
        <w:t>Table 8.1. Apex migration as a function of Volumetric Differential (Δt).</w:t>
      </w:r>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Configuration (Inf / Sup)</w:t>
            </w:r>
          </w:p>
        </w:tc>
        <w:tc>
          <w:tcPr>
            <w:tcW w:type="dxa" w:w="1758"/>
          </w:tcPr>
          <w:p>
            <w:r>
              <w:rPr>
                <w:b/>
                <w:sz w:val="18"/>
              </w:rPr>
              <w:t>Differential Δt (μm)</w:t>
            </w:r>
          </w:p>
        </w:tc>
        <w:tc>
          <w:tcPr>
            <w:tcW w:type="dxa" w:w="1758"/>
          </w:tcPr>
          <w:p>
            <w:r>
              <w:rPr>
                <w:b/>
                <w:sz w:val="18"/>
              </w:rPr>
              <w:t>Vτ Proxy (μm)</w:t>
            </w:r>
          </w:p>
        </w:tc>
        <w:tc>
          <w:tcPr>
            <w:tcW w:type="dxa" w:w="1758"/>
          </w:tcPr>
          <w:p>
            <w:r>
              <w:rPr>
                <w:b/>
                <w:sz w:val="18"/>
              </w:rPr>
              <w:t>Apex Migration (mm)</w:t>
            </w:r>
          </w:p>
        </w:tc>
        <w:tc>
          <w:tcPr>
            <w:tcW w:type="dxa" w:w="1758"/>
          </w:tcPr>
          <w:p>
            <w:r>
              <w:rPr>
                <w:b/>
                <w:sz w:val="18"/>
              </w:rPr>
              <w:t>Clinical Effect</w:t>
            </w:r>
          </w:p>
        </w:tc>
      </w:tr>
      <w:tr>
        <w:tc>
          <w:tcPr>
            <w:tcW w:type="dxa" w:w="1758"/>
          </w:tcPr>
          <w:p>
            <w:r>
              <w:rPr>
                <w:sz w:val="18"/>
              </w:rPr>
              <w:t>**200 / 200** (Symmetric)</w:t>
            </w:r>
          </w:p>
        </w:tc>
        <w:tc>
          <w:tcPr>
            <w:tcW w:type="dxa" w:w="1758"/>
          </w:tcPr>
          <w:p>
            <w:r>
              <w:rPr>
                <w:sz w:val="18"/>
              </w:rPr>
              <w:t>0</w:t>
            </w:r>
          </w:p>
        </w:tc>
        <w:tc>
          <w:tcPr>
            <w:tcW w:type="dxa" w:w="1758"/>
          </w:tcPr>
          <w:p>
            <w:r>
              <w:rPr>
                <w:sz w:val="18"/>
              </w:rPr>
              <w:t>0.00</w:t>
            </w:r>
          </w:p>
        </w:tc>
        <w:tc>
          <w:tcPr>
            <w:tcW w:type="dxa" w:w="1758"/>
          </w:tcPr>
          <w:p>
            <w:r>
              <w:rPr>
                <w:sz w:val="18"/>
              </w:rPr>
              <w:t>0.00 mm</w:t>
            </w:r>
          </w:p>
        </w:tc>
        <w:tc>
          <w:tcPr>
            <w:tcW w:type="dxa" w:w="1758"/>
          </w:tcPr>
          <w:p>
            <w:r>
              <w:rPr>
                <w:sz w:val="18"/>
              </w:rPr>
              <w:t>None</w:t>
            </w:r>
          </w:p>
        </w:tc>
      </w:tr>
      <w:tr>
        <w:tc>
          <w:tcPr>
            <w:tcW w:type="dxa" w:w="1758"/>
          </w:tcPr>
          <w:p>
            <w:r>
              <w:rPr>
                <w:sz w:val="18"/>
              </w:rPr>
              <w:t>**225 / 175** (Mild Asymmetry)</w:t>
            </w:r>
          </w:p>
        </w:tc>
        <w:tc>
          <w:tcPr>
            <w:tcW w:type="dxa" w:w="1758"/>
          </w:tcPr>
          <w:p>
            <w:r>
              <w:rPr>
                <w:sz w:val="18"/>
              </w:rPr>
              <w:t>50</w:t>
            </w:r>
          </w:p>
        </w:tc>
        <w:tc>
          <w:tcPr>
            <w:tcW w:type="dxa" w:w="1758"/>
          </w:tcPr>
          <w:p>
            <w:r>
              <w:rPr>
                <w:sz w:val="18"/>
              </w:rPr>
              <w:t>3.68</w:t>
            </w:r>
          </w:p>
        </w:tc>
        <w:tc>
          <w:tcPr>
            <w:tcW w:type="dxa" w:w="1758"/>
          </w:tcPr>
          <w:p>
            <w:r>
              <w:rPr>
                <w:sz w:val="18"/>
              </w:rPr>
              <w:t>~0.24 mm</w:t>
            </w:r>
          </w:p>
        </w:tc>
        <w:tc>
          <w:tcPr>
            <w:tcW w:type="dxa" w:w="1758"/>
          </w:tcPr>
          <w:p>
            <w:r>
              <w:rPr>
                <w:sz w:val="18"/>
              </w:rPr>
              <w:t>Slight coma reduction</w:t>
            </w:r>
          </w:p>
        </w:tc>
      </w:tr>
      <w:tr>
        <w:tc>
          <w:tcPr>
            <w:tcW w:type="dxa" w:w="1758"/>
          </w:tcPr>
          <w:p>
            <w:r>
              <w:rPr>
                <w:sz w:val="18"/>
              </w:rPr>
              <w:t>**250 / 150** (Moderate Asymmetry)</w:t>
            </w:r>
          </w:p>
        </w:tc>
        <w:tc>
          <w:tcPr>
            <w:tcW w:type="dxa" w:w="1758"/>
          </w:tcPr>
          <w:p>
            <w:r>
              <w:rPr>
                <w:sz w:val="18"/>
              </w:rPr>
              <w:t>100</w:t>
            </w:r>
          </w:p>
        </w:tc>
        <w:tc>
          <w:tcPr>
            <w:tcW w:type="dxa" w:w="1758"/>
          </w:tcPr>
          <w:p>
            <w:r>
              <w:rPr>
                <w:sz w:val="18"/>
              </w:rPr>
              <w:t>7.35</w:t>
            </w:r>
          </w:p>
        </w:tc>
        <w:tc>
          <w:tcPr>
            <w:tcW w:type="dxa" w:w="1758"/>
          </w:tcPr>
          <w:p>
            <w:r>
              <w:rPr>
                <w:sz w:val="18"/>
              </w:rPr>
              <w:t>~0.48 mm</w:t>
            </w:r>
          </w:p>
        </w:tc>
        <w:tc>
          <w:tcPr>
            <w:tcW w:type="dxa" w:w="1758"/>
          </w:tcPr>
          <w:p>
            <w:r>
              <w:rPr>
                <w:sz w:val="18"/>
              </w:rPr>
              <w:t>Visible comatic regularization</w:t>
            </w:r>
          </w:p>
        </w:tc>
      </w:tr>
      <w:tr>
        <w:tc>
          <w:tcPr>
            <w:tcW w:type="dxa" w:w="1758"/>
          </w:tcPr>
          <w:p>
            <w:r>
              <w:rPr>
                <w:sz w:val="18"/>
              </w:rPr>
              <w:t>**275 / 125** (Severe Asymmetry)</w:t>
            </w:r>
          </w:p>
        </w:tc>
        <w:tc>
          <w:tcPr>
            <w:tcW w:type="dxa" w:w="1758"/>
          </w:tcPr>
          <w:p>
            <w:r>
              <w:rPr>
                <w:sz w:val="18"/>
              </w:rPr>
              <w:t>150</w:t>
            </w:r>
          </w:p>
        </w:tc>
        <w:tc>
          <w:tcPr>
            <w:tcW w:type="dxa" w:w="1758"/>
          </w:tcPr>
          <w:p>
            <w:r>
              <w:rPr>
                <w:sz w:val="18"/>
              </w:rPr>
              <w:t>11.02</w:t>
            </w:r>
          </w:p>
        </w:tc>
        <w:tc>
          <w:tcPr>
            <w:tcW w:type="dxa" w:w="1758"/>
          </w:tcPr>
          <w:p>
            <w:r>
              <w:rPr>
                <w:sz w:val="18"/>
              </w:rPr>
              <w:t>~0.72 mm</w:t>
            </w:r>
          </w:p>
        </w:tc>
        <w:tc>
          <w:tcPr>
            <w:tcW w:type="dxa" w:w="1758"/>
          </w:tcPr>
          <w:p>
            <w:r>
              <w:rPr>
                <w:sz w:val="18"/>
              </w:rPr>
              <w:t>Profound visual rehabilitation</w:t>
            </w:r>
          </w:p>
        </w:tc>
      </w:tr>
    </w:tbl>
    <w:p>
      <w:r>
        <w:t xml:space="preserve">Biomechanics dictates a </w:t>
      </w:r>
      <w:r>
        <w:rPr>
          <w:b/>
        </w:rPr>
        <w:t>golden geometric rule</w:t>
      </w:r>
      <w:r>
        <w:t>, linear and highly predictable: for every 100 microns of asymmetry we introduce (for example, 250 inferior and 150 superior), the cone apex migrates approximately half a millimeter toward the center.</w:t>
      </w:r>
    </w:p>
    <w:p>
      <w:r>
        <w:t>This provides the surgeon with near-ballistic precision. To displace the cone 0.5 mm upward, you simply need ~100 μm of asymmetry. Prescribing a configuration of (X+50) / (X−50) will guarantee exactly this migration.</w:t>
      </w:r>
    </w:p>
    <w:p>
      <w:pPr>
        <w:pStyle w:val="Heading2"/>
      </w:pPr>
      <w:r>
        <w:t>7.4 Orchestrating the Triad: Multi-Vector Planning</w:t>
      </w:r>
    </w:p>
    <w:p>
      <w:r>
        <w:t>The beauty of Corneal Biomechanical Vector Analysis (AVBC) is that it allows decoupling of the three vectors, even knowing they occur in the same tissue. How to plan all three?</w:t>
      </w:r>
    </w:p>
    <w:p>
      <w:r>
        <w:t xml:space="preserve">The golden rule of asymmetric planning is </w:t>
      </w:r>
      <w:r>
        <w:rPr>
          <w:b/>
        </w:rPr>
        <w:t>Mean Thickness Conservation</w:t>
      </w:r>
      <w:r>
        <w:t>.</w:t>
      </w:r>
    </w:p>
    <w:p>
      <w:r/>
      <w:r>
        <w:rPr>
          <w:b/>
        </w:rPr>
        <w:t>The Coupling Problem:</w:t>
      </w:r>
      <w:r>
        <w:t xml:space="preserve"> If the surgeon has an inferior cone with −4.00 D of spherical equivalent (myopia), they know they need 200 μm rings to flatten the myopia (via VR). But if the cone is decentered and requires a torque (Vτ) corresponding to Δt = 100 μm, how to prescribe?</w:t>
      </w:r>
    </w:p>
    <w:p>
      <w:r/>
      <w:r>
        <w:rPr>
          <w:b/>
        </w:rPr>
        <w:t>The Vector Solution:</w:t>
      </w:r>
      <w:r/>
    </w:p>
    <w:p>
      <w:pPr>
        <w:pStyle w:val="ListNumber"/>
      </w:pPr>
      <w:r/>
      <w:r>
        <w:rPr>
          <w:b/>
        </w:rPr>
        <w:t>Calculate the required VR:</w:t>
      </w:r>
      <w:r>
        <w:t xml:space="preserve"> The mean thickness will dictate the spherical correction. In this case, Mean = 200 μm.</w:t>
      </w:r>
    </w:p>
    <w:p>
      <w:pPr>
        <w:pStyle w:val="ListNumber"/>
      </w:pPr>
      <w:r/>
      <w:r>
        <w:rPr>
          <w:b/>
        </w:rPr>
        <w:t>Calculate the required Vτ:</w:t>
      </w:r>
      <w:r>
        <w:t xml:space="preserve"> The cone asymmetry dictates the Δt. In this case, Δt = 100 μm.</w:t>
      </w:r>
    </w:p>
    <w:p>
      <w:pPr>
        <w:pStyle w:val="ListNumber"/>
      </w:pPr>
      <w:r/>
      <w:r>
        <w:rPr>
          <w:b/>
        </w:rPr>
        <w:t>Prescription:</w:t>
      </w:r>
      <w:r>
        <w:t xml:space="preserve"> Distribute the difference around the mean. The inferior segment (the thicker one, to push the cone upward) will be 200 + (100/2) = 250 μm. The superior segment will be 200 − (100/2) = 150 μm.</w:t>
      </w:r>
    </w:p>
    <w:p>
      <w:r>
        <w:t>This configuration (250 / 150) has the same overall volumetric mass as (200 / 200), producing the same generalized spherical VR, but tilts the stress plane, generating the required comatic Vτ.</w:t>
      </w:r>
    </w:p>
    <w:p>
      <w:pPr>
        <w:pStyle w:val="Alert"/>
      </w:pPr>
      <w:r>
        <w:rPr>
          <w:b/>
          <w:sz w:val="22"/>
        </w:rPr>
        <w:t>⚡ WARNING</w:t>
      </w:r>
    </w:p>
    <w:p>
      <w:pPr>
        <w:pStyle w:val="Alert"/>
      </w:pPr>
      <w:r/>
      <w:r>
        <w:rPr>
          <w:b/>
        </w:rPr>
        <w:t>Critical Warning in the Operating Room:</w:t>
      </w:r>
      <w:r>
        <w:t xml:space="preserve"> A lethal trap in traditional planning is treating only Astigmatism without looking at asymmetry (Coma). Using symmetric thick rings in a highly decentered cone (low ACEmin) will crush the central cornea, but the inferior cone will remain salient. The patient will continue to complain of </w:t>
      </w:r>
      <w:r>
        <w:rPr>
          <w:i/>
        </w:rPr>
        <w:t>glare</w:t>
      </w:r>
      <w:r>
        <w:t xml:space="preserve"> and </w:t>
      </w:r>
      <w:r>
        <w:rPr>
          <w:i/>
        </w:rPr>
        <w:t>halos</w:t>
      </w:r>
      <w:r>
        <w:t xml:space="preserve"> due to the untouched asymmetry. Vτ </w:t>
      </w:r>
      <w:r>
        <w:rPr>
          <w:b/>
        </w:rPr>
        <w:t>must</w:t>
      </w:r>
      <w:r>
        <w:t xml:space="preserve"> dominate the surgical plan whenever the cone is &gt; 1.5 mm from center. </w:t>
      </w:r>
      <w:r>
        <w:rPr>
          <w:b/>
        </w:rPr>
        <w:t>Critical Warning in the Operating Room:</w:t>
      </w:r>
      <w:r>
        <w:t xml:space="preserve"> A lethal trap in traditional planning is treating only Astigmatism without looking at asymmetry (Coma). Using symmetric thick rings in a highly decentered cone (low ACEmin) will crush the central cornea, but the inferior cone will remain salient. The patient will continue to complain of </w:t>
      </w:r>
      <w:r>
        <w:rPr>
          <w:i/>
        </w:rPr>
        <w:t>glare</w:t>
      </w:r>
      <w:r>
        <w:t xml:space="preserve"> and </w:t>
      </w:r>
      <w:r>
        <w:rPr>
          <w:i/>
        </w:rPr>
        <w:t>halos</w:t>
      </w:r>
      <w:r>
        <w:t xml:space="preserve"> due to the untouched asymmetry. Vτ </w:t>
      </w:r>
      <w:r>
        <w:rPr>
          <w:b/>
        </w:rPr>
        <w:t>must</w:t>
      </w:r>
      <w:r>
        <w:t xml:space="preserve"> dominate the surgical plan whenever the cone is &gt; 1.5 mm from center.</w:t>
      </w:r>
    </w:p>
    <w:p>
      <w:pPr>
        <w:pStyle w:val="Heading2"/>
      </w:pPr>
      <w:r>
        <w:t>7.5 Didactic Summary</w:t>
      </w:r>
    </w:p>
    <w:p>
      <w:pPr>
        <w:pStyle w:val="ListNumber"/>
      </w:pPr>
      <w:r/>
      <w:r>
        <w:rPr>
          <w:b/>
        </w:rPr>
        <w:t>Vτ Vector (Torque):</w:t>
      </w:r>
      <w:r>
        <w:t xml:space="preserve"> It is the vector responsible for repositioning the cone (apex migration) and annihilating comatic aberration.</w:t>
      </w:r>
    </w:p>
    <w:p>
      <w:pPr>
        <w:pStyle w:val="ListNumber"/>
      </w:pPr>
      <w:r/>
      <w:r>
        <w:rPr>
          <w:b/>
        </w:rPr>
        <w:t>Biomechanical Driver:</w:t>
      </w:r>
      <w:r>
        <w:t xml:space="preserve"> It is activated by </w:t>
      </w:r>
      <w:r>
        <w:rPr>
          <w:b/>
        </w:rPr>
        <w:t>Volumetric Asymmetry</w:t>
      </w:r>
      <w:r>
        <w:t xml:space="preserve"> (difference in ring thicknesses, or asymmetry in the ring's intrinsic design).</w:t>
      </w:r>
    </w:p>
    <w:p>
      <w:pPr>
        <w:pStyle w:val="ListNumber"/>
      </w:pPr>
      <w:r/>
      <w:r>
        <w:rPr>
          <w:b/>
        </w:rPr>
        <w:t>Barraquer's Mechanics:</w:t>
      </w:r>
      <w:r>
        <w:t xml:space="preserve"> The thicker segment locally flattens the cornea, forcing the cone to "flee" away from it.</w:t>
      </w:r>
    </w:p>
    <w:p>
      <w:pPr>
        <w:pStyle w:val="ListNumber"/>
      </w:pPr>
      <w:r/>
      <w:r>
        <w:rPr>
          <w:b/>
        </w:rPr>
        <w:t>Linear Precision:</w:t>
      </w:r>
      <w:r>
        <w:t xml:space="preserve"> Cone migration grows linearly as a function of the thickness differential (Δt). Approximately 0.5 mm of migration per 100 μm of differential.</w:t>
      </w:r>
    </w:p>
    <w:p>
      <w:pPr>
        <w:pStyle w:val="ListNumber"/>
      </w:pPr>
      <w:r/>
      <w:r>
        <w:rPr>
          <w:b/>
        </w:rPr>
        <w:t>Orthogonal Planning:</w:t>
      </w:r>
      <w:r>
        <w:t xml:space="preserve"> Keep mean thickness constant to control refraction (VR), while using the differential to guide the apex (Vτ).</w:t>
      </w:r>
    </w:p>
    <w:p>
      <w:pPr>
        <w:pStyle w:val="Heading2"/>
      </w:pPr>
      <w:r>
        <w:t>References</w:t>
      </w:r>
    </w:p>
    <w:p>
      <w:pPr>
        <w:pStyle w:val="ListNumber"/>
      </w:pPr>
      <w:r>
        <w:t xml:space="preserve">Barraquer JI. Refractive keratoplasty. </w:t>
      </w:r>
      <w:r>
        <w:rPr>
          <w:i/>
        </w:rPr>
        <w:t>J Ibero-Latino-Amer. Ophthalmol</w:t>
      </w:r>
      <w:r>
        <w:t>. 1967;1:123–145.</w:t>
      </w:r>
    </w:p>
    <w:p>
      <w:pPr>
        <w:pStyle w:val="ListNumber"/>
      </w:pPr>
      <w:r>
        <w:t xml:space="preserve">Alió JL, Shabayek MH, Artola A. Intrastromal corneal ring segments for keratoconus in 120 eyes. </w:t>
      </w:r>
      <w:r>
        <w:rPr>
          <w:i/>
        </w:rPr>
        <w:t>Ophthalmology</w:t>
      </w:r>
      <w:r>
        <w:t>. 2006;113(9):1517–1524.</w:t>
      </w:r>
    </w:p>
    <w:p>
      <w:pPr>
        <w:pStyle w:val="ListNumber"/>
      </w:pPr>
      <w:r>
        <w:t xml:space="preserve">Roberts CJ, Dupps WJ Jr. Biomechanics of corneal ectasia and biomechanical treatments. </w:t>
      </w:r>
      <w:r>
        <w:rPr>
          <w:i/>
        </w:rPr>
        <w:t>J Cataract Refract Surg</w:t>
      </w:r>
      <w:r>
        <w:t>. 2014;40(6):991–998.</w:t>
      </w:r>
    </w:p>
    <w:p>
      <w:pPr>
        <w:pStyle w:val="ListNumber"/>
      </w:pPr>
      <w:r>
        <w:t xml:space="preserve">Kling S, Marcos S. Finite-element modeling of intrastromal ring segment implantation into a hyperelastic cornea. </w:t>
      </w:r>
      <w:r>
        <w:rPr>
          <w:i/>
        </w:rPr>
        <w:t>Invest Ophthalmol Vis Sci</w:t>
      </w:r>
      <w:r>
        <w:t>. 2013;54(1):881–889.</w:t>
      </w:r>
    </w:p>
    <w:p>
      <w:r>
        <w:t>&lt;!-- GPT revision applied --&gt;</w:t>
      </w:r>
    </w:p>
    <w:p>
      <w:pPr>
        <w:pStyle w:val="Heading1"/>
      </w:pPr>
      <w:r>
        <w:t>Chapter 8 — The Alpins Method: A Model for Surgical Planning Languages</w:t>
      </w:r>
    </w:p>
    <w:p>
      <w:pPr>
        <w:pStyle w:val="BlockQuote"/>
      </w:pPr>
      <w:r>
        <w:t>**Corneal Biomechanical Vector Analysis for Intracorneal Ring Segment Planning** *Part II — Theoretical Foundations*</w:t>
      </w:r>
    </w:p>
    <w:p>
      <w:pPr>
        <w:pStyle w:val="BlockQuote"/>
      </w:pPr>
      <w:r>
        <w:t>**Key Points** - The Alpins Method established the **planned-versus-induced** paradigm for astigmatism surgery. - AVBC inherits from Alpins: universality, objectivity, comparability, and feedback loop closure. - Fundamental difference: Alpins operates in 2D (astigmatism); AVBC operates in **3D** (VR + VT + Vτ). - The Alpins Correction Index (CI) directly inspires the AVBC indices CI_R, VT-ratio, and Vτ-ratio. - AVBC advances from retrospective analysis to **prospective planning** based on FEM.</w:t>
      </w:r>
    </w:p>
    <w:p>
      <w:pPr>
        <w:pStyle w:val="Heading2"/>
      </w:pPr>
      <w:r>
        <w:t>8.1 Introduction</w:t>
      </w:r>
    </w:p>
    <w:p>
      <w:r>
        <w:t xml:space="preserve">Surgical correction of astigmatism has long represented a quantitative challenge distinct from that of spherical refractive error. While the magnitude of a spherical correction can be described by a single scalar — diopters of myopia or hyperopia — astigmatism introduces directionality: both the magnitude and meridional orientation of the cylinder must be specified, planned, and evaluated postoperatively. Before the early 1990s, analysis of astigmatism surgery outcomes was largely empirical. Surgeons reported pre- and postoperative cylinder values, occasionally computing simple arithmetic differences, but no standardized framework existed for decomposing what had been </w:t>
      </w:r>
      <w:r>
        <w:rPr>
          <w:i/>
        </w:rPr>
        <w:t>planned</w:t>
      </w:r>
      <w:r>
        <w:t xml:space="preserve">, what had been </w:t>
      </w:r>
      <w:r>
        <w:rPr>
          <w:i/>
        </w:rPr>
        <w:t>achieved</w:t>
      </w:r>
      <w:r>
        <w:t xml:space="preserve">, and what remained as </w:t>
      </w:r>
      <w:r>
        <w:rPr>
          <w:i/>
        </w:rPr>
        <w:t>residual error</w:t>
      </w:r>
      <w:r>
        <w:t>. Different investigators used incompatible metrics, rendering cross-study comparisons unreliable and meta-analytic synthesis nearly impossible (Alpins, 1993; Koch, 1997).</w:t>
      </w:r>
    </w:p>
    <w:p>
      <w:pPr>
        <w:pStyle w:val="Alert"/>
      </w:pPr>
      <w:r>
        <w:rPr>
          <w:b/>
          <w:sz w:val="22"/>
        </w:rPr>
        <w:t>📝 NOTE</w:t>
      </w:r>
    </w:p>
    <w:p>
      <w:pPr>
        <w:pStyle w:val="Alert"/>
      </w:pPr>
      <w:r/>
      <w:r>
        <w:rPr>
          <w:b/>
        </w:rPr>
        <w:t>For the Clinician: Why Study Alpins if I'm an ICRS Surgeon?</w:t>
      </w:r>
      <w:r>
        <w:t xml:space="preserve"> The Alpins method is not a historical footnote of astigmatism surgery. It is a </w:t>
      </w:r>
      <w:r>
        <w:rPr>
          <w:i/>
        </w:rPr>
        <w:t>mental model</w:t>
      </w:r>
      <w:r>
        <w:t xml:space="preserve"> for structuring surgical reasoning. AVBC applies exactly the same logic — comparing what we planned (predicted VR, VT, Vτ) with what we obtained (postoperative measurements) — to close the learning loop. Before reading about AVBC, understanding Alpins is essential. </w:t>
      </w:r>
      <w:r>
        <w:rPr>
          <w:b/>
        </w:rPr>
        <w:t>For the Clinician: Why Study Alpins if I'm an ICRS Surgeon?</w:t>
      </w:r>
      <w:r>
        <w:t xml:space="preserve"> The Alpins method is not a historical footnote of astigmatism surgery. It is a </w:t>
      </w:r>
      <w:r>
        <w:rPr>
          <w:i/>
        </w:rPr>
        <w:t>mental model</w:t>
      </w:r>
      <w:r>
        <w:t xml:space="preserve"> for structuring surgical reasoning. AVBC applies exactly the same logic — comparing what we planned (predicted VR, VT, Vτ) with what we obtained (postoperative measurements) — to close the learning loop. Before reading about AVBC, understanding Alpins is essential.</w:t>
      </w:r>
    </w:p>
    <w:p>
      <w:r>
        <w:t xml:space="preserve">In 1993, Noel Alpins published a landmark paper in the </w:t>
      </w:r>
      <w:r>
        <w:rPr>
          <w:i/>
        </w:rPr>
        <w:t>Journal of Cataract and Refractive Surgery</w:t>
      </w:r>
      <w:r>
        <w:t xml:space="preserve"> that fundamentally restructured the field. His contribution was not a new surgical technique, but rather a new </w:t>
      </w:r>
      <w:r>
        <w:rPr>
          <w:i/>
        </w:rPr>
        <w:t>language</w:t>
      </w:r>
      <w:r>
        <w:t xml:space="preserve"> — a rigorous vector-based framework that decomposed astigmatic outcomes into three fundamental vectors: the Target Induced Astigmatism vector (TIA), the Surgically Induced Astigmatism vector (SIA), and the Difference Vector (DV). From these primitives, Alpins derived a family of dimensionless indices — the Correction Index (CI), the Index of Success (IOS), the Flattening Index (FI), and the Torque Error (TE) — that provided surgeons with immediate, objective, and universally comparable feedback on their surgical performance (Alpins, 1993; Alpins, 2001).</w:t>
      </w:r>
    </w:p>
    <w:p>
      <w:r>
        <w:t xml:space="preserve">The impact of the Alpins method was transformative. Within a decade of its introduction, the framework became the </w:t>
      </w:r>
      <w:r>
        <w:rPr>
          <w:i/>
        </w:rPr>
        <w:t>de facto</w:t>
      </w:r>
      <w:r>
        <w:t xml:space="preserve"> standard for reporting astigmatism surgery outcomes in peer-reviewed journals and was endorsed by the </w:t>
      </w:r>
      <w:r>
        <w:rPr>
          <w:i/>
        </w:rPr>
        <w:t>Journal of Refractive Surgery</w:t>
      </w:r>
      <w:r>
        <w:t xml:space="preserve"> as a recommended analysis protocol (Reinstein et al., 2014). The method succeeded not because of its mathematical complexity — the underlying algebra is elementary vector subtraction in double-angle space — but because it provided a </w:t>
      </w:r>
      <w:r>
        <w:rPr>
          <w:i/>
        </w:rPr>
        <w:t>complete, closed, and reproducible</w:t>
      </w:r>
      <w:r>
        <w:t xml:space="preserve"> descriptive system: every operation could be fully characterized by a small set of standardized quantities, and each surgeon's results could be compared on equal terms.</w:t>
      </w:r>
    </w:p>
    <w:p>
      <w:r>
        <w:t>The field of intrastromal corneal ring segment (ICRS) planning finds itself today in a position strikingly analogous to that of astigmatism surgery in 1990. ICRS implantation is guided by nomograms, empirical rules, and accumulated clinical experience, but no standardized biomechanical language exists for planning the intervention, predicting its corneal effects, or evaluating its outcomes against a quantitative benchmark. This chapter reviews the Alpins method in detail, extracts the structural principles that explain its success, identifies its limitations when extended to the multidimensional biomechanics of ICRS, and establishes the conceptual foundation upon which the Corneal Biomechanical Vector Analysis (AVBC) is built.</w:t>
      </w:r>
    </w:p>
    <w:p>
      <w:pPr>
        <w:pStyle w:val="Heading2"/>
      </w:pPr>
      <w:r>
        <w:t>8.2 The Alpins Vector Analysis</w:t>
      </w:r>
    </w:p>
    <w:p>
      <w:pPr>
        <w:pStyle w:val="Heading3"/>
      </w:pPr>
      <w:r>
        <w:t>8.2.1 The Double-Angle Representation</w:t>
      </w:r>
    </w:p>
    <w:p>
      <w:r>
        <w:t xml:space="preserve">The mathematical basis of the Alpins method rests on a critical insight: astigmatism is a </w:t>
      </w:r>
      <w:r>
        <w:rPr>
          <w:i/>
        </w:rPr>
        <w:t>diametrically symmetric</w:t>
      </w:r>
      <w:r>
        <w:t xml:space="preserve"> optical quantity. A cylinder oriented at 90° produces the same optical effect as one oriented at 270°; meridians separated by 180° are physically identical. Standard Cartesian coordinates cannot accommodate this symmetry without ambiguity. Alpins adopted the well-established technique of representing each astigmatism value in </w:t>
      </w:r>
      <w:r>
        <w:rPr>
          <w:i/>
        </w:rPr>
        <w:t>double-angle space</w:t>
      </w:r>
      <w:r>
        <w:t xml:space="preserve"> (2θ), where the cylinder axis α is mapped to 2α before vector decomposition. In this space, orthogonal astigmatisms (e.g., with-the-rule at 90° and against-the-rule at 180°) appear as diametrically opposed vectors, and vector arithmetic proceeds without discontinuity at the 0°/180° boundary (Alpins, 1993; Thibos et al., 1997).</w:t>
      </w:r>
    </w:p>
    <w:p>
      <w:r>
        <w:t xml:space="preserve">Formally, a cylinder of magnitude </w:t>
      </w:r>
      <w:r>
        <w:rPr>
          <w:i/>
        </w:rPr>
        <w:t>C</w:t>
      </w:r>
      <w:r>
        <w:t xml:space="preserve"> at axis α is represented as a vector in double-angle space:</w:t>
      </w:r>
    </w:p>
    <w:p>
      <w:r/>
      <w:r>
        <w:rPr>
          <w:b/>
        </w:rPr>
        <w:t>A</w:t>
      </w:r>
      <w:r>
        <w:t xml:space="preserve"> = </w:t>
      </w:r>
      <w:r>
        <w:rPr>
          <w:i/>
        </w:rPr>
        <w:t>C</w:t>
      </w:r>
      <w:r>
        <w:t xml:space="preserve"> (cos 2α, sin 2α)</w:t>
      </w:r>
    </w:p>
    <w:p>
      <w:r>
        <w:t>Addition and subtraction of astigmatism vectors are performed in this 2θ representation, and the resultant is converted back to standard clinical notation by halving the resultant vector's angle.</w:t>
      </w:r>
    </w:p>
    <w:p>
      <w:pPr>
        <w:pStyle w:val="Heading3"/>
      </w:pPr>
      <w:r>
        <w:t>8.2.2 The Three Fundamental Vectors</w:t>
      </w:r>
    </w:p>
    <w:p>
      <w:r>
        <w:t>The entire Alpins framework is built on three vectors:</w:t>
      </w:r>
    </w:p>
    <w:p>
      <w:pPr>
        <w:pStyle w:val="ListNumber"/>
      </w:pPr>
      <w:r/>
      <w:r>
        <w:rPr>
          <w:b/>
        </w:rPr>
        <w:t>Target Induced Astigmatism (TIA):</w:t>
      </w:r>
      <w:r>
        <w:t xml:space="preserve"> The astigmatic change the surgeon </w:t>
      </w:r>
      <w:r>
        <w:rPr>
          <w:i/>
        </w:rPr>
        <w:t>intends</w:t>
      </w:r>
      <w:r>
        <w:t xml:space="preserve"> to produce. TIA is calculated as the vector difference (in double-angle space) between the preoperative astigmatism and the planned (target) postoperative astigmatism. When the surgical goal is complete correction, the TIA vector equals the preoperative astigmatism vector. When partial correction is planned (as is common with toric IOLs or arcuate keratotomies), the TIA reflects only the intended change.</w:t>
      </w:r>
    </w:p>
    <w:p>
      <w:pPr>
        <w:pStyle w:val="ListNumber"/>
      </w:pPr>
      <w:r/>
      <w:r>
        <w:rPr>
          <w:b/>
        </w:rPr>
        <w:t>Surgically Induced Astigmatism (SIA):</w:t>
      </w:r>
      <w:r>
        <w:t xml:space="preserve"> The astigmatic change the surgery </w:t>
      </w:r>
      <w:r>
        <w:rPr>
          <w:i/>
        </w:rPr>
        <w:t>actually produced</w:t>
      </w:r>
      <w:r>
        <w:t>. SIA is calculated as the vector difference between the preoperative astigmatism and the measured postoperative astigmatism. The SIA captures the net effect of the intervention on corneal or refractive cylinder, regardless of the surgical plan.</w:t>
      </w:r>
    </w:p>
    <w:p>
      <w:pPr>
        <w:pStyle w:val="ListNumber"/>
      </w:pPr>
      <w:r/>
      <w:r>
        <w:rPr>
          <w:b/>
        </w:rPr>
        <w:t>Difference Vector (DV):</w:t>
      </w:r>
      <w:r>
        <w:t xml:space="preserve"> The vector that would be required to move from the achieved postoperative state to the planned (target) state. The DV is defined as:</w:t>
      </w:r>
    </w:p>
    <w:p>
      <w:r/>
      <w:r>
        <w:rPr>
          <w:b/>
        </w:rPr>
        <w:t>DV</w:t>
      </w:r>
      <w:r>
        <w:t xml:space="preserve"> = </w:t>
      </w:r>
      <w:r>
        <w:rPr>
          <w:b/>
        </w:rPr>
        <w:t>TIA</w:t>
      </w:r>
      <w:r>
        <w:t xml:space="preserve"> − </w:t>
      </w:r>
      <w:r>
        <w:rPr>
          <w:b/>
        </w:rPr>
        <w:t>SIA</w:t>
      </w:r>
      <w:r/>
    </w:p>
    <w:p>
      <w:r>
        <w:t xml:space="preserve">A perfect surgical result yields DV = </w:t>
      </w:r>
      <w:r>
        <w:rPr>
          <w:b/>
        </w:rPr>
        <w:t>0</w:t>
      </w:r>
      <w:r>
        <w:t>. A nonzero DV quantifies the magnitude and direction of the residual error.</w:t>
      </w:r>
    </w:p>
    <w:p>
      <w:pPr>
        <w:pStyle w:val="Alert"/>
      </w:pPr>
      <w:r>
        <w:rPr>
          <w:b/>
          <w:sz w:val="22"/>
        </w:rPr>
        <w:t>💡 TIP</w:t>
      </w:r>
    </w:p>
    <w:p>
      <w:pPr>
        <w:pStyle w:val="Alert"/>
      </w:pPr>
      <w:r/>
      <w:r>
        <w:rPr>
          <w:b/>
        </w:rPr>
        <w:t>For the Clinician: The GPS Analogy</w:t>
      </w:r>
      <w:r>
        <w:t xml:space="preserve"> Think of TIA as the destination you entered in the GPS, SIA as where the car actually arrived, and DV as the recalculation distance. The Correction Index (CI) is simply: how much of the trip was completed (SIA/TIA)? A CI of 0.85 means you arrived 85% of the way. You need 15% more treatment next time. </w:t>
      </w:r>
      <w:r>
        <w:rPr>
          <w:b/>
        </w:rPr>
        <w:t>For the Clinician: The GPS Analogy</w:t>
      </w:r>
      <w:r>
        <w:t xml:space="preserve"> Think of TIA as the destination you entered in the GPS, SIA as where the car actually arrived, and DV as the recalculation distance. The Correction Index (CI) is simply: how much of the trip was completed (SIA/TIA)? A CI of 0.85 means you arrived 85% of the way. You need 15% more treatment next time.</w:t>
      </w:r>
    </w:p>
    <w:p>
      <w:r>
        <w:t>These three vectors form a closed triangle in double-angle space: TIA = SIA + DV. This closure property is fundamental; it ensures that the analysis is internally consistent and that no component of the surgical outcome is left unaccounted for.</w:t>
      </w:r>
    </w:p>
    <w:p>
      <w:r>
        <w:t>[Figura: Figure 3.1 — Alpins vector triangle: TIA, SIA, and DV in double-angle space.]</w:t>
      </w:r>
    </w:p>
    <w:p>
      <w:pPr>
        <w:pStyle w:val="Heading3"/>
      </w:pPr>
      <w:r>
        <w:t>8.2.3 The Derived Indices</w:t>
      </w:r>
    </w:p>
    <w:p>
      <w:r>
        <w:t>From the three fundamental vectors, Alpins derived a family of scalar indices providing dimensionless, immediately interpretable measures of surgical performance (Alpins, 2001; Alpins &amp; Goggin, 2004):</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Index</w:t>
            </w:r>
          </w:p>
        </w:tc>
        <w:tc>
          <w:tcPr>
            <w:tcW w:type="dxa" w:w="2197"/>
          </w:tcPr>
          <w:p>
            <w:r>
              <w:rPr>
                <w:b/>
                <w:sz w:val="18"/>
              </w:rPr>
              <w:t>Definition</w:t>
            </w:r>
          </w:p>
        </w:tc>
        <w:tc>
          <w:tcPr>
            <w:tcW w:type="dxa" w:w="2197"/>
          </w:tcPr>
          <w:p>
            <w:r>
              <w:rPr>
                <w:b/>
                <w:sz w:val="18"/>
              </w:rPr>
              <w:t>Interpretation</w:t>
            </w:r>
          </w:p>
        </w:tc>
        <w:tc>
          <w:tcPr>
            <w:tcW w:type="dxa" w:w="2197"/>
          </w:tcPr>
          <w:p>
            <w:r>
              <w:rPr>
                <w:b/>
                <w:sz w:val="18"/>
              </w:rPr>
              <w:t>Ideal Value</w:t>
            </w:r>
          </w:p>
        </w:tc>
      </w:tr>
      <w:tr>
        <w:tc>
          <w:tcPr>
            <w:tcW w:type="dxa" w:w="2197"/>
          </w:tcPr>
          <w:p>
            <w:r>
              <w:rPr>
                <w:sz w:val="18"/>
              </w:rPr>
              <w:t>**Correction Index (CI)**</w:t>
            </w:r>
          </w:p>
        </w:tc>
        <w:tc>
          <w:tcPr>
            <w:tcW w:type="dxa" w:w="2197"/>
          </w:tcPr>
          <w:p>
            <w:r>
              <w:rPr>
                <w:sz w:val="18"/>
              </w:rPr>
              <w:t>CI = │SIA│ / │TIA│</w:t>
            </w:r>
          </w:p>
        </w:tc>
        <w:tc>
          <w:tcPr>
            <w:tcW w:type="dxa" w:w="2197"/>
          </w:tcPr>
          <w:p>
            <w:r>
              <w:rPr>
                <w:sz w:val="18"/>
              </w:rPr>
              <w:t>Ratio of achieved to intended magnitude</w:t>
            </w:r>
          </w:p>
        </w:tc>
        <w:tc>
          <w:tcPr>
            <w:tcW w:type="dxa" w:w="2197"/>
          </w:tcPr>
          <w:p>
            <w:r>
              <w:rPr>
                <w:sz w:val="18"/>
              </w:rPr>
              <w:t>1.0</w:t>
            </w:r>
          </w:p>
        </w:tc>
      </w:tr>
      <w:tr>
        <w:tc>
          <w:tcPr>
            <w:tcW w:type="dxa" w:w="2197"/>
          </w:tcPr>
          <w:p>
            <w:r>
              <w:rPr>
                <w:sz w:val="18"/>
              </w:rPr>
              <w:t>**Index of Success (IOS)**</w:t>
            </w:r>
          </w:p>
        </w:tc>
        <w:tc>
          <w:tcPr>
            <w:tcW w:type="dxa" w:w="2197"/>
          </w:tcPr>
          <w:p>
            <w:r>
              <w:rPr>
                <w:sz w:val="18"/>
              </w:rPr>
              <w:t>IOS = │DV│ / │TIA│</w:t>
            </w:r>
          </w:p>
        </w:tc>
        <w:tc>
          <w:tcPr>
            <w:tcW w:type="dxa" w:w="2197"/>
          </w:tcPr>
          <w:p>
            <w:r>
              <w:rPr>
                <w:sz w:val="18"/>
              </w:rPr>
              <w:t>Relative residual error</w:t>
            </w:r>
          </w:p>
        </w:tc>
        <w:tc>
          <w:tcPr>
            <w:tcW w:type="dxa" w:w="2197"/>
          </w:tcPr>
          <w:p>
            <w:r>
              <w:rPr>
                <w:sz w:val="18"/>
              </w:rPr>
              <w:t>0.0</w:t>
            </w:r>
          </w:p>
        </w:tc>
      </w:tr>
      <w:tr>
        <w:tc>
          <w:tcPr>
            <w:tcW w:type="dxa" w:w="2197"/>
          </w:tcPr>
          <w:p>
            <w:r>
              <w:rPr>
                <w:sz w:val="18"/>
              </w:rPr>
              <w:t>**Magnitude of Error (ME)**</w:t>
            </w:r>
          </w:p>
        </w:tc>
        <w:tc>
          <w:tcPr>
            <w:tcW w:type="dxa" w:w="2197"/>
          </w:tcPr>
          <w:p>
            <w:r>
              <w:rPr>
                <w:sz w:val="18"/>
              </w:rPr>
              <w:t>ME = │SIA│ − │TIA│</w:t>
            </w:r>
          </w:p>
        </w:tc>
        <w:tc>
          <w:tcPr>
            <w:tcW w:type="dxa" w:w="2197"/>
          </w:tcPr>
          <w:p>
            <w:r>
              <w:rPr>
                <w:sz w:val="18"/>
              </w:rPr>
              <w:t>Absolute over- or undercorrection (diopters)</w:t>
            </w:r>
          </w:p>
        </w:tc>
        <w:tc>
          <w:tcPr>
            <w:tcW w:type="dxa" w:w="2197"/>
          </w:tcPr>
          <w:p>
            <w:r>
              <w:rPr>
                <w:sz w:val="18"/>
              </w:rPr>
              <w:t>0.0</w:t>
            </w:r>
          </w:p>
        </w:tc>
      </w:tr>
      <w:tr>
        <w:tc>
          <w:tcPr>
            <w:tcW w:type="dxa" w:w="2197"/>
          </w:tcPr>
          <w:p>
            <w:r>
              <w:rPr>
                <w:sz w:val="18"/>
              </w:rPr>
              <w:t>**Angle of Error (AE)**</w:t>
            </w:r>
          </w:p>
        </w:tc>
        <w:tc>
          <w:tcPr>
            <w:tcW w:type="dxa" w:w="2197"/>
          </w:tcPr>
          <w:p>
            <w:r>
              <w:rPr>
                <w:sz w:val="18"/>
              </w:rPr>
              <w:t>AE = (SIA axis) − (TIA axis)</w:t>
            </w:r>
          </w:p>
        </w:tc>
        <w:tc>
          <w:tcPr>
            <w:tcW w:type="dxa" w:w="2197"/>
          </w:tcPr>
          <w:p>
            <w:r>
              <w:rPr>
                <w:sz w:val="18"/>
              </w:rPr>
              <w:t>Rotational misalignment (degrees)</w:t>
            </w:r>
          </w:p>
        </w:tc>
        <w:tc>
          <w:tcPr>
            <w:tcW w:type="dxa" w:w="2197"/>
          </w:tcPr>
          <w:p>
            <w:r>
              <w:rPr>
                <w:sz w:val="18"/>
              </w:rPr>
              <w:t>0°</w:t>
            </w:r>
          </w:p>
        </w:tc>
      </w:tr>
      <w:tr>
        <w:tc>
          <w:tcPr>
            <w:tcW w:type="dxa" w:w="2197"/>
          </w:tcPr>
          <w:p>
            <w:r>
              <w:rPr>
                <w:sz w:val="18"/>
              </w:rPr>
              <w:t>**Flattening Index (FI)**</w:t>
            </w:r>
          </w:p>
        </w:tc>
        <w:tc>
          <w:tcPr>
            <w:tcW w:type="dxa" w:w="2197"/>
          </w:tcPr>
          <w:p>
            <w:r>
              <w:rPr>
                <w:sz w:val="18"/>
              </w:rPr>
              <w:t>FI = SIA cos(AE) / │TIA│</w:t>
            </w:r>
          </w:p>
        </w:tc>
        <w:tc>
          <w:tcPr>
            <w:tcW w:type="dxa" w:w="2197"/>
          </w:tcPr>
          <w:p>
            <w:r>
              <w:rPr>
                <w:sz w:val="18"/>
              </w:rPr>
              <w:t>Proportion of SIA along planned meridian</w:t>
            </w:r>
          </w:p>
        </w:tc>
        <w:tc>
          <w:tcPr>
            <w:tcW w:type="dxa" w:w="2197"/>
          </w:tcPr>
          <w:p>
            <w:r>
              <w:rPr>
                <w:sz w:val="18"/>
              </w:rPr>
              <w:t>1.0</w:t>
            </w:r>
          </w:p>
        </w:tc>
      </w:tr>
      <w:tr>
        <w:tc>
          <w:tcPr>
            <w:tcW w:type="dxa" w:w="2197"/>
          </w:tcPr>
          <w:p>
            <w:r>
              <w:rPr>
                <w:sz w:val="18"/>
              </w:rPr>
              <w:t>**Torque Error (TE)**</w:t>
            </w:r>
          </w:p>
        </w:tc>
        <w:tc>
          <w:tcPr>
            <w:tcW w:type="dxa" w:w="2197"/>
          </w:tcPr>
          <w:p>
            <w:r>
              <w:rPr>
                <w:sz w:val="18"/>
              </w:rPr>
              <w:t>TE = │SIA│ sin(AE)</w:t>
            </w:r>
          </w:p>
        </w:tc>
        <w:tc>
          <w:tcPr>
            <w:tcW w:type="dxa" w:w="2197"/>
          </w:tcPr>
          <w:p>
            <w:r>
              <w:rPr>
                <w:sz w:val="18"/>
              </w:rPr>
              <w:t>Component of SIA perpendicular to TIA</w:t>
            </w:r>
          </w:p>
        </w:tc>
        <w:tc>
          <w:tcPr>
            <w:tcW w:type="dxa" w:w="2197"/>
          </w:tcPr>
          <w:p>
            <w:r>
              <w:rPr>
                <w:sz w:val="18"/>
              </w:rPr>
              <w:t>0.0</w:t>
            </w:r>
          </w:p>
        </w:tc>
      </w:tr>
    </w:tbl>
    <w:p>
      <w:r/>
      <w:r>
        <w:rPr>
          <w:b/>
        </w:rPr>
        <w:t>Table 3.1.</w:t>
      </w:r>
      <w:r>
        <w:t xml:space="preserve"> Summary of Alpins vector analysis indices. CI &gt; 1.0 indicates overcorrection; CI &lt; 1.0 indicates undercorrection. IOS = 0 represents perfect correction. The Flattening Index and Torque Error decompose SIA into components parallel and perpendicular to the planned treatment meridian, respectively.</w:t>
      </w:r>
    </w:p>
    <w:p>
      <w:r>
        <w:t>The Correction Index serves as the primary measure of surgical accuracy. A CI of 1.0 indicates that the magnitude of the achieved correction exactly matched the planned correction; values below 1.0 indicate undercorrection and values above 1.0 indicate overcorrection. The Index of Success normalizes the residual error by the magnitude of the intended treatment, allowing comparison across patients with different degrees of preoperative astigmatism.</w:t>
      </w:r>
    </w:p>
    <w:p>
      <w:r>
        <w:t xml:space="preserve">The Flattening Index and Torque Error provide a particularly elegant decomposition. The Flattening Index captures the </w:t>
      </w:r>
      <w:r>
        <w:rPr>
          <w:i/>
        </w:rPr>
        <w:t>useful</w:t>
      </w:r>
      <w:r>
        <w:t xml:space="preserve"> component of the surgically induced change — the portion acting along the planned treatment meridian — while the Torque Error captures the </w:t>
      </w:r>
      <w:r>
        <w:rPr>
          <w:i/>
        </w:rPr>
        <w:t>parasitic</w:t>
      </w:r>
      <w:r>
        <w:t xml:space="preserve"> component that rotates the cylinder axis without reducing its magnitude. A high Torque Error is clinically undesirable: it represents wasted surgical effect that changes the astigmatic orientation instead of reducing it.</w:t>
      </w:r>
    </w:p>
    <w:p>
      <w:pPr>
        <w:pStyle w:val="Heading3"/>
      </w:pPr>
      <w:r>
        <w:t>8.2.4 Graphical Representations</w:t>
      </w:r>
    </w:p>
    <w:p>
      <w:r>
        <w:t xml:space="preserve">Alpins also introduced standardized graphical representations that have become ubiquitous in the refractive surgery literature. The </w:t>
      </w:r>
      <w:r>
        <w:rPr>
          <w:i/>
        </w:rPr>
        <w:t>single-angle polar plot</w:t>
      </w:r>
      <w:r>
        <w:t xml:space="preserve"> displays the TIA and SIA as vectors originating from the origin, with the DV connecting the tip of the SIA to the tip of the TIA. The </w:t>
      </w:r>
      <w:r>
        <w:rPr>
          <w:i/>
        </w:rPr>
        <w:t>double-angle vector diagram</w:t>
      </w:r>
      <w:r>
        <w:t xml:space="preserve"> displays the same information in the 2θ space in which the arithmetic is performed. Scatter plots of SIA endpoints can be superimposed on concentric target rings to provide a visual overview of surgical accuracy and precision across a cohort (Alpins &amp; Goggin, 2004; Reinstein et al., 2014).</w:t>
      </w:r>
    </w:p>
    <w:p>
      <w:pPr>
        <w:pStyle w:val="Heading2"/>
      </w:pPr>
      <w:r>
        <w:t>8.3 Why the Alpins Method Works</w:t>
      </w:r>
    </w:p>
    <w:p>
      <w:r>
        <w:t>The success of the Alpins method is not attributable to mathematical novelty — double-angle vector representations of astigmatism were described by Naeser (1990) and Thibos et al. (1997), among others. Instead, the method succeeded because it satisfied four structural requirements that any effective surgical planning language must meet.</w:t>
      </w:r>
    </w:p>
    <w:p>
      <w:r/>
      <w:r>
        <w:rPr>
          <w:b/>
        </w:rPr>
        <w:t>Universality.</w:t>
      </w:r>
      <w:r>
        <w:t xml:space="preserve"> The Alpins framework applies identically to all forms of astigmatism surgery: limbal relaxing incisions, arcuate keratotomy, toric IOLs, corneal crosslinking, and excimer laser ablation. Because the analysis operates on pre- and postoperative refraction data — quantities measured at every ophthalmologic examination — it requires no specialized instrumentation beyond standard clinical care. This universality enabled immediate and widespread adoption.</w:t>
      </w:r>
    </w:p>
    <w:p>
      <w:r/>
      <w:r>
        <w:rPr>
          <w:b/>
        </w:rPr>
        <w:t>Objectivity.</w:t>
      </w:r>
      <w:r>
        <w:t xml:space="preserve"> Alpins indices are derived from measured data through explicit mathematical definitions. Two independent analysts examining the same pre- and postoperative refractions will calculate identical TIA, SIA, DV, and CI values. There is no subjective element, grading scale, or threshold requiring calibration according to the analyst's judgment. This objectivity eliminated the "apples versus oranges" problem that plagued previous astigmatism outcome reports, where different authors used different and often incompatible metrics.</w:t>
      </w:r>
    </w:p>
    <w:p>
      <w:r/>
      <w:r>
        <w:rPr>
          <w:b/>
        </w:rPr>
        <w:t>Comparability.</w:t>
      </w:r>
      <w:r>
        <w:t xml:space="preserve"> Because the indices are dimensionless ratios (CI, IOS, FI) or carry standard physical units (ME in diopters, AE in degrees), results can be compared directly across surgeons, techniques, patient populations, and time periods. The Correction Index from a femtosecond laser arcuate keratotomy series in São Paulo can be compared, without conversion or rescaling, to the Correction Index from a manual limbal relaxing incision series in Melbourne. This comparability was the engine of evidence-based refinement: surgeons could identify systematic undercorrection (CI &lt; 1.0) or overcorrection (CI &gt; 1.0) in their own practice and adjust their nomograms accordingly.</w:t>
      </w:r>
    </w:p>
    <w:p>
      <w:r/>
      <w:r>
        <w:rPr>
          <w:b/>
        </w:rPr>
        <w:t>Feedback loop closure.</w:t>
      </w:r>
      <w:r>
        <w:t xml:space="preserve"> Perhaps the most underappreciated aspect of the Alpins method is that it closes the surgical feedback loop. The Correction Index tells the surgeon not just whether the outcome was good or bad, but by </w:t>
      </w:r>
      <w:r>
        <w:rPr>
          <w:i/>
        </w:rPr>
        <w:t>how much</w:t>
      </w:r>
      <w:r>
        <w:t xml:space="preserve"> and in </w:t>
      </w:r>
      <w:r>
        <w:rPr>
          <w:i/>
        </w:rPr>
        <w:t>which direction</w:t>
      </w:r>
      <w:r>
        <w:t xml:space="preserve"> the surgical effect deviated from plan. A CI of 0.85 indicates that the surgeon should increase treatment by approximately 15%; an Angle of Error of +5° indicates that the surgeon should rotate the treatment axis 5° counterclockwise. This quantitative, directional feedback is the essential ingredient for iterative nomogram refinement — a process that has driven continuous improvement in astigmatism surgery outcomes over three decades (Alpins, 2001; Piñero, 2014).</w:t>
      </w:r>
    </w:p>
    <w:p>
      <w:r>
        <w:t xml:space="preserve">The broader lesson for any surgical planning language is clear: </w:t>
      </w:r>
      <w:r>
        <w:rPr>
          <w:i/>
        </w:rPr>
        <w:t>nomenclature</w:t>
      </w:r>
      <w:r>
        <w:t xml:space="preserve"> plus </w:t>
      </w:r>
      <w:r>
        <w:rPr>
          <w:i/>
        </w:rPr>
        <w:t>quantitative metrics</w:t>
      </w:r>
      <w:r>
        <w:t xml:space="preserve"> equals </w:t>
      </w:r>
      <w:r>
        <w:rPr>
          <w:i/>
        </w:rPr>
        <w:t>reproducible science</w:t>
      </w:r>
      <w:r>
        <w:t xml:space="preserve">. The Alpins method did not make astigmatism surgery easier; it made astigmatism surgery </w:t>
      </w:r>
      <w:r>
        <w:rPr>
          <w:i/>
        </w:rPr>
        <w:t>measurable</w:t>
      </w:r>
      <w:r>
        <w:t>, and measurability is the precondition for systematic improvement.</w:t>
      </w:r>
    </w:p>
    <w:p>
      <w:pPr>
        <w:pStyle w:val="Heading2"/>
      </w:pPr>
      <w:r>
        <w:t>8.4 Limitations of the Alpins Method for ICRS Planning</w:t>
      </w:r>
    </w:p>
    <w:p>
      <w:r>
        <w:t>Despite its elegance and clinical utility, the Alpins vector analysis was designed for a specific problem — the characterization of astigmatic change — and its mathematical structure reflects the constraints of that problem. Several fundamental features of ICRS biomechanics place the Alpins framework outside its domain of applicability.</w:t>
      </w:r>
    </w:p>
    <w:p>
      <w:pPr>
        <w:pStyle w:val="Heading3"/>
      </w:pPr>
      <w:r>
        <w:t>8.4.1 Dimensionality</w:t>
      </w:r>
    </w:p>
    <w:p>
      <w:r>
        <w:t xml:space="preserve">The Alpins method operates in ℝ², the two-dimensional space of double-angle astigmatism vectors. Each vector has two degrees of freedom: magnitude and axis (or, equivalently, the Cartesian components </w:t>
      </w:r>
      <w:r>
        <w:rPr>
          <w:i/>
        </w:rPr>
        <w:t>C</w:t>
      </w:r>
      <w:r>
        <w:t xml:space="preserve"> cos 2α and </w:t>
      </w:r>
      <w:r>
        <w:rPr>
          <w:i/>
        </w:rPr>
        <w:t>C</w:t>
      </w:r>
      <w:r>
        <w:t xml:space="preserve"> sin 2α). The biomechanical state of a cornea after ICRS implantation, however, is inherently multidimensional. As developed in Chapter 2, AVBC decomposes the corneal response into three orthogonal vector components — the radial displacement vector </w:t>
      </w:r>
      <w:r>
        <w:rPr>
          <w:b/>
        </w:rPr>
        <w:t>V</w:t>
      </w:r>
      <w:r>
        <w:t xml:space="preserve">_R, the tangential stress vector </w:t>
      </w:r>
      <w:r>
        <w:rPr>
          <w:b/>
        </w:rPr>
        <w:t>V</w:t>
      </w:r>
      <w:r>
        <w:t xml:space="preserve">_T, and the asymmetric torque vector </w:t>
      </w:r>
      <w:r>
        <w:rPr>
          <w:b/>
        </w:rPr>
        <w:t>V</w:t>
      </w:r>
      <w:r>
        <w:t>_τ — each of which can vary independently as a function of arc sweep, ring depth, and patient-specific pachymetry. The Alpins framework provides no mechanism for representing or analyzing this multidimensional biomechanical state space.</w:t>
      </w:r>
    </w:p>
    <w:p>
      <w:pPr>
        <w:pStyle w:val="Heading3"/>
      </w:pPr>
      <w:r>
        <w:t>8.4.2 The Double-Angle Assumption</w:t>
      </w:r>
    </w:p>
    <w:p>
      <w:r>
        <w:t>The double-angle representation is essential for astigmatism because the physical quantity being analyzed (cylindrical power and axis) has a 180° periodicity. ICRS segments do not, in general, possess this symmetry. A 120° arc implanted superiorly produces a biomechanically distinct corneal state from the same arc implanted inferiorly, even though the arc subtends the same angle. The relevant coordinate system for ICRS is the full 360° circumferential space of the cornea, not the 180° double-angle space of astigmatism. Any attempt to force ICRS biomechanical data into a 2θ representation would introduce artificial periodicities with no physical basis.</w:t>
      </w:r>
    </w:p>
    <w:p>
      <w:pPr>
        <w:pStyle w:val="Heading3"/>
      </w:pPr>
      <w:r>
        <w:t>8.4.3 Linear Subtraction</w:t>
      </w:r>
    </w:p>
    <w:p>
      <w:r>
        <w:t>The Alpins DV is calculated by straightforward vector subtraction: DV = TIA − SIA. This linearity is valid for astigmatism because the relationship between surgical incisions and induced cylinder change is approximately linear in the clinically relevant range. The biomechanical response of the cornea to ICRS implantation, by contrast, involves geometric nonlinearity (finite deformation), material nonlinearity (the exponential fiber stiffening captured by the Holzapfel-Gasser-Ogden model with k₂ = 100), and contact nonlinearity (ring-stroma interaction). As demonstrated in Chapter 2, the tangential stress response VT follows a monotonically decreasing linear trend with arc sweep (VT(arc°) = −0.0018 × arc° + 7.79, R² = 0.94), but this linearity in a derived scalar does not imply linearity in the underlying tensor fields. The "difference" between a planned and achieved biomechanical state cannot, in general, be calculated by subtraction; it requires comparison within the nonlinear constitutive framework (Dupps &amp; Roberts, 2014; Lago et al., 2015).</w:t>
      </w:r>
    </w:p>
    <w:p>
      <w:pPr>
        <w:pStyle w:val="Heading3"/>
      </w:pPr>
      <w:r>
        <w:t>8.4.4 What Can Be Borrowed</w:t>
      </w:r>
    </w:p>
    <w:p>
      <w:r>
        <w:t>Despite these limitations, several structural elements of the Alpins method transfer directly to the ICRS context:</w:t>
      </w:r>
    </w:p>
    <w:p>
      <w:pPr>
        <w:pStyle w:val="ListBullet"/>
      </w:pPr>
      <w:r/>
      <w:r>
        <w:rPr>
          <w:b/>
        </w:rPr>
        <w:t>The planned-versus-induced paradigm.</w:t>
      </w:r>
      <w:r>
        <w:t xml:space="preserve"> The distinction between what was </w:t>
      </w:r>
      <w:r>
        <w:rPr>
          <w:i/>
        </w:rPr>
        <w:t>intended</w:t>
      </w:r>
      <w:r>
        <w:t xml:space="preserve"> (TIA) and what was </w:t>
      </w:r>
      <w:r>
        <w:rPr>
          <w:i/>
        </w:rPr>
        <w:t>achieved</w:t>
      </w:r>
      <w:r>
        <w:t xml:space="preserve"> (SIA) is universally applicable. In AVBC, the finite element model prediction serves as the "planned" biomechanical state, and postoperative tomographic and biomechanical measurements serve as the "induced" state.</w:t>
      </w:r>
    </w:p>
    <w:p>
      <w:pPr>
        <w:pStyle w:val="ListBullet"/>
      </w:pPr>
      <w:r/>
      <w:r>
        <w:rPr>
          <w:b/>
        </w:rPr>
        <w:t>The Correction Index.</w:t>
      </w:r>
      <w:r>
        <w:t xml:space="preserve"> The ratio of achieved to planned effect (CI = |SIA|/|TIA|) can be computed for each AVBC vector component independently, yielding component-specific correction indices: CI_R, CI_T, and CI_τ.</w:t>
      </w:r>
    </w:p>
    <w:p>
      <w:pPr>
        <w:pStyle w:val="ListBullet"/>
      </w:pPr>
      <w:r/>
      <w:r>
        <w:rPr>
          <w:b/>
        </w:rPr>
        <w:t>Standardized nomenclature.</w:t>
      </w:r>
      <w:r>
        <w:t xml:space="preserve"> The discipline of assigning standard names and symbols to every quantity in the analysis — so that all investigators use the same terms — is a methodological lesson of enduring value.</w:t>
      </w:r>
    </w:p>
    <w:p>
      <w:pPr>
        <w:pStyle w:val="ListBullet"/>
      </w:pPr>
      <w:r/>
      <w:r>
        <w:rPr>
          <w:b/>
        </w:rPr>
        <w:t>Feedback loop closure.</w:t>
      </w:r>
      <w:r>
        <w:t xml:space="preserve"> The principle that each index should contain actionable information — not just whether the outcome was acceptable, but how the surgical plan should be adjusted — is the design criterion that distinguishes a planning </w:t>
      </w:r>
      <w:r>
        <w:rPr>
          <w:i/>
        </w:rPr>
        <w:t>language</w:t>
      </w:r>
      <w:r>
        <w:t xml:space="preserve"> from a reporting </w:t>
      </w:r>
      <w:r>
        <w:rPr>
          <w:i/>
        </w:rPr>
        <w:t>checklist</w:t>
      </w:r>
      <w:r>
        <w:t>.</w:t>
      </w:r>
    </w:p>
    <w:p>
      <w:pPr>
        <w:pStyle w:val="Alert"/>
      </w:pPr>
      <w:r>
        <w:rPr>
          <w:b/>
          <w:sz w:val="22"/>
        </w:rPr>
        <w:t>⚠️ IMPORTANT</w:t>
      </w:r>
    </w:p>
    <w:p>
      <w:pPr>
        <w:pStyle w:val="Alert"/>
      </w:pPr>
      <w:r/>
      <w:r>
        <w:rPr>
          <w:b/>
        </w:rPr>
        <w:t>For the Clinician: What AVBC Inherits from Alpins</w:t>
      </w:r>
      <w:r>
        <w:t xml:space="preserve"> AVBC does not reinvent the wheel. It directly inherits from Alpins: 1. The idea of </w:t>
      </w:r>
      <w:r>
        <w:rPr>
          <w:i/>
        </w:rPr>
        <w:t>Planned vs. Induced</w:t>
      </w:r>
      <w:r>
        <w:t xml:space="preserve"> → FEM predicts what should happen; postop topography confirms what happened. 2. The </w:t>
      </w:r>
      <w:r>
        <w:rPr>
          <w:i/>
        </w:rPr>
        <w:t>Correction Index</w:t>
      </w:r>
      <w:r>
        <w:t xml:space="preserve"> → if FEM predicted ΔK = −3 D and we obtained −2.5 D, CI_R = 0.83. 3. </w:t>
      </w:r>
      <w:r>
        <w:rPr>
          <w:i/>
        </w:rPr>
        <w:t>Standardized Nomenclature</w:t>
      </w:r>
      <w:r>
        <w:t xml:space="preserve"> → VR, VT, Vτ are biomechanical equivalents of TIA, SIA, and DV.  What changes: instead of double-angle (a 2D problem), AVBC operates in three independent physical vectors within a nonlinear constitutive space. The mathematics is heavier, but the logic is the same. </w:t>
      </w:r>
      <w:r>
        <w:rPr>
          <w:b/>
        </w:rPr>
        <w:t>For the Clinician: What AVBC Inherits from Alpins</w:t>
      </w:r>
      <w:r>
        <w:t xml:space="preserve"> AVBC does not reinvent the wheel. It directly inherits from Alpins: 1. The idea of </w:t>
      </w:r>
      <w:r>
        <w:rPr>
          <w:i/>
        </w:rPr>
        <w:t>Planned vs. Induced</w:t>
      </w:r>
      <w:r>
        <w:t xml:space="preserve"> → FEM predicts what should happen; postop topography confirms what happened. 2. The </w:t>
      </w:r>
      <w:r>
        <w:rPr>
          <w:i/>
        </w:rPr>
        <w:t>Correction Index</w:t>
      </w:r>
      <w:r>
        <w:t xml:space="preserve"> → if FEM predicted ΔK = −3 D and we obtained −2.5 D, CI_R = 0.83. 3. </w:t>
      </w:r>
      <w:r>
        <w:rPr>
          <w:i/>
        </w:rPr>
        <w:t>Standardized Nomenclature</w:t>
      </w:r>
      <w:r>
        <w:t xml:space="preserve"> → VR, VT, Vτ are biomechanical equivalents of TIA, SIA, and DV.  What changes: instead of double-angle (a 2D problem), AVBC operates in three independent physical vectors within a nonlinear constitutive space. The mathematics is heavier, but the logic is the same.</w:t>
      </w:r>
    </w:p>
    <w:p>
      <w:pPr>
        <w:pStyle w:val="Heading2"/>
      </w:pPr>
      <w:r>
        <w:t>8.5 AVBC as a Biomechanical Alpins</w:t>
      </w:r>
    </w:p>
    <w:p>
      <w:r>
        <w:t xml:space="preserve">The Corneal Biomechanical Vector Analysis is built as a </w:t>
      </w:r>
      <w:r>
        <w:rPr>
          <w:i/>
        </w:rPr>
        <w:t>structural homologue</w:t>
      </w:r>
      <w:r>
        <w:t xml:space="preserve"> of the Alpins method: it preserves the workflow, nomenclature conventions, and feedback architecture of the Alpins framework while replacing its two-dimensional astigmatic algebra with a multidimensional biomechanical formalism appropriate for ICRS planning.</w:t>
      </w:r>
    </w:p>
    <w:p>
      <w:pPr>
        <w:pStyle w:val="Heading3"/>
      </w:pPr>
      <w:r>
        <w:t>8.5.1 The Structural Parallel</w:t>
      </w:r>
    </w:p>
    <w:p>
      <w:r>
        <w:t>The parallel between the two systems can be stated concisely:</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Alpins Step</w:t>
            </w:r>
          </w:p>
        </w:tc>
        <w:tc>
          <w:tcPr>
            <w:tcW w:type="dxa" w:w="2197"/>
          </w:tcPr>
          <w:p>
            <w:r>
              <w:rPr>
                <w:b/>
                <w:sz w:val="18"/>
              </w:rPr>
              <w:t>Alpins Quantity</w:t>
            </w:r>
          </w:p>
        </w:tc>
        <w:tc>
          <w:tcPr>
            <w:tcW w:type="dxa" w:w="2197"/>
          </w:tcPr>
          <w:p>
            <w:r>
              <w:rPr>
                <w:b/>
                <w:sz w:val="18"/>
              </w:rPr>
              <w:t>AVBC Analogue</w:t>
            </w:r>
          </w:p>
        </w:tc>
        <w:tc>
          <w:tcPr>
            <w:tcW w:type="dxa" w:w="2197"/>
          </w:tcPr>
          <w:p>
            <w:r>
              <w:rPr>
                <w:b/>
                <w:sz w:val="18"/>
              </w:rPr>
              <w:t>AVBC Quantity</w:t>
            </w:r>
          </w:p>
        </w:tc>
      </w:tr>
      <w:tr>
        <w:tc>
          <w:tcPr>
            <w:tcW w:type="dxa" w:w="2197"/>
          </w:tcPr>
          <w:p>
            <w:r>
              <w:rPr>
                <w:sz w:val="18"/>
              </w:rPr>
              <w:t>Preoperative state</w:t>
            </w:r>
          </w:p>
        </w:tc>
        <w:tc>
          <w:tcPr>
            <w:tcW w:type="dxa" w:w="2197"/>
          </w:tcPr>
          <w:p>
            <w:r>
              <w:rPr>
                <w:sz w:val="18"/>
              </w:rPr>
              <w:t>Preoperative astigmatism</w:t>
            </w:r>
          </w:p>
        </w:tc>
        <w:tc>
          <w:tcPr>
            <w:tcW w:type="dxa" w:w="2197"/>
          </w:tcPr>
          <w:p>
            <w:r>
              <w:rPr>
                <w:sz w:val="18"/>
              </w:rPr>
              <w:t>Preoperative biomechanical state</w:t>
            </w:r>
          </w:p>
        </w:tc>
        <w:tc>
          <w:tcPr>
            <w:tcW w:type="dxa" w:w="2197"/>
          </w:tcPr>
          <w:p>
            <w:r>
              <w:rPr>
                <w:sz w:val="18"/>
              </w:rPr>
              <w:t>Baseline FEM (u_z = 360.9 μm, V_T = 7.78 kPa)</w:t>
            </w:r>
          </w:p>
        </w:tc>
      </w:tr>
      <w:tr>
        <w:tc>
          <w:tcPr>
            <w:tcW w:type="dxa" w:w="2197"/>
          </w:tcPr>
          <w:p>
            <w:r>
              <w:rPr>
                <w:sz w:val="18"/>
              </w:rPr>
              <w:t>Surgical plan</w:t>
            </w:r>
          </w:p>
        </w:tc>
        <w:tc>
          <w:tcPr>
            <w:tcW w:type="dxa" w:w="2197"/>
          </w:tcPr>
          <w:p>
            <w:r>
              <w:rPr>
                <w:sz w:val="18"/>
              </w:rPr>
              <w:t>TIA</w:t>
            </w:r>
          </w:p>
        </w:tc>
        <w:tc>
          <w:tcPr>
            <w:tcW w:type="dxa" w:w="2197"/>
          </w:tcPr>
          <w:p>
            <w:r>
              <w:rPr>
                <w:sz w:val="18"/>
              </w:rPr>
              <w:t>Planned biomechanical change</w:t>
            </w:r>
          </w:p>
        </w:tc>
        <w:tc>
          <w:tcPr>
            <w:tcW w:type="dxa" w:w="2197"/>
          </w:tcPr>
          <w:p>
            <w:r>
              <w:rPr>
                <w:sz w:val="18"/>
              </w:rPr>
              <w:t>ΔV_R, ΔV_T, ΔV_τ predicted by FEM</w:t>
            </w:r>
          </w:p>
        </w:tc>
      </w:tr>
      <w:tr>
        <w:tc>
          <w:tcPr>
            <w:tcW w:type="dxa" w:w="2197"/>
          </w:tcPr>
          <w:p>
            <w:r>
              <w:rPr>
                <w:sz w:val="18"/>
              </w:rPr>
              <w:t>Surgery</w:t>
            </w:r>
          </w:p>
        </w:tc>
        <w:tc>
          <w:tcPr>
            <w:tcW w:type="dxa" w:w="2197"/>
          </w:tcPr>
          <w:p>
            <w:r>
              <w:rPr>
                <w:sz w:val="18"/>
              </w:rPr>
              <w:t>Incision / ablation / toric IOL</w:t>
            </w:r>
          </w:p>
        </w:tc>
        <w:tc>
          <w:tcPr>
            <w:tcW w:type="dxa" w:w="2197"/>
          </w:tcPr>
          <w:p>
            <w:r>
              <w:rPr>
                <w:sz w:val="18"/>
              </w:rPr>
              <w:t>Surgery</w:t>
            </w:r>
          </w:p>
        </w:tc>
        <w:tc>
          <w:tcPr>
            <w:tcW w:type="dxa" w:w="2197"/>
          </w:tcPr>
          <w:p>
            <w:r>
              <w:rPr>
                <w:sz w:val="18"/>
              </w:rPr>
              <w:t>ICRS implantation</w:t>
            </w:r>
          </w:p>
        </w:tc>
      </w:tr>
      <w:tr>
        <w:tc>
          <w:tcPr>
            <w:tcW w:type="dxa" w:w="2197"/>
          </w:tcPr>
          <w:p>
            <w:r>
              <w:rPr>
                <w:sz w:val="18"/>
              </w:rPr>
              <w:t>Postoperative state</w:t>
            </w:r>
          </w:p>
        </w:tc>
        <w:tc>
          <w:tcPr>
            <w:tcW w:type="dxa" w:w="2197"/>
          </w:tcPr>
          <w:p>
            <w:r>
              <w:rPr>
                <w:sz w:val="18"/>
              </w:rPr>
              <w:t>Postoperative astigmatism</w:t>
            </w:r>
          </w:p>
        </w:tc>
        <w:tc>
          <w:tcPr>
            <w:tcW w:type="dxa" w:w="2197"/>
          </w:tcPr>
          <w:p>
            <w:r>
              <w:rPr>
                <w:sz w:val="18"/>
              </w:rPr>
              <w:t>Postoperative biomechanical state</w:t>
            </w:r>
          </w:p>
        </w:tc>
        <w:tc>
          <w:tcPr>
            <w:tcW w:type="dxa" w:w="2197"/>
          </w:tcPr>
          <w:p>
            <w:r>
              <w:rPr>
                <w:sz w:val="18"/>
              </w:rPr>
              <w:t>Measured tomographic + biomechanical data</w:t>
            </w:r>
          </w:p>
        </w:tc>
      </w:tr>
      <w:tr>
        <w:tc>
          <w:tcPr>
            <w:tcW w:type="dxa" w:w="2197"/>
          </w:tcPr>
          <w:p>
            <w:r>
              <w:rPr>
                <w:sz w:val="18"/>
              </w:rPr>
              <w:t>Achieved change</w:t>
            </w:r>
          </w:p>
        </w:tc>
        <w:tc>
          <w:tcPr>
            <w:tcW w:type="dxa" w:w="2197"/>
          </w:tcPr>
          <w:p>
            <w:r>
              <w:rPr>
                <w:sz w:val="18"/>
              </w:rPr>
              <w:t>SIA</w:t>
            </w:r>
          </w:p>
        </w:tc>
        <w:tc>
          <w:tcPr>
            <w:tcW w:type="dxa" w:w="2197"/>
          </w:tcPr>
          <w:p>
            <w:r>
              <w:rPr>
                <w:sz w:val="18"/>
              </w:rPr>
              <w:t>Induced biomechanical change</w:t>
            </w:r>
          </w:p>
        </w:tc>
        <w:tc>
          <w:tcPr>
            <w:tcW w:type="dxa" w:w="2197"/>
          </w:tcPr>
          <w:p>
            <w:r>
              <w:rPr>
                <w:sz w:val="18"/>
              </w:rPr>
              <w:t>ΔV_R, ΔV_T, ΔV_τ measured</w:t>
            </w:r>
          </w:p>
        </w:tc>
      </w:tr>
      <w:tr>
        <w:tc>
          <w:tcPr>
            <w:tcW w:type="dxa" w:w="2197"/>
          </w:tcPr>
          <w:p>
            <w:r>
              <w:rPr>
                <w:sz w:val="18"/>
              </w:rPr>
              <w:t>Residual error</w:t>
            </w:r>
          </w:p>
        </w:tc>
        <w:tc>
          <w:tcPr>
            <w:tcW w:type="dxa" w:w="2197"/>
          </w:tcPr>
          <w:p>
            <w:r>
              <w:rPr>
                <w:sz w:val="18"/>
              </w:rPr>
              <w:t>DV = TIA − SIA</w:t>
            </w:r>
          </w:p>
        </w:tc>
        <w:tc>
          <w:tcPr>
            <w:tcW w:type="dxa" w:w="2197"/>
          </w:tcPr>
          <w:p>
            <w:r>
              <w:rPr>
                <w:sz w:val="18"/>
              </w:rPr>
              <w:t>Biomechanical residual</w:t>
            </w:r>
          </w:p>
        </w:tc>
        <w:tc>
          <w:tcPr>
            <w:tcW w:type="dxa" w:w="2197"/>
          </w:tcPr>
          <w:p>
            <w:r>
              <w:rPr>
                <w:sz w:val="18"/>
              </w:rPr>
              <w:t>δV_R, δV_T, δV_τ</w:t>
            </w:r>
          </w:p>
        </w:tc>
      </w:tr>
      <w:tr>
        <w:tc>
          <w:tcPr>
            <w:tcW w:type="dxa" w:w="2197"/>
          </w:tcPr>
          <w:p>
            <w:r>
              <w:rPr>
                <w:sz w:val="18"/>
              </w:rPr>
              <w:t>Correction ratio</w:t>
            </w:r>
          </w:p>
        </w:tc>
        <w:tc>
          <w:tcPr>
            <w:tcW w:type="dxa" w:w="2197"/>
          </w:tcPr>
          <w:p>
            <w:r>
              <w:rPr>
                <w:sz w:val="18"/>
              </w:rPr>
              <w:t>CI = │SIA│/│TIA│</w:t>
            </w:r>
          </w:p>
        </w:tc>
        <w:tc>
          <w:tcPr>
            <w:tcW w:type="dxa" w:w="2197"/>
          </w:tcPr>
          <w:p>
            <w:r>
              <w:rPr>
                <w:sz w:val="18"/>
              </w:rPr>
              <w:t>Component correction indices</w:t>
            </w:r>
          </w:p>
        </w:tc>
        <w:tc>
          <w:tcPr>
            <w:tcW w:type="dxa" w:w="2197"/>
          </w:tcPr>
          <w:p>
            <w:r>
              <w:rPr>
                <w:sz w:val="18"/>
              </w:rPr>
              <w:t>CI_R, CI_T, CI_τ</w:t>
            </w:r>
          </w:p>
        </w:tc>
      </w:tr>
    </w:tbl>
    <w:p>
      <w:r/>
      <w:r>
        <w:rPr>
          <w:b/>
        </w:rPr>
        <w:t>Table 3.2.</w:t>
      </w:r>
      <w:r>
        <w:t xml:space="preserve"> Structural correspondence between the Alpins vector analysis and AVBC.</w:t>
      </w:r>
    </w:p>
    <w:p>
      <w:r>
        <w:t>[Figura: Figure 3.2 — Structural parallel Alpins ↔ AVBC: same logic (Predicted → Measured → CI), different domain.]</w:t>
      </w:r>
    </w:p>
    <w:p>
      <w:pPr>
        <w:pStyle w:val="Heading3"/>
      </w:pPr>
      <w:r>
        <w:t>8.5.2 Component-Specific Correction Indices</w:t>
      </w:r>
    </w:p>
    <w:p>
      <w:r>
        <w:t>In the Alpins method, a single CI characterizes the entire surgical outcome because the outcome is a single vector in ℝ². In AVBC, the biomechanical outcome is a trio (V_R, V_T, V_τ), and each component receives its own correction index:</w:t>
      </w:r>
    </w:p>
    <w:p>
      <w:pPr>
        <w:pStyle w:val="ListBullet"/>
      </w:pPr>
      <w:r/>
      <w:r>
        <w:rPr>
          <w:b/>
        </w:rPr>
        <w:t>CI_R = |ΔV_R_measured| / |ΔV_R_predicted|:</w:t>
      </w:r>
      <w:r>
        <w:t xml:space="preserve"> The ratio of the measured radial displacement change to the FEM-predicted radial displacement change. A CI_R of 1.0 indicates that the corneal apical displacement matched the model prediction exactly. Values below 1.0 suggest the cornea was stiffer than modeled (or the ring effect was smaller than predicted); values above 1.0 suggest greater compliance or ring effect.</w:t>
      </w:r>
    </w:p>
    <w:p>
      <w:pPr>
        <w:pStyle w:val="ListBullet"/>
      </w:pPr>
      <w:r/>
      <w:r>
        <w:rPr>
          <w:b/>
        </w:rPr>
        <w:t>CI_T = |ΔV_T_measured| / |ΔV_T_predicted|:</w:t>
      </w:r>
      <w:r>
        <w:t xml:space="preserve"> The ratio of the measured tangential stress change to the predicted change. Given the monotonicity relationship VT(arc°) = −0.0018 × arc° + 7.79 (R² = 0.94), deviations in CI_T provide direct feedback on whether the arc sweep was biomechanically appropriate.</w:t>
      </w:r>
    </w:p>
    <w:p>
      <w:pPr>
        <w:pStyle w:val="ListBullet"/>
      </w:pPr>
      <w:r/>
      <w:r>
        <w:rPr>
          <w:b/>
        </w:rPr>
        <w:t>CI_τ = |ΔV_τ_measured| / |ΔV_τ_predicted|:</w:t>
      </w:r>
      <w:r>
        <w:t xml:space="preserve"> The asymmetric torque correction index. For symmetric ring configurations, the predicted V_τ is zero, and CI_τ is replaced by the absolute residual |V_τ_measured|, which serves as a quality metric: any nonzero value indicates asymmetric biomechanical loading not accounted for by the symmetric ring model.</w:t>
      </w:r>
    </w:p>
    <w:p>
      <w:pPr>
        <w:pStyle w:val="Heading3"/>
      </w:pPr>
      <w:r>
        <w:t>8.5.3 The Honest Caveat</w:t>
      </w:r>
    </w:p>
    <w:p>
      <w:r>
        <w:t xml:space="preserve">It is essential to state clearly what this parallel is and what it is not. The correspondence between the Alpins method and AVBC is </w:t>
      </w:r>
      <w:r>
        <w:rPr>
          <w:i/>
        </w:rPr>
        <w:t>structural</w:t>
      </w:r>
      <w:r>
        <w:t xml:space="preserve">, not </w:t>
      </w:r>
      <w:r>
        <w:rPr>
          <w:i/>
        </w:rPr>
        <w:t>algebraic</w:t>
      </w:r>
      <w:r>
        <w:t xml:space="preserve">. The Alpins DV is calculated by literal vector subtraction in a linear space; the AVBC residuals δV_R, δV_T, and δV_τ are calculated by comparing predicted and measured fields arising from a nonlinear constitutive model (HGO parameters: c = 0.05 MPa, k₁ = 0.22 MPa, k₂ = 100, κ = 0.09). The Alpins CI is a ratio of magnitudes in a homogeneous vector space; the AVBC component correction indices are ratios of scalars extracted from mechanically distinct tensor quantities. The structural parallel provides </w:t>
      </w:r>
      <w:r>
        <w:rPr>
          <w:i/>
        </w:rPr>
        <w:t>organizational</w:t>
      </w:r>
      <w:r>
        <w:t xml:space="preserve"> coherence — it ensures that the AVBC workflow is familiar, intuitive, and complete — but it does not authorize algebraic operations (such as computing a "total DV" by summing δV_R, δV_T, and δV_τ) that would be dimensionally inconsistent and physically meaningless.</w:t>
      </w:r>
    </w:p>
    <w:p>
      <w:r>
        <w:t>This distinction is not a weakness but a strength. The Alpins method works precisely because astigmatism admits a simple, complete algebraic description. AVBC is designed for a problem that does not admit such a description, and its architecture reflects this complexity honestly rather than concealing it beneath a false algebraic simplicity.</w:t>
      </w:r>
    </w:p>
    <w:p>
      <w:pPr>
        <w:pStyle w:val="Heading2"/>
      </w:pPr>
      <w:r>
        <w:t>8.6 From Retrospective to Prospective</w:t>
      </w:r>
    </w:p>
    <w:p>
      <w:r>
        <w:t xml:space="preserve">The Alpins vector analysis has been applied to ICRS outcomes in a handful of retrospective studies. Alió and Shabayek (2006) used the Alpins method to evaluate astigmatic changes after Intacs implantation for keratoconus, computing SIA and CI for the cylindrical component of the refractive outcome. Piñero et al. (2009) extended this approach to Ferrara ring segments, reporting SIA magnitudes and error angles for corneal and refractive astigmatism. Peña-García et al. (2014) applied the Alpins analysis to assess the astigmatic effect of ICRS combined with corneal crosslinking. In each case, the Alpins method was used </w:t>
      </w:r>
      <w:r>
        <w:rPr>
          <w:i/>
        </w:rPr>
        <w:t>retrospectively</w:t>
      </w:r>
      <w:r>
        <w:t>: the analysis was performed after surgery to evaluate what had happened, not before surgery to plan what should happen.</w:t>
      </w:r>
    </w:p>
    <w:p>
      <w:r>
        <w:t>This retrospective limitation is not an inherent deficiency of the Alpins method; it reflects the fact that astigmatism surgery planning already has well-established prospective tools (nomograms, ray-tracing, toric IOL calculators) that incorporate the Alpins framework implicitly. For ICRS, by contrast, no prospective biomechanical planning tool exists. The surgeon selects ring type, arc sweep, and implantation depth based on empirical nomograms (e.g., the Ferrara nomogram, Keraring guidelines) that map topographic parameters to ring specifications without an explicit biomechanical model of the corneal response.</w:t>
      </w:r>
    </w:p>
    <w:p>
      <w:r>
        <w:t xml:space="preserve">AVBC is designed to fill this gap. By coupling finite element simulation with the planned-versus-induced paradigm inherited from Alpins, AVBC enables </w:t>
      </w:r>
      <w:r>
        <w:rPr>
          <w:i/>
        </w:rPr>
        <w:t>prospective</w:t>
      </w:r>
      <w:r>
        <w:t xml:space="preserve"> biomechanical planning: the FEM generates a predicted corneal state for a given ring configuration, the surgery is performed, the postoperative state is measured, and the component correction indices quantify the prediction accuracy. Over time, systematic patterns in the correction indices — e.g., consistent underprediction of radial displacement in thin corneas (|Δu_z| = 34.1 μm for pachymetry &lt; 430 μm vs. 28.5 μm for pachymetry &gt; 500 μm) — can be fed back into the model to calibrate patient-specific material parameters. This iterative calibration cycle — predict, measure, compare, update model — is the biomechanical analogue of the nomogram refinement cycle that the Alpins method enabled for astigmatism surgery, and it represents the transition from empirical to model-based ICRS planning.</w:t>
      </w:r>
    </w:p>
    <w:p>
      <w:r>
        <w:t>The critical enabler of this transition is the FEM simulation database. The 28 symmetric ring simulations described in Chapter 2, spanning arc sweeps from 90° to 360° and yielding VR values of 19.2–19.9 μm for partial arcs and 125.9 μm for full-ring ICRS, tangential stress values of 7.20 to 7.78 kPa, and validated torsional symmetry (V_τ = 0 for all symmetric configurations), provide the initial "nomogram" against which postoperative outcomes can be compared. As the clinical database grows, the correction indices will converge toward 1.0 — not because the surgeon's technique improves (as in astigmatism surgery), but because the model fidelity improves through patient-specific calibration.</w:t>
      </w:r>
    </w:p>
    <w:p>
      <w:pPr>
        <w:pStyle w:val="Alert"/>
      </w:pPr>
      <w:r>
        <w:rPr>
          <w:b/>
          <w:sz w:val="22"/>
        </w:rPr>
        <w:t>📝 NOTE</w:t>
      </w:r>
    </w:p>
    <w:p>
      <w:pPr>
        <w:pStyle w:val="Alert"/>
      </w:pPr>
      <w:r/>
      <w:r>
        <w:rPr>
          <w:b/>
        </w:rPr>
        <w:t>For the Clinician: Chapter 8 Operational Summary</w:t>
      </w:r>
      <w:r>
        <w:t xml:space="preserve"> - Alpins gave us the language: Planned (TIA), Achieved (SIA), Difference (DV). - AVBC applies this language to 3D ring biomechanics: VR (flattening), VT (hooping), Vτ (torque). - Each vector has its own Correction Index: CI_R, CI_T, CI_τ. - The AVBC feedback loop closes: FEM → Surgery → Postop Measurement → Recalibrate model → Improve next prediction. </w:t>
      </w:r>
      <w:r>
        <w:rPr>
          <w:b/>
        </w:rPr>
        <w:t>For the Clinician: Chapter 8 Operational Summary</w:t>
      </w:r>
      <w:r>
        <w:t xml:space="preserve"> - Alpins gave us the language: Planned (TIA), Achieved (SIA), Difference (DV). - AVBC applies this language to 3D ring biomechanics: VR (flattening), VT (hooping), Vτ (torque). - Each vector has its own Correction Index: CI_R, CI_T, CI_τ. - The AVBC feedback loop closes: FEM → Surgery → Postop Measurement → Recalibrate model → Improve next prediction.</w:t>
      </w:r>
    </w:p>
    <w:p>
      <w:pPr>
        <w:pStyle w:val="Heading2"/>
      </w:pPr>
      <w:r>
        <w:t>8.7 Summary</w:t>
      </w:r>
    </w:p>
    <w:p>
      <w:r>
        <w:t xml:space="preserve">The Alpins vector analysis transformed astigmatism surgery from an empirical art into a measurable science by providing a universal, objective, and actionable framework for characterizing surgical outcomes. Its success rested on four pillars: universality of application, objectivity of computation, comparability across studies, and closure of the surgical feedback loop. AVBC inherits this structural architecture — the planned-versus-induced paradigm, the correction index concept, the standardized nomenclature, and the feedback loop design — while replacing its two-dimensional astigmatic algebra with a multidimensional biomechanical formalism appropriate for ICRS planning. The correspondence between the two systems is structural, not algebraic: AVBC respects the nonlinear, heterogeneous, and tensorial nature of corneal biomechanics rather than reducing it to a scalar or a planar vector quantity. The critical advance of AVBC over retrospective Alpins analyses of ICRS outcomes is the introduction of </w:t>
      </w:r>
      <w:r>
        <w:rPr>
          <w:i/>
        </w:rPr>
        <w:t>prospective</w:t>
      </w:r>
      <w:r>
        <w:t xml:space="preserve"> biomechanical planning, enabled by finite element simulation and closed-loop model calibration through component-specific correction indices. This chapter has established the conceptual genealogy of AVBC; subsequent chapters will develop its mathematical formalism and validate it against clinical data.</w:t>
      </w:r>
    </w:p>
    <w:p>
      <w:pPr>
        <w:pStyle w:val="Heading2"/>
      </w:pPr>
      <w:r>
        <w:t>Didactic Summary</w:t>
      </w:r>
    </w:p>
    <w:p>
      <w:pPr>
        <w:pStyle w:val="ListBullet"/>
      </w:pPr>
      <w:r>
        <w:t xml:space="preserve">The Alpins Method established the </w:t>
      </w:r>
      <w:r>
        <w:rPr>
          <w:b/>
        </w:rPr>
        <w:t>planned-versus-induced</w:t>
      </w:r>
      <w:r>
        <w:t xml:space="preserve"> paradigm for astigmatism surgery, enabling objective outcome analysis.</w:t>
      </w:r>
    </w:p>
    <w:p>
      <w:pPr>
        <w:pStyle w:val="ListBullet"/>
      </w:pPr>
      <w:r>
        <w:t xml:space="preserve">AVBC inherits four pillars from Alpins: </w:t>
      </w:r>
      <w:r>
        <w:rPr>
          <w:b/>
        </w:rPr>
        <w:t>universality, objectivity, comparability, and feedback loop closure</w:t>
      </w:r>
      <w:r>
        <w:t>.</w:t>
      </w:r>
    </w:p>
    <w:p>
      <w:pPr>
        <w:pStyle w:val="ListBullet"/>
      </w:pPr>
      <w:r>
        <w:t xml:space="preserve">The fundamental difference: Alpins operates in a </w:t>
      </w:r>
      <w:r>
        <w:rPr>
          <w:b/>
        </w:rPr>
        <w:t>two-dimensional</w:t>
      </w:r>
      <w:r>
        <w:t xml:space="preserve"> space (astigmatism), while AVBC operates in a </w:t>
      </w:r>
      <w:r>
        <w:rPr>
          <w:b/>
        </w:rPr>
        <w:t>three-dimensional</w:t>
      </w:r>
      <w:r>
        <w:t xml:space="preserve"> space (VR + VT + Vτ).</w:t>
      </w:r>
    </w:p>
    <w:p>
      <w:pPr>
        <w:pStyle w:val="ListBullet"/>
      </w:pPr>
      <w:r>
        <w:t>The Alpins Correction Index (CI) directly inspires the AVBC indices CI_R, VT-ratio, and Vτ-ratio.</w:t>
      </w:r>
    </w:p>
    <w:p>
      <w:pPr>
        <w:pStyle w:val="ListBullet"/>
      </w:pPr>
      <w:r>
        <w:t xml:space="preserve">AVBC's advance is the transition from Alpins' </w:t>
      </w:r>
      <w:r>
        <w:rPr>
          <w:i/>
        </w:rPr>
        <w:t>retrospective</w:t>
      </w:r>
      <w:r>
        <w:t xml:space="preserve"> analysis to </w:t>
      </w:r>
      <w:r>
        <w:rPr>
          <w:b/>
        </w:rPr>
        <w:t>prospective</w:t>
      </w:r>
      <w:r>
        <w:t xml:space="preserve"> planning based on finite element simulation.</w:t>
      </w:r>
    </w:p>
    <w:p>
      <w:pPr>
        <w:pStyle w:val="Heading2"/>
      </w:pPr>
      <w:r>
        <w:t>References</w:t>
      </w:r>
    </w:p>
    <w:p>
      <w:pPr>
        <w:pStyle w:val="ListNumber"/>
      </w:pPr>
      <w:r>
        <w:t xml:space="preserve">Alió JL, Shabayek MH. Corneal higher order aberrations: a method to grade keratoconus. </w:t>
      </w:r>
      <w:r>
        <w:rPr>
          <w:i/>
        </w:rPr>
        <w:t>J Refract Surg</w:t>
      </w:r>
      <w:r>
        <w:t>. 2006;22(6):539–545.</w:t>
      </w:r>
    </w:p>
    <w:p>
      <w:pPr>
        <w:pStyle w:val="ListNumber"/>
      </w:pPr>
      <w:r>
        <w:t xml:space="preserve">Alpins NA. A new method of analyzing vectors of astigmatism to compare the effects of refractive surgery. </w:t>
      </w:r>
      <w:r>
        <w:rPr>
          <w:i/>
        </w:rPr>
        <w:t>J Cataract Refract Surg</w:t>
      </w:r>
      <w:r>
        <w:t>. 1993;19(4):524–533.</w:t>
      </w:r>
    </w:p>
    <w:p>
      <w:pPr>
        <w:pStyle w:val="ListNumber"/>
      </w:pPr>
      <w:r>
        <w:t xml:space="preserve">Alpins NA. Astigmatism analysis by the Alpins method. </w:t>
      </w:r>
      <w:r>
        <w:rPr>
          <w:i/>
        </w:rPr>
        <w:t>J Cataract Refract Surg</w:t>
      </w:r>
      <w:r>
        <w:t>. 2001;27(1):31–49.</w:t>
      </w:r>
    </w:p>
    <w:p>
      <w:pPr>
        <w:pStyle w:val="ListNumber"/>
      </w:pPr>
      <w:r>
        <w:t xml:space="preserve">Alpins NA, Goggin M. Practical astigmatism analysis for refractive outcomes in cataract and refractive surgery. </w:t>
      </w:r>
      <w:r>
        <w:rPr>
          <w:i/>
        </w:rPr>
        <w:t>Surv Ophthalmol</w:t>
      </w:r>
      <w:r>
        <w:t>. 2004;49(1):109–122.</w:t>
      </w:r>
    </w:p>
    <w:p>
      <w:pPr>
        <w:pStyle w:val="ListNumber"/>
      </w:pPr>
      <w:r>
        <w:t xml:space="preserve">Dupps WJ Jr, Roberts CJ. Corneal biomechanics: a decade of progress. </w:t>
      </w:r>
      <w:r>
        <w:rPr>
          <w:i/>
        </w:rPr>
        <w:t>J Cataract Refract Surg</w:t>
      </w:r>
      <w:r>
        <w:t>. 2014;40(3):333–338.</w:t>
      </w:r>
    </w:p>
    <w:p>
      <w:pPr>
        <w:pStyle w:val="ListNumber"/>
      </w:pPr>
      <w:r>
        <w:t xml:space="preserve">Koch DD. Reporting astigmatism data. </w:t>
      </w:r>
      <w:r>
        <w:rPr>
          <w:i/>
        </w:rPr>
        <w:t>J Cataract Refract Surg</w:t>
      </w:r>
      <w:r>
        <w:t>. 1997;23(10):1441–1442.</w:t>
      </w:r>
    </w:p>
    <w:p>
      <w:pPr>
        <w:pStyle w:val="ListNumber"/>
      </w:pPr>
      <w:r>
        <w:t xml:space="preserve">Lago MA, Rupérez MJ, Monserrat C, et al. Patient-specific simulation of the intrastromal ring segment implantation in corneas with keratoconus. </w:t>
      </w:r>
      <w:r>
        <w:rPr>
          <w:i/>
        </w:rPr>
        <w:t>J Mech Behav Biomed Mater</w:t>
      </w:r>
      <w:r>
        <w:t>. 2015;51:260–268.</w:t>
      </w:r>
    </w:p>
    <w:p>
      <w:pPr>
        <w:pStyle w:val="ListNumber"/>
      </w:pPr>
      <w:r>
        <w:t xml:space="preserve">Naeser K. Conversion of keratometer readings to polar values. </w:t>
      </w:r>
      <w:r>
        <w:rPr>
          <w:i/>
        </w:rPr>
        <w:t>J Cataract Refract Surg</w:t>
      </w:r>
      <w:r>
        <w:t>. 1990;16(6):741–745.</w:t>
      </w:r>
    </w:p>
    <w:p>
      <w:pPr>
        <w:pStyle w:val="ListNumber"/>
      </w:pPr>
      <w:r>
        <w:t xml:space="preserve">Peña-García P, Alió JL, Vega-Estrada A, Barraquer RI. Internal, corneal, and refractive astigmatism as prognostic factors for intrastromal corneal ring segment implantation in mild to moderate keratoconus. </w:t>
      </w:r>
      <w:r>
        <w:rPr>
          <w:i/>
        </w:rPr>
        <w:t>J Cataract Refract Surg</w:t>
      </w:r>
      <w:r>
        <w:t>. 2014;40(10):1633–1644.</w:t>
      </w:r>
    </w:p>
    <w:p>
      <w:pPr>
        <w:pStyle w:val="ListNumber"/>
      </w:pPr>
      <w:r>
        <w:t xml:space="preserve">Piñero DP, Alió JL, Teus MA, et al. Modification and refinement of the corneal asphericity after intrastromal corneal ring segment implantation in keratoconus. </w:t>
      </w:r>
      <w:r>
        <w:rPr>
          <w:i/>
        </w:rPr>
        <w:t>Cornea</w:t>
      </w:r>
      <w:r>
        <w:t>. 2009;28(7):747–752.</w:t>
      </w:r>
    </w:p>
    <w:p>
      <w:pPr>
        <w:pStyle w:val="ListNumber"/>
      </w:pPr>
      <w:r>
        <w:t xml:space="preserve">Piñero DP. Technologies for anatomical and geometric characterization of the corneal structure and anterior segment: a review. </w:t>
      </w:r>
      <w:r>
        <w:rPr>
          <w:i/>
        </w:rPr>
        <w:t>Clin Exp Optom</w:t>
      </w:r>
      <w:r>
        <w:t>. 2014;97(1):5–18.</w:t>
      </w:r>
    </w:p>
    <w:p>
      <w:pPr>
        <w:pStyle w:val="ListNumber"/>
      </w:pPr>
      <w:r>
        <w:t xml:space="preserve">Reinstein DZ, Archer TJ, Randleman JB. JRS standard for reporting astigmatism outcomes of refractive surgery. </w:t>
      </w:r>
      <w:r>
        <w:rPr>
          <w:i/>
        </w:rPr>
        <w:t>J Refract Surg</w:t>
      </w:r>
      <w:r>
        <w:t>. 2014;30(11):734–736.</w:t>
      </w:r>
    </w:p>
    <w:p>
      <w:pPr>
        <w:pStyle w:val="ListNumber"/>
      </w:pPr>
      <w:r>
        <w:t xml:space="preserve">Thibos LN, Wheeler W, Horner D. Power vectors: an application of Fourier analysis to the description and statistical analysis of refractive error. </w:t>
      </w:r>
      <w:r>
        <w:rPr>
          <w:i/>
        </w:rPr>
        <w:t>Optom Vis Sci</w:t>
      </w:r>
      <w:r>
        <w:t>. 1997;74(6):367–375.</w:t>
      </w:r>
    </w:p>
    <w:p>
      <w:pPr>
        <w:pStyle w:val="ListNumber"/>
      </w:pPr>
      <w:r>
        <w:t xml:space="preserve">Vega-Estrada A, Alió JL, Brenner LF, Burguera N. Outcomes of intrastromal corneal ring segments for treatment of keratoconus: five-year follow-up analysis. </w:t>
      </w:r>
      <w:r>
        <w:rPr>
          <w:i/>
        </w:rPr>
        <w:t>J Cataract Refract Surg</w:t>
      </w:r>
      <w:r>
        <w:t>. 2013;39(8):1234–1240.</w:t>
      </w:r>
    </w:p>
    <w:p>
      <w:r>
        <w:t>&lt;!-- GPT revision applied --&gt;</w:t>
      </w:r>
    </w:p>
    <w:p>
      <w:pPr>
        <w:pStyle w:val="Heading1"/>
      </w:pPr>
      <w:r>
        <w:t>Chapter 9 — The Integrated AVBC Classification</w:t>
      </w:r>
    </w:p>
    <w:p>
      <w:pPr>
        <w:pStyle w:val="BlockQuote"/>
      </w:pPr>
      <w:r>
        <w:t>**Corneal Biomechanical Vector Analysis for Intracorneal Ring Segment Planning** *Part IV — Classification and Clinical Application*</w:t>
      </w:r>
    </w:p>
    <w:p>
      <w:pPr>
        <w:pStyle w:val="BlockQuote"/>
      </w:pPr>
      <w:r>
        <w:t>**Key Points** - The AVBC classification integrates O/T/B into a **biomechanical decision matrix** with traceable prescriptions. - The ACE (Axial Coherence Index) is the screening parameter: ACE_min &lt; 28° predicts ≥ 3 lines of visual gain. - The indices CI_R, VT-ratio, and Vτ-ratio close the surgeon's **feedback loop**. - AVBC adds value in ~40% of cases — those with MNA divergence, displaced apex, or unusual biomechanics. - For central symmetric keratoconus, nomograms remain adequate.</w:t>
      </w:r>
    </w:p>
    <w:p>
      <w:pPr>
        <w:pStyle w:val="Heading2"/>
      </w:pPr>
      <w:r>
        <w:t>9.1 Introduction: Why Classification Matters</w:t>
      </w:r>
    </w:p>
    <w:p>
      <w:r>
        <w:t>When an experienced keratoconus surgeon encounters a set of topographic, tomographic, and aberrometric data, the decision-making process occurs implicitly: pattern recognition, weighted by years of clinical experience, converges on a ring configuration that "feels right." This intuitive process, while often effective, is neither reproducible nor transferable. Two equally experienced surgeons examining the same dataset may arrive at different configurations — not because one is wrong and the other right, but because each surgeon applies different internal weightings to the available data, and neither can articulate the precise algorithm by which the decision was reached.</w:t>
      </w:r>
    </w:p>
    <w:p>
      <w:r>
        <w:t>The AVBC classification system addresses this opacity by decomposing the clinical assessment into three explicit, sequential modules, each with defined inputs, quantitative criteria, and categorical outputs. The modules are:</w:t>
      </w:r>
    </w:p>
    <w:p>
      <w:pPr>
        <w:pStyle w:val="ListBullet"/>
      </w:pPr>
      <w:r/>
      <w:r>
        <w:rPr>
          <w:b/>
        </w:rPr>
        <w:t>Module O (Optical Coherence Assessment):</w:t>
      </w:r>
      <w:r>
        <w:t xml:space="preserve"> Determines whether the wavefront aberration profile is amenable to the type of correction an ICRS can provide. Output: O+, O~, or O−.</w:t>
      </w:r>
    </w:p>
    <w:p>
      <w:pPr>
        <w:pStyle w:val="ListBullet"/>
      </w:pPr>
      <w:r/>
      <w:r>
        <w:rPr>
          <w:b/>
        </w:rPr>
        <w:t>Module T (Topographic Morphology):</w:t>
      </w:r>
      <w:r>
        <w:t xml:space="preserve"> Locates the ectasia spatially and identifies the Mechanical Neutral Axis (MNA). Output: morphological archetype and MNA azimuth.</w:t>
      </w:r>
    </w:p>
    <w:p>
      <w:pPr>
        <w:pStyle w:val="ListBullet"/>
      </w:pPr>
      <w:r/>
      <w:r>
        <w:rPr>
          <w:b/>
        </w:rPr>
        <w:t>Module B (Biomechanical Mechanism Selection):</w:t>
      </w:r>
      <w:r>
        <w:t xml:space="preserve"> Identifies the dominant biomechanical vector based on clinical need and maps it to specific ring parameters. Output: ring prescription (thickness, arc length, depth, meridian, symmetry profile).</w:t>
      </w:r>
    </w:p>
    <w:p>
      <w:r>
        <w:t xml:space="preserve">The classification is designed to be transparent: each step can be audited, each criterion is quantitative, and each recommendation can be traced to a specific biomechanical rationale supported by the finite element evidence presented in Chapters 6, 7, and 8. This transparency is what distinguishes a </w:t>
      </w:r>
      <w:r>
        <w:rPr>
          <w:i/>
        </w:rPr>
        <w:t>classification system</w:t>
      </w:r>
      <w:r>
        <w:t xml:space="preserve"> from a </w:t>
      </w:r>
      <w:r>
        <w:rPr>
          <w:i/>
        </w:rPr>
        <w:t>nomogram</w:t>
      </w:r>
      <w:r>
        <w:t xml:space="preserve">: the classification system explains </w:t>
      </w:r>
      <w:r>
        <w:rPr>
          <w:i/>
        </w:rPr>
        <w:t>why</w:t>
      </w:r>
      <w:r>
        <w:t xml:space="preserve"> it recommends what it recommends.</w:t>
      </w:r>
    </w:p>
    <w:p>
      <w:pPr>
        <w:pStyle w:val="Alert"/>
      </w:pPr>
      <w:r>
        <w:rPr>
          <w:b/>
          <w:sz w:val="22"/>
        </w:rPr>
        <w:t>⚠️ IMPORTANT</w:t>
      </w:r>
    </w:p>
    <w:p>
      <w:pPr>
        <w:pStyle w:val="Alert"/>
      </w:pPr>
      <w:r/>
      <w:r>
        <w:rPr>
          <w:b/>
        </w:rPr>
        <w:t>For the Clinician: The Difference Between a Nomogram and AVBC</w:t>
      </w:r>
      <w:r>
        <w:t xml:space="preserve"> A nomogram is a black box: KMax goes in, "250 μm ring" comes out. You don't know </w:t>
      </w:r>
      <w:r>
        <w:rPr>
          <w:i/>
        </w:rPr>
        <w:t>why</w:t>
      </w:r>
      <w:r>
        <w:t xml:space="preserve">. AVBC is transparent: it first evaluates whether the patient is an optical candidate (Module O), then maps the ectasia in space (Module T), and only then prescribes the biomechanics (Module B). At each step, there is a measurable rationale that you can debate and improve with experience. </w:t>
      </w:r>
      <w:r>
        <w:rPr>
          <w:b/>
        </w:rPr>
        <w:t>For the Clinician: The Difference Between a Nomogram and AVBC</w:t>
      </w:r>
      <w:r>
        <w:t xml:space="preserve"> A nomogram is a black box: KMax goes in, "250 μm ring" comes out. You don't know </w:t>
      </w:r>
      <w:r>
        <w:rPr>
          <w:i/>
        </w:rPr>
        <w:t>why</w:t>
      </w:r>
      <w:r>
        <w:t>. AVBC is transparent: it first evaluates whether the patient is an optical candidate (Module O), then maps the ectasia in space (Module T), and only then prescribes the biomechanics (Module B). At each step, there is a measurable rationale that you can debate and improve with experience.</w:t>
      </w:r>
    </w:p>
    <w:p>
      <w:pPr>
        <w:pStyle w:val="Heading2"/>
      </w:pPr>
      <w:r>
        <w:t>9.2 Module O — Optical Coherence Assessment</w:t>
      </w:r>
    </w:p>
    <w:p>
      <w:pPr>
        <w:pStyle w:val="Heading3"/>
      </w:pPr>
      <w:r>
        <w:t>Rationale</w:t>
      </w:r>
    </w:p>
    <w:p>
      <w:r>
        <w:t>Before any biomechanical analysis is performed, the clinician must answer a fundamental question: will this patient's vision improve if the corneal topography improves? This question may seem trivially obvious, but it is not. A substantial proportion of keratoconus patients present with optical aberrations that are beyond the corrective reach of curvature modification alone. ICRS reshapes the anterior corneal surface — it flattens steep meridians, redistributes tangential (hoop) stress, and can migrate the cone apex. What it cannot do is eliminate posterior corneal irregularity, compensate for lenticular aberrations, correct irregular trefoil or quadrafoil, or repair stromal scarring. When these untreatable factors dominate the optical degradation, ICRS will improve the topographic map without improving the patient's functional vision — the well-documented "the map improves but the vision doesn't" dissociation.</w:t>
      </w:r>
    </w:p>
    <w:p>
      <w:r>
        <w:t xml:space="preserve">To bridge this critical clinical gap, Module O functions as a gatekeeper. By implementing the </w:t>
      </w:r>
      <w:r>
        <w:rPr>
          <w:b/>
        </w:rPr>
        <w:t>Axial Coherence Index (ACE)</w:t>
      </w:r>
      <w:r>
        <w:t xml:space="preserve"> as the primary selection parameter for optical eligibility, we unify the angular alignment of the steep topographic meridian (θ_topo) and the comatic axis (θ_coma) into a single functional biomarker:</w:t>
      </w:r>
    </w:p>
    <w:p>
      <w:r>
        <w:t>ACE_min = Measure of the angular difference (in degrees) between the steepest corneal meridian and the coma axis.</w:t>
      </w:r>
    </w:p>
    <w:p>
      <w:r>
        <w:t>This parameter was validated in a multidomain cohort of N = 1,139 eyes (including N = 300 ICRS implants; Reis &amp; Sandes, 2026, present volume) as a highly superior predictor of visual outcomes compared to traditional raw tomographic indices such as KMax and local pachymetry.</w:t>
      </w:r>
    </w:p>
    <w:p>
      <w:r>
        <w:t>Patients classified as O+ proceed with high confidence that ICRS will deliver both topographic and functional improvements. Patients classified as O~ proceed with cautious expectations. Patients classified as O− are counseled that the primary value of ICRS may be topographic management (facilitating contact lens fitting, halting progression when combined with CXL) rather than visual rehabilitation.</w:t>
      </w:r>
    </w:p>
    <w:p>
      <w:pPr>
        <w:pStyle w:val="Heading3"/>
      </w:pPr>
      <w:r>
        <w:t>Assessment Criteria</w:t>
      </w:r>
    </w:p>
    <w:p>
      <w:r>
        <w:t>Five wavefront and coherence parameters measured at a 6 mm pupil provide Module O input:</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Criterion</w:t>
            </w:r>
          </w:p>
        </w:tc>
        <w:tc>
          <w:tcPr>
            <w:tcW w:type="dxa" w:w="1758"/>
          </w:tcPr>
          <w:p>
            <w:r>
              <w:rPr>
                <w:b/>
                <w:sz w:val="18"/>
              </w:rPr>
              <w:t>Favorable (O+)</w:t>
            </w:r>
          </w:p>
        </w:tc>
        <w:tc>
          <w:tcPr>
            <w:tcW w:type="dxa" w:w="1758"/>
          </w:tcPr>
          <w:p>
            <w:r>
              <w:rPr>
                <w:b/>
                <w:sz w:val="18"/>
              </w:rPr>
              <w:t>Intermediate (O~)</w:t>
            </w:r>
          </w:p>
        </w:tc>
        <w:tc>
          <w:tcPr>
            <w:tcW w:type="dxa" w:w="1758"/>
          </w:tcPr>
          <w:p>
            <w:r>
              <w:rPr>
                <w:b/>
                <w:sz w:val="18"/>
              </w:rPr>
              <w:t>Unfavorable (O−)</w:t>
            </w:r>
          </w:p>
        </w:tc>
        <w:tc>
          <w:tcPr>
            <w:tcW w:type="dxa" w:w="1758"/>
          </w:tcPr>
          <w:p>
            <w:r>
              <w:rPr>
                <w:b/>
                <w:sz w:val="18"/>
              </w:rPr>
              <w:t>Source</w:t>
            </w:r>
          </w:p>
        </w:tc>
      </w:tr>
      <w:tr>
        <w:tc>
          <w:tcPr>
            <w:tcW w:type="dxa" w:w="1758"/>
          </w:tcPr>
          <w:p>
            <w:r>
              <w:rPr>
                <w:sz w:val="18"/>
              </w:rPr>
              <w:t>**ACE_min**</w:t>
            </w:r>
          </w:p>
        </w:tc>
        <w:tc>
          <w:tcPr>
            <w:tcW w:type="dxa" w:w="1758"/>
          </w:tcPr>
          <w:p>
            <w:r>
              <w:rPr>
                <w:sz w:val="18"/>
              </w:rPr>
              <w:t>&lt; 15° (High ACE)</w:t>
            </w:r>
          </w:p>
        </w:tc>
        <w:tc>
          <w:tcPr>
            <w:tcW w:type="dxa" w:w="1758"/>
          </w:tcPr>
          <w:p>
            <w:r>
              <w:rPr>
                <w:sz w:val="18"/>
              </w:rPr>
              <w:t>15°–45° (Moderate ACE)</w:t>
            </w:r>
          </w:p>
        </w:tc>
        <w:tc>
          <w:tcPr>
            <w:tcW w:type="dxa" w:w="1758"/>
          </w:tcPr>
          <w:p>
            <w:r>
              <w:rPr>
                <w:sz w:val="18"/>
              </w:rPr>
              <w:t>&gt; 45° (Low ACE)</w:t>
            </w:r>
          </w:p>
        </w:tc>
        <w:tc>
          <w:tcPr>
            <w:tcW w:type="dxa" w:w="1758"/>
          </w:tcPr>
          <w:p>
            <w:r>
              <w:rPr>
                <w:sz w:val="18"/>
              </w:rPr>
              <w:t>Reis &amp; Sandes, 2026</w:t>
            </w:r>
          </w:p>
        </w:tc>
      </w:tr>
      <w:tr>
        <w:tc>
          <w:tcPr>
            <w:tcW w:type="dxa" w:w="1758"/>
          </w:tcPr>
          <w:p>
            <w:r>
              <w:rPr>
                <w:sz w:val="18"/>
              </w:rPr>
              <w:t>Coma RMS</w:t>
            </w:r>
          </w:p>
        </w:tc>
        <w:tc>
          <w:tcPr>
            <w:tcW w:type="dxa" w:w="1758"/>
          </w:tcPr>
          <w:p>
            <w:r>
              <w:rPr>
                <w:sz w:val="18"/>
              </w:rPr>
              <w:t>&lt; 2.50 μm</w:t>
            </w:r>
          </w:p>
        </w:tc>
        <w:tc>
          <w:tcPr>
            <w:tcW w:type="dxa" w:w="1758"/>
          </w:tcPr>
          <w:p>
            <w:r>
              <w:rPr>
                <w:sz w:val="18"/>
              </w:rPr>
              <w:t>2.50–3.50 μm</w:t>
            </w:r>
          </w:p>
        </w:tc>
        <w:tc>
          <w:tcPr>
            <w:tcW w:type="dxa" w:w="1758"/>
          </w:tcPr>
          <w:p>
            <w:r>
              <w:rPr>
                <w:sz w:val="18"/>
              </w:rPr>
              <w:t>&gt; 3.50 μm</w:t>
            </w:r>
          </w:p>
        </w:tc>
        <w:tc>
          <w:tcPr>
            <w:tcW w:type="dxa" w:w="1758"/>
          </w:tcPr>
          <w:p>
            <w:r>
              <w:rPr>
                <w:sz w:val="18"/>
              </w:rPr>
              <w:t>Alió &amp; Shabayek, 2006</w:t>
            </w:r>
          </w:p>
        </w:tc>
      </w:tr>
      <w:tr>
        <w:tc>
          <w:tcPr>
            <w:tcW w:type="dxa" w:w="1758"/>
          </w:tcPr>
          <w:p>
            <w:r>
              <w:rPr>
                <w:sz w:val="18"/>
              </w:rPr>
              <w:t>Δ Axis (refraction vs K-steep)</w:t>
            </w:r>
          </w:p>
        </w:tc>
        <w:tc>
          <w:tcPr>
            <w:tcW w:type="dxa" w:w="1758"/>
          </w:tcPr>
          <w:p>
            <w:r>
              <w:rPr>
                <w:sz w:val="18"/>
              </w:rPr>
              <w:t>&lt; 15°</w:t>
            </w:r>
          </w:p>
        </w:tc>
        <w:tc>
          <w:tcPr>
            <w:tcW w:type="dxa" w:w="1758"/>
          </w:tcPr>
          <w:p>
            <w:r>
              <w:rPr>
                <w:sz w:val="18"/>
              </w:rPr>
              <w:t>15°–30°</w:t>
            </w:r>
          </w:p>
        </w:tc>
        <w:tc>
          <w:tcPr>
            <w:tcW w:type="dxa" w:w="1758"/>
          </w:tcPr>
          <w:p>
            <w:r>
              <w:rPr>
                <w:sz w:val="18"/>
              </w:rPr>
              <w:t>&gt; 30°</w:t>
            </w:r>
          </w:p>
        </w:tc>
        <w:tc>
          <w:tcPr>
            <w:tcW w:type="dxa" w:w="1758"/>
          </w:tcPr>
          <w:p>
            <w:r>
              <w:rPr>
                <w:sz w:val="18"/>
              </w:rPr>
              <w:t>Rabinowitz, 1999</w:t>
            </w:r>
          </w:p>
        </w:tc>
      </w:tr>
      <w:tr>
        <w:tc>
          <w:tcPr>
            <w:tcW w:type="dxa" w:w="1758"/>
          </w:tcPr>
          <w:p>
            <w:r>
              <w:rPr>
                <w:sz w:val="18"/>
              </w:rPr>
              <w:t>Total HOA RMS</w:t>
            </w:r>
          </w:p>
        </w:tc>
        <w:tc>
          <w:tcPr>
            <w:tcW w:type="dxa" w:w="1758"/>
          </w:tcPr>
          <w:p>
            <w:r>
              <w:rPr>
                <w:sz w:val="18"/>
              </w:rPr>
              <w:t>&lt; 2.0 μm</w:t>
            </w:r>
          </w:p>
        </w:tc>
        <w:tc>
          <w:tcPr>
            <w:tcW w:type="dxa" w:w="1758"/>
          </w:tcPr>
          <w:p>
            <w:r>
              <w:rPr>
                <w:sz w:val="18"/>
              </w:rPr>
              <w:t>2.0–4.0 μm</w:t>
            </w:r>
          </w:p>
        </w:tc>
        <w:tc>
          <w:tcPr>
            <w:tcW w:type="dxa" w:w="1758"/>
          </w:tcPr>
          <w:p>
            <w:r>
              <w:rPr>
                <w:sz w:val="18"/>
              </w:rPr>
              <w:t>&gt; 4.0 μm</w:t>
            </w:r>
          </w:p>
        </w:tc>
        <w:tc>
          <w:tcPr>
            <w:tcW w:type="dxa" w:w="1758"/>
          </w:tcPr>
          <w:p>
            <w:r>
              <w:rPr>
                <w:sz w:val="18"/>
              </w:rPr>
              <w:t>Maeda et al., 2002</w:t>
            </w:r>
          </w:p>
        </w:tc>
      </w:tr>
      <w:tr>
        <w:tc>
          <w:tcPr>
            <w:tcW w:type="dxa" w:w="1758"/>
          </w:tcPr>
          <w:p>
            <w:r>
              <w:rPr>
                <w:sz w:val="18"/>
              </w:rPr>
              <w:t>Coma vs cone apex</w:t>
            </w:r>
          </w:p>
        </w:tc>
        <w:tc>
          <w:tcPr>
            <w:tcW w:type="dxa" w:w="1758"/>
          </w:tcPr>
          <w:p>
            <w:r>
              <w:rPr>
                <w:sz w:val="18"/>
              </w:rPr>
              <w:t>Ipsilateral</w:t>
            </w:r>
          </w:p>
        </w:tc>
        <w:tc>
          <w:tcPr>
            <w:tcW w:type="dxa" w:w="1758"/>
          </w:tcPr>
          <w:p>
            <w:r>
              <w:rPr>
                <w:sz w:val="18"/>
              </w:rPr>
              <w:t>Ambiguous</w:t>
            </w:r>
          </w:p>
        </w:tc>
        <w:tc>
          <w:tcPr>
            <w:tcW w:type="dxa" w:w="1758"/>
          </w:tcPr>
          <w:p>
            <w:r>
              <w:rPr>
                <w:sz w:val="18"/>
              </w:rPr>
              <w:t>Contralateral</w:t>
            </w:r>
          </w:p>
        </w:tc>
        <w:tc>
          <w:tcPr>
            <w:tcW w:type="dxa" w:w="1758"/>
          </w:tcPr>
          <w:p>
            <w:r>
              <w:rPr>
                <w:sz w:val="18"/>
              </w:rPr>
              <w:t>Piñero, 2014</w:t>
            </w:r>
          </w:p>
        </w:tc>
      </w:tr>
    </w:tbl>
    <w:p>
      <w:r/>
      <w:r>
        <w:rPr>
          <w:b/>
        </w:rPr>
        <w:t>Axial Coherence Index (ACE_min).</w:t>
      </w:r>
      <w:r>
        <w:t xml:space="preserve"> ACE_min evaluates the angular alignment of the cornea's primary structural and optical asymmetry axes. An ACE_min &lt; 15° (High ACE) means highly aligned structural and optical axes, allowing the ICRS-induced curvature regularization to translate directly into substantial visual recovery. Conversely, an ACE_min &gt; 45° (Low ACE) indicates a decoupling of structural and optical parameters, suggesting that any stromal geometric redistribution will likely induce secondary irregular aberrations rather than restore functional vision. As described in Chapter 4, the ACE_min &lt; 28° threshold represents the optimal screening cutoff for predicting ≥ 3 Snellen lines of improvement (ROC AUC: 0.82, Sensitivity: 78%, Specificity: 84%, statistically superior to KMax [AUC 0.68] and pachymetry [AUC 0.64], DeLong test p = 0.012).</w:t>
      </w:r>
    </w:p>
    <w:p>
      <w:r>
        <w:t>[Figura: Figure 9.2 — ROC curves: ACE_min vs KMax vs pachymetry as discriminators.]</w:t>
      </w:r>
    </w:p>
    <w:p>
      <w:r/>
      <w:r>
        <w:rPr>
          <w:b/>
        </w:rPr>
        <w:t>Coma RMS</w:t>
      </w:r>
      <w:r>
        <w:t xml:space="preserve"> is the single most informative classical optical parameter for ICRS eligibility. Vertical coma (Z₃⁻¹) is the signature high-order aberration of inferior keratoconus and the aberration most effectively reduced by ICRS-induced curvature redistribution. Values below 2.50 μm indicate that the aberration burden is within the corrective range of a standard ICRS configuration; values above 3.50 μm suggest the cone is so advanced that residual irregularity after ring insertion will remain above the threshold of functional significance.</w:t>
      </w:r>
    </w:p>
    <w:p>
      <w:r/>
      <w:r>
        <w:rPr>
          <w:b/>
        </w:rPr>
        <w:t>Axis discordance</w:t>
      </w:r>
      <w:r>
        <w:t xml:space="preserve"> captures the degree of internal (non-corneal) astigmatic contribution. When the manifest refractive cylinder axis diverges from the steep keratometric meridian by more than 30°, a substantial fraction of the cylinder arises from lenticular or other intraocular sources that ICRS cannot treat. The postoperative refractive outcome becomes unpredictable because the ring corrects only the corneal component of an astigmatism that has significant non-corneal contributions.</w:t>
      </w:r>
    </w:p>
    <w:p>
      <w:r/>
      <w:r>
        <w:rPr>
          <w:b/>
        </w:rPr>
        <w:t>Total HOA RMS</w:t>
      </w:r>
      <w:r>
        <w:t xml:space="preserve"> serves as a global aberration metric. When total high-order aberrations exceed 4.0 μm, the corneal surface is so irregular that the predominantly low-order correction provided by ICRS leaves a large aberrometric residual. Such eyes may be better served by rigid gas-permeable or scleral contact lenses, which bypass the irregular anterior surface entirely.</w:t>
      </w:r>
    </w:p>
    <w:p>
      <w:pPr>
        <w:pStyle w:val="Heading3"/>
      </w:pPr>
      <w:r>
        <w:t>Classification Logic</w:t>
      </w:r>
    </w:p>
    <w:p>
      <w:r>
        <w:t>The composite classification follows a conservative worst-criterion rule:</w:t>
      </w:r>
    </w:p>
    <w:p>
      <w:pPr>
        <w:pStyle w:val="ListBullet"/>
      </w:pPr>
      <w:r/>
      <w:r>
        <w:rPr>
          <w:b/>
        </w:rPr>
        <w:t>O+ (Favorable):</w:t>
      </w:r>
      <w:r>
        <w:t xml:space="preserve"> All five criteria in the Favorable column, or ≥ 4 of 5 favorable with none unfavorable. Proceed with high confidence.</w:t>
      </w:r>
    </w:p>
    <w:p>
      <w:pPr>
        <w:pStyle w:val="ListBullet"/>
      </w:pPr>
      <w:r/>
      <w:r>
        <w:rPr>
          <w:b/>
        </w:rPr>
        <w:t>O~ (Intermediate):</w:t>
      </w:r>
      <w:r>
        <w:t xml:space="preserve"> Mixed results — at least one criterion in the Intermediate range, none in the Unfavorable column. Proceed with cautious expectations; counsel the patient about the possible need for adjunctive correction.</w:t>
      </w:r>
    </w:p>
    <w:p>
      <w:pPr>
        <w:pStyle w:val="ListBullet"/>
      </w:pPr>
      <w:r/>
      <w:r>
        <w:rPr>
          <w:b/>
        </w:rPr>
        <w:t>O− (Unfavorable):</w:t>
      </w:r>
      <w:r>
        <w:t xml:space="preserve"> Any criterion in the Unfavorable column, or ≥ 3 of 5 unfavorable. ICRS may still be implanted for topographic management, but functional expectations should be adjusted accordingly. The primary goal may be facilitating contact lens fitting rather than spectacle independence.</w:t>
      </w:r>
    </w:p>
    <w:p>
      <w:r>
        <w:t xml:space="preserve">An important clinical clarification: </w:t>
      </w:r>
      <w:r>
        <w:rPr>
          <w:b/>
        </w:rPr>
        <w:t>O− does not mean "do not operate."</w:t>
      </w:r>
      <w:r>
        <w:t xml:space="preserve"> It means the surgeon's mental model of success should shift from "the patient will see better" to "the corneal shape will improve, which may enable other corrective strategies." This subtle distinction is precisely the kind of structured expectation alignment that a classification system can provide but a nomogram cannot.</w:t>
      </w:r>
    </w:p>
    <w:p>
      <w:pPr>
        <w:pStyle w:val="Alert"/>
      </w:pPr>
      <w:r>
        <w:rPr>
          <w:b/>
          <w:sz w:val="22"/>
        </w:rPr>
        <w:t>⚡ WARNING</w:t>
      </w:r>
    </w:p>
    <w:p>
      <w:pPr>
        <w:pStyle w:val="Alert"/>
      </w:pPr>
      <w:r/>
      <w:r>
        <w:rPr>
          <w:b/>
        </w:rPr>
        <w:t>For the Clinician: When to Stop Before Surgery</w:t>
      </w:r>
      <w:r>
        <w:t xml:space="preserve"> If the patient has Low ACE (ACE_min &gt; 45°) AND Total HOA RMS &gt; 4.0 μm: </w:t>
      </w:r>
      <w:r>
        <w:rPr>
          <w:b/>
        </w:rPr>
        <w:t>do not proceed without an in-depth conversation</w:t>
      </w:r>
      <w:r>
        <w:t xml:space="preserve">. Data from N=300 implants (Reis &amp; Sandes, 2026, present volume) show that these patients gain only 1.6 Snellen lines on average (vs. 4.2 in the O+ group). The ring may be indicated for contact lens tolerance, but never as a promise of functional vision. </w:t>
      </w:r>
      <w:r>
        <w:rPr>
          <w:b/>
        </w:rPr>
        <w:t>For the Clinician: When to Stop Before Surgery</w:t>
      </w:r>
      <w:r>
        <w:t xml:space="preserve"> If the patient has Low ACE (ACE_min &gt; 45°) AND Total HOA RMS &gt; 4.0 μm: </w:t>
      </w:r>
      <w:r>
        <w:rPr>
          <w:b/>
        </w:rPr>
        <w:t>do not proceed without an in-depth conversation</w:t>
      </w:r>
      <w:r>
        <w:t>. Data from N=300 implants (Reis &amp; Sandes, 2026, present volume) show that these patients gain only 1.6 Snellen lines on average (vs. 4.2 in the O+ group). The ring may be indicated for contact lens tolerance, but never as a promise of functional vision.</w:t>
      </w:r>
    </w:p>
    <w:p>
      <w:pPr>
        <w:pStyle w:val="Heading2"/>
      </w:pPr>
      <w:r>
        <w:t>9.3 Module T — Topographic Morphology and the MNA</w:t>
      </w:r>
    </w:p>
    <w:p>
      <w:pPr>
        <w:pStyle w:val="Heading3"/>
      </w:pPr>
      <w:r>
        <w:t>Morphological Archetypes</w:t>
      </w:r>
    </w:p>
    <w:p>
      <w:r>
        <w:t>Corneal tomography provides the spatial information needed to determine where the ectatic process is centered and how it extends. Module T classifies the ectatic pattern into one of five morphological archetypes:</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Morphology</w:t>
            </w:r>
          </w:p>
        </w:tc>
        <w:tc>
          <w:tcPr>
            <w:tcW w:type="dxa" w:w="2197"/>
          </w:tcPr>
          <w:p>
            <w:r>
              <w:rPr>
                <w:b/>
                <w:sz w:val="18"/>
              </w:rPr>
              <w:t>Description</w:t>
            </w:r>
          </w:p>
        </w:tc>
        <w:tc>
          <w:tcPr>
            <w:tcW w:type="dxa" w:w="2197"/>
          </w:tcPr>
          <w:p>
            <w:r>
              <w:rPr>
                <w:b/>
                <w:sz w:val="18"/>
              </w:rPr>
              <w:t>Typical Cone Location</w:t>
            </w:r>
          </w:p>
        </w:tc>
        <w:tc>
          <w:tcPr>
            <w:tcW w:type="dxa" w:w="2197"/>
          </w:tcPr>
          <w:p>
            <w:r>
              <w:rPr>
                <w:b/>
                <w:sz w:val="18"/>
              </w:rPr>
              <w:t>Ring Positioning Strategy</w:t>
            </w:r>
          </w:p>
        </w:tc>
      </w:tr>
      <w:tr>
        <w:tc>
          <w:tcPr>
            <w:tcW w:type="dxa" w:w="2197"/>
          </w:tcPr>
          <w:p>
            <w:r>
              <w:rPr>
                <w:sz w:val="18"/>
              </w:rPr>
              <w:t>**Central oval**</w:t>
            </w:r>
          </w:p>
        </w:tc>
        <w:tc>
          <w:tcPr>
            <w:tcW w:type="dxa" w:w="2197"/>
          </w:tcPr>
          <w:p>
            <w:r>
              <w:rPr>
                <w:sz w:val="18"/>
              </w:rPr>
              <w:t>Symmetric bowtie, centered within 1 mm of the visual axis</w:t>
            </w:r>
          </w:p>
        </w:tc>
        <w:tc>
          <w:tcPr>
            <w:tcW w:type="dxa" w:w="2197"/>
          </w:tcPr>
          <w:p>
            <w:r>
              <w:rPr>
                <w:sz w:val="18"/>
              </w:rPr>
              <w:t>Central</w:t>
            </w:r>
          </w:p>
        </w:tc>
        <w:tc>
          <w:tcPr>
            <w:tcW w:type="dxa" w:w="2197"/>
          </w:tcPr>
          <w:p>
            <w:r>
              <w:rPr>
                <w:sz w:val="18"/>
              </w:rPr>
              <w:t>Symmetric ring, any meridian</w:t>
            </w:r>
          </w:p>
        </w:tc>
      </w:tr>
      <w:tr>
        <w:tc>
          <w:tcPr>
            <w:tcW w:type="dxa" w:w="2197"/>
          </w:tcPr>
          <w:p>
            <w:r>
              <w:rPr>
                <w:sz w:val="18"/>
              </w:rPr>
              <w:t>**Inferior nipple**</w:t>
            </w:r>
          </w:p>
        </w:tc>
        <w:tc>
          <w:tcPr>
            <w:tcW w:type="dxa" w:w="2197"/>
          </w:tcPr>
          <w:p>
            <w:r>
              <w:rPr>
                <w:sz w:val="18"/>
              </w:rPr>
              <w:t>Small, steep cone (&lt; 3 mm diameter), inferior</w:t>
            </w:r>
          </w:p>
        </w:tc>
        <w:tc>
          <w:tcPr>
            <w:tcW w:type="dxa" w:w="2197"/>
          </w:tcPr>
          <w:p>
            <w:r>
              <w:rPr>
                <w:sz w:val="18"/>
              </w:rPr>
              <w:t>Inferior (5–7 o'clock)</w:t>
            </w:r>
          </w:p>
        </w:tc>
        <w:tc>
          <w:tcPr>
            <w:tcW w:type="dxa" w:w="2197"/>
          </w:tcPr>
          <w:p>
            <w:r>
              <w:rPr>
                <w:sz w:val="18"/>
              </w:rPr>
              <w:t>Single inferior segment or asymmetric pair</w:t>
            </w:r>
          </w:p>
        </w:tc>
      </w:tr>
      <w:tr>
        <w:tc>
          <w:tcPr>
            <w:tcW w:type="dxa" w:w="2197"/>
          </w:tcPr>
          <w:p>
            <w:r>
              <w:rPr>
                <w:sz w:val="18"/>
              </w:rPr>
              <w:t>**Paracentral crescent**</w:t>
            </w:r>
          </w:p>
        </w:tc>
        <w:tc>
          <w:tcPr>
            <w:tcW w:type="dxa" w:w="2197"/>
          </w:tcPr>
          <w:p>
            <w:r>
              <w:rPr>
                <w:sz w:val="18"/>
              </w:rPr>
              <w:t>Arc-shaped flattening, typically inferotemporal to inferonasal</w:t>
            </w:r>
          </w:p>
        </w:tc>
        <w:tc>
          <w:tcPr>
            <w:tcW w:type="dxa" w:w="2197"/>
          </w:tcPr>
          <w:p>
            <w:r>
              <w:rPr>
                <w:sz w:val="18"/>
              </w:rPr>
              <w:t>Paracentrally displaced</w:t>
            </w:r>
          </w:p>
        </w:tc>
        <w:tc>
          <w:tcPr>
            <w:tcW w:type="dxa" w:w="2197"/>
          </w:tcPr>
          <w:p>
            <w:r>
              <w:rPr>
                <w:sz w:val="18"/>
              </w:rPr>
              <w:t>Targeted to cone, arc length matched</w:t>
            </w:r>
          </w:p>
        </w:tc>
      </w:tr>
      <w:tr>
        <w:tc>
          <w:tcPr>
            <w:tcW w:type="dxa" w:w="2197"/>
          </w:tcPr>
          <w:p>
            <w:r>
              <w:rPr>
                <w:sz w:val="18"/>
              </w:rPr>
              <w:t>**Peripheral D-shape**</w:t>
            </w:r>
          </w:p>
        </w:tc>
        <w:tc>
          <w:tcPr>
            <w:tcW w:type="dxa" w:w="2197"/>
          </w:tcPr>
          <w:p>
            <w:r>
              <w:rPr>
                <w:sz w:val="18"/>
              </w:rPr>
              <w:t>Broad, low-gradient ectasia toward the limbus</w:t>
            </w:r>
          </w:p>
        </w:tc>
        <w:tc>
          <w:tcPr>
            <w:tcW w:type="dxa" w:w="2197"/>
          </w:tcPr>
          <w:p>
            <w:r>
              <w:rPr>
                <w:sz w:val="18"/>
              </w:rPr>
              <w:t>Peripheral (&gt; 2 mm from axis)</w:t>
            </w:r>
          </w:p>
        </w:tc>
        <w:tc>
          <w:tcPr>
            <w:tcW w:type="dxa" w:w="2197"/>
          </w:tcPr>
          <w:p>
            <w:r>
              <w:rPr>
                <w:sz w:val="18"/>
              </w:rPr>
              <w:t>Wide arc or two segments</w:t>
            </w:r>
          </w:p>
        </w:tc>
      </w:tr>
      <w:tr>
        <w:tc>
          <w:tcPr>
            <w:tcW w:type="dxa" w:w="2197"/>
          </w:tcPr>
          <w:p>
            <w:r>
              <w:rPr>
                <w:sz w:val="18"/>
              </w:rPr>
              <w:t>**Globus (KMax &gt; 60 D)**</w:t>
            </w:r>
          </w:p>
        </w:tc>
        <w:tc>
          <w:tcPr>
            <w:tcW w:type="dxa" w:w="2197"/>
          </w:tcPr>
          <w:p>
            <w:r>
              <w:rPr>
                <w:sz w:val="18"/>
              </w:rPr>
              <w:t>Near-total ectasia, no discernible apex</w:t>
            </w:r>
          </w:p>
        </w:tc>
        <w:tc>
          <w:tcPr>
            <w:tcW w:type="dxa" w:w="2197"/>
          </w:tcPr>
          <w:p>
            <w:r>
              <w:rPr>
                <w:sz w:val="18"/>
              </w:rPr>
              <w:t>Global</w:t>
            </w:r>
          </w:p>
        </w:tc>
        <w:tc>
          <w:tcPr>
            <w:tcW w:type="dxa" w:w="2197"/>
          </w:tcPr>
          <w:p>
            <w:r>
              <w:rPr>
                <w:sz w:val="18"/>
              </w:rPr>
              <w:t>**Structural stabilization / CL tolerance**</w:t>
            </w:r>
          </w:p>
        </w:tc>
      </w:tr>
    </w:tbl>
    <w:p>
      <w:r>
        <w:t xml:space="preserve">The first four archetypes proceed to Module B. For the Globus archetype (where KMax exceeds 60 D and can reach up to 85 D in extreme ectatic corneas), the primary ICRS goal shifts from optical optimization to structural stabilization and contact lens tolerance restoration. While some of these extreme cases may eventually require deep anterior lamellar keratoplasty (DALK), clinical evidence demonstrates that ICRS can still provide significant flattening and mechanical reinforcement, preventing or delaying transplantation. Crucially, the non-convergence of our patient-specific finite element models (patients P5 and P9, with KMax &gt; 53 D) under the standard FEBio HGO material model should be interpreted as a </w:t>
      </w:r>
      <w:r>
        <w:rPr>
          <w:b/>
        </w:rPr>
        <w:t>numerical and computational limitation</w:t>
      </w:r>
      <w:r>
        <w:t xml:space="preserve"> (due to severe element distortion under extreme curvatures, localized deformation gradients, and mesh contact instabilities at extreme deformations), not as a physical or biological contraindication. In clinical practice, these extreme corneas frequently experience significant structural remodeling and flattening post-ICRS.</w:t>
      </w:r>
    </w:p>
    <w:p>
      <w:pPr>
        <w:pStyle w:val="Heading3"/>
      </w:pPr>
      <w:r>
        <w:t>The MNA — Mechanical Neutral Axis</w:t>
      </w:r>
    </w:p>
    <w:p>
      <w:r>
        <w:t>One of the most clinically actionable concepts introduced by the AVBC framework is the Mechanical Neutral Axis (MNA). The MNA is defined as the meridian of maximum posterior stromal displacement under physiological intraocular pressure. It represents the axis along which the accumulated biomechanical deformation is greatest — the direction in which the cornea is "buckling."</w:t>
      </w:r>
    </w:p>
    <w:p>
      <w:r>
        <w:t>In conventional practice, the steep keratometric meridian (K-steep) serves as the reference axis for ring positioning. The implicit assumption is that the steepest curvature coincides with the maximum deformation. This assumption is frequently incorrect. Analysis of patient-specific FEM models reveals that K-steep and MNA diverge in approximately 40% of cases: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MNA–K-steep Relationship</w:t>
            </w:r>
          </w:p>
        </w:tc>
        <w:tc>
          <w:tcPr>
            <w:tcW w:type="dxa" w:w="2929"/>
          </w:tcPr>
          <w:p>
            <w:r>
              <w:rPr>
                <w:b/>
                <w:sz w:val="18"/>
              </w:rPr>
              <w:t>Frequency</w:t>
            </w:r>
          </w:p>
        </w:tc>
        <w:tc>
          <w:tcPr>
            <w:tcW w:type="dxa" w:w="2929"/>
          </w:tcPr>
          <w:p>
            <w:r>
              <w:rPr>
                <w:b/>
                <w:sz w:val="18"/>
              </w:rPr>
              <w:t>Clinical Significance</w:t>
            </w:r>
          </w:p>
        </w:tc>
      </w:tr>
      <w:tr>
        <w:tc>
          <w:tcPr>
            <w:tcW w:type="dxa" w:w="2929"/>
          </w:tcPr>
          <w:p>
            <w:r>
              <w:rPr>
                <w:sz w:val="18"/>
              </w:rPr>
              <w:t>Concordant (&lt; 15°)</w:t>
            </w:r>
          </w:p>
        </w:tc>
        <w:tc>
          <w:tcPr>
            <w:tcW w:type="dxa" w:w="2929"/>
          </w:tcPr>
          <w:p>
            <w:r>
              <w:rPr>
                <w:sz w:val="18"/>
              </w:rPr>
              <w:t>~60%</w:t>
            </w:r>
          </w:p>
        </w:tc>
        <w:tc>
          <w:tcPr>
            <w:tcW w:type="dxa" w:w="2929"/>
          </w:tcPr>
          <w:p>
            <w:r>
              <w:rPr>
                <w:sz w:val="18"/>
              </w:rPr>
              <w:t>Standard case — nomograms adequate</w:t>
            </w:r>
          </w:p>
        </w:tc>
      </w:tr>
      <w:tr>
        <w:tc>
          <w:tcPr>
            <w:tcW w:type="dxa" w:w="2929"/>
          </w:tcPr>
          <w:p>
            <w:r>
              <w:rPr>
                <w:sz w:val="18"/>
              </w:rPr>
              <w:t>Moderately divergent (15°–45°)</w:t>
            </w:r>
          </w:p>
        </w:tc>
        <w:tc>
          <w:tcPr>
            <w:tcW w:type="dxa" w:w="2929"/>
          </w:tcPr>
          <w:p>
            <w:r>
              <w:rPr>
                <w:sz w:val="18"/>
              </w:rPr>
              <w:t>~30%</w:t>
            </w:r>
          </w:p>
        </w:tc>
        <w:tc>
          <w:tcPr>
            <w:tcW w:type="dxa" w:w="2929"/>
          </w:tcPr>
          <w:p>
            <w:r>
              <w:rPr>
                <w:sz w:val="18"/>
              </w:rPr>
              <w:t>Nomogram may underperform; AVBC recommended</w:t>
            </w:r>
          </w:p>
        </w:tc>
      </w:tr>
      <w:tr>
        <w:tc>
          <w:tcPr>
            <w:tcW w:type="dxa" w:w="2929"/>
          </w:tcPr>
          <w:p>
            <w:r>
              <w:rPr>
                <w:sz w:val="18"/>
              </w:rPr>
              <w:t>Severely divergent (&gt; 45°)</w:t>
            </w:r>
          </w:p>
        </w:tc>
        <w:tc>
          <w:tcPr>
            <w:tcW w:type="dxa" w:w="2929"/>
          </w:tcPr>
          <w:p>
            <w:r>
              <w:rPr>
                <w:sz w:val="18"/>
              </w:rPr>
              <w:t>~10%</w:t>
            </w:r>
          </w:p>
        </w:tc>
        <w:tc>
          <w:tcPr>
            <w:tcW w:type="dxa" w:w="2929"/>
          </w:tcPr>
          <w:p>
            <w:r>
              <w:rPr>
                <w:sz w:val="18"/>
              </w:rPr>
              <w:t>Nomogram unreliable; AVBC essential</w:t>
            </w:r>
          </w:p>
        </w:tc>
      </w:tr>
    </w:tbl>
    <w:p>
      <w:r>
        <w:t>The origin of this divergence lies in the distinction between surface curvature (which K-steep measures) and volumetric deformation (which the MNA captures). A cornea with asymmetric pachymetry — thinner nasally than temporally, for example — will exhibit maximum posterior displacement along a meridian that is rotated relative to the anterior curvature peak, because the thinner region deforms preferentially under IOP loading. The K-steep axis captures the optical consequence of deformation; the MNA captures its mechanical origin. When these two axes diverge, positioning the ring along K-steep treats the symptom instead of the cause.</w:t>
      </w:r>
    </w:p>
    <w:p>
      <w:r/>
      <w:r>
        <w:rPr>
          <w:b/>
        </w:rPr>
        <w:t>Clinical MNA measurement protocol:</w:t>
      </w:r>
      <w:r/>
    </w:p>
    <w:p>
      <w:pPr>
        <w:pStyle w:val="ListNumber"/>
      </w:pPr>
      <w:r>
        <w:t>Obtain the posterior elevation map from Scheimpflug tomography (Pentacam, Galilei, or equivalent).</w:t>
      </w:r>
    </w:p>
    <w:p>
      <w:pPr>
        <w:pStyle w:val="ListNumber"/>
      </w:pPr>
      <w:r>
        <w:t>Display the best-fit sphere (BFS) difference map with a diameter of 8.0 mm.</w:t>
      </w:r>
    </w:p>
    <w:p>
      <w:pPr>
        <w:pStyle w:val="ListNumber"/>
      </w:pPr>
      <w:r>
        <w:t>Identify the meridian passing through the maximum posterior elevation point.</w:t>
      </w:r>
    </w:p>
    <w:p>
      <w:pPr>
        <w:pStyle w:val="ListNumber"/>
      </w:pPr>
      <w:r>
        <w:t>Record this meridian as the MNA.</w:t>
      </w:r>
    </w:p>
    <w:p>
      <w:pPr>
        <w:pStyle w:val="ListNumber"/>
      </w:pPr>
      <w:r>
        <w:t>Calculate MNA divergence: |MNA − K-steep|.</w:t>
      </w:r>
    </w:p>
    <w:p>
      <w:pPr>
        <w:pStyle w:val="ListNumber"/>
      </w:pPr>
      <w:r>
        <w:t>If divergence &gt; 15°, the AVBC protocol recommends ring positioning referenced to the MNA, not K-steep.</w:t>
      </w:r>
    </w:p>
    <w:p>
      <w:pPr>
        <w:pStyle w:val="Alert"/>
      </w:pPr>
      <w:r>
        <w:rPr>
          <w:b/>
          <w:sz w:val="22"/>
        </w:rPr>
        <w:t>💡 TIP</w:t>
      </w:r>
    </w:p>
    <w:p>
      <w:pPr>
        <w:pStyle w:val="Alert"/>
      </w:pPr>
      <w:r/>
      <w:r>
        <w:rPr>
          <w:b/>
        </w:rPr>
        <w:t>For the Clinician: The Practical MNA Protocol in 30 Seconds</w:t>
      </w:r>
      <w:r>
        <w:t xml:space="preserve"> 1. Open Pentacam → Posterior Elevation Map → BFS 8 mm Differential. 2. Find the reddest point (maximum posterior elevation). 3. Trace the meridian through that point → that is the MNA. 4. Compare with the K-steep from the anterior map. 5. If the difference is &gt; 15° → </w:t>
      </w:r>
      <w:r>
        <w:rPr>
          <w:b/>
        </w:rPr>
        <w:t>implant aligned to MNA, not K-steep</w:t>
      </w:r>
      <w:r>
        <w:t xml:space="preserve">.  In ~40% of patients, this step will change your surgical plan. </w:t>
      </w:r>
      <w:r>
        <w:rPr>
          <w:b/>
        </w:rPr>
        <w:t>For the Clinician: The Practical MNA Protocol in 30 Seconds</w:t>
      </w:r>
      <w:r>
        <w:t xml:space="preserve"> 1. Open Pentacam → Posterior Elevation Map → BFS 8 mm Differential. 2. Find the reddest point (maximum posterior elevation). 3. Trace the meridian through that point → that is the MNA. 4. Compare with the K-steep from the anterior map. 5. If the difference is &gt; 15° → </w:t>
      </w:r>
      <w:r>
        <w:rPr>
          <w:b/>
        </w:rPr>
        <w:t>implant aligned to MNA, not K-steep</w:t>
      </w:r>
      <w:r>
        <w:t>.  In ~40% of patients, this step will change your surgical plan.</w:t>
      </w:r>
    </w:p>
    <w:p>
      <w:r>
        <w:t>[Figura: Figure 9.1 — Complete AVBC decision tree: from examination to prescription.]</w:t>
      </w:r>
    </w:p>
    <w:p>
      <w:pPr>
        <w:pStyle w:val="Heading2"/>
      </w:pPr>
      <w:r>
        <w:t>9.4 Module B — Biomechanical Vector Selection</w:t>
      </w:r>
    </w:p>
    <w:p>
      <w:pPr>
        <w:pStyle w:val="Heading3"/>
      </w:pPr>
      <w:r>
        <w:t>The Three Vectors and Their Clinical Correlates</w:t>
      </w:r>
    </w:p>
    <w:p>
      <w:r>
        <w:t>Module B translates the clinical need identified through Modules O and T into a specific biomechanical prescription. The translation is mediated by the three AVBC vectors, each of which is modulated by a distinct ring parameter, as established by the 34 FEBio simulations (comprising 28 symmetric runs and 6 progressive-thickness asymmetric runs) described in Chapter 12:</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Vector</w:t>
            </w:r>
          </w:p>
        </w:tc>
        <w:tc>
          <w:tcPr>
            <w:tcW w:type="dxa" w:w="1758"/>
          </w:tcPr>
          <w:p>
            <w:r>
              <w:rPr>
                <w:b/>
                <w:sz w:val="18"/>
              </w:rPr>
              <w:t>Physical Quantity</w:t>
            </w:r>
          </w:p>
        </w:tc>
        <w:tc>
          <w:tcPr>
            <w:tcW w:type="dxa" w:w="1758"/>
          </w:tcPr>
          <w:p>
            <w:r>
              <w:rPr>
                <w:b/>
                <w:sz w:val="18"/>
              </w:rPr>
              <w:t>FEM Range</w:t>
            </w:r>
          </w:p>
        </w:tc>
        <w:tc>
          <w:tcPr>
            <w:tcW w:type="dxa" w:w="1758"/>
          </w:tcPr>
          <w:p>
            <w:r>
              <w:rPr>
                <w:b/>
                <w:sz w:val="18"/>
              </w:rPr>
              <w:t>Clinical Correlate</w:t>
            </w:r>
          </w:p>
        </w:tc>
        <w:tc>
          <w:tcPr>
            <w:tcW w:type="dxa" w:w="1758"/>
          </w:tcPr>
          <w:p>
            <w:r>
              <w:rPr>
                <w:b/>
                <w:sz w:val="18"/>
              </w:rPr>
              <w:t>Primary Controller</w:t>
            </w:r>
          </w:p>
        </w:tc>
      </w:tr>
      <w:tr>
        <w:tc>
          <w:tcPr>
            <w:tcW w:type="dxa" w:w="1758"/>
          </w:tcPr>
          <w:p>
            <w:r>
              <w:rPr>
                <w:sz w:val="18"/>
              </w:rPr>
              <w:t>**VR**</w:t>
            </w:r>
          </w:p>
        </w:tc>
        <w:tc>
          <w:tcPr>
            <w:tcW w:type="dxa" w:w="1758"/>
          </w:tcPr>
          <w:p>
            <w:r>
              <w:rPr>
                <w:sz w:val="18"/>
              </w:rPr>
              <w:t>Radial displacement Δuᵣ</w:t>
            </w:r>
          </w:p>
        </w:tc>
        <w:tc>
          <w:tcPr>
            <w:tcW w:type="dxa" w:w="1758"/>
          </w:tcPr>
          <w:p>
            <w:r>
              <w:rPr>
                <w:sz w:val="18"/>
              </w:rPr>
              <w:t>8.9–19.9 μm</w:t>
            </w:r>
          </w:p>
        </w:tc>
        <w:tc>
          <w:tcPr>
            <w:tcW w:type="dxa" w:w="1758"/>
          </w:tcPr>
          <w:p>
            <w:r>
              <w:rPr>
                <w:sz w:val="18"/>
              </w:rPr>
              <w:t>ΔK (flattening)</w:t>
            </w:r>
          </w:p>
        </w:tc>
        <w:tc>
          <w:tcPr>
            <w:tcW w:type="dxa" w:w="1758"/>
          </w:tcPr>
          <w:p>
            <w:r>
              <w:rPr>
                <w:sz w:val="18"/>
              </w:rPr>
              <w:t>Ring **thickness**</w:t>
            </w:r>
          </w:p>
        </w:tc>
      </w:tr>
      <w:tr>
        <w:tc>
          <w:tcPr>
            <w:tcW w:type="dxa" w:w="1758"/>
          </w:tcPr>
          <w:p>
            <w:r>
              <w:rPr>
                <w:sz w:val="18"/>
              </w:rPr>
              <w:t>**VT**</w:t>
            </w:r>
          </w:p>
        </w:tc>
        <w:tc>
          <w:tcPr>
            <w:tcW w:type="dxa" w:w="1758"/>
          </w:tcPr>
          <w:p>
            <w:r>
              <w:rPr>
                <w:sz w:val="18"/>
              </w:rPr>
              <w:t>Tangential stress Δσ_θθ</w:t>
            </w:r>
          </w:p>
        </w:tc>
        <w:tc>
          <w:tcPr>
            <w:tcW w:type="dxa" w:w="1758"/>
          </w:tcPr>
          <w:p>
            <w:r>
              <w:rPr>
                <w:sz w:val="18"/>
              </w:rPr>
              <w:t>7.20–7.78 kPa</w:t>
            </w:r>
          </w:p>
        </w:tc>
        <w:tc>
          <w:tcPr>
            <w:tcW w:type="dxa" w:w="1758"/>
          </w:tcPr>
          <w:p>
            <w:r>
              <w:rPr>
                <w:sz w:val="18"/>
              </w:rPr>
              <w:t>ΔCyl (regularization)</w:t>
            </w:r>
          </w:p>
        </w:tc>
        <w:tc>
          <w:tcPr>
            <w:tcW w:type="dxa" w:w="1758"/>
          </w:tcPr>
          <w:p>
            <w:r>
              <w:rPr>
                <w:sz w:val="18"/>
              </w:rPr>
              <w:t>**Arc length**</w:t>
            </w:r>
          </w:p>
        </w:tc>
      </w:tr>
      <w:tr>
        <w:tc>
          <w:tcPr>
            <w:tcW w:type="dxa" w:w="1758"/>
          </w:tcPr>
          <w:p>
            <w:r>
              <w:rPr>
                <w:sz w:val="18"/>
              </w:rPr>
              <w:t>**Vτ**</w:t>
            </w:r>
          </w:p>
        </w:tc>
        <w:tc>
          <w:tcPr>
            <w:tcW w:type="dxa" w:w="1758"/>
          </w:tcPr>
          <w:p>
            <w:r>
              <w:rPr>
                <w:sz w:val="18"/>
              </w:rPr>
              <w:t>Torque proxy</w:t>
            </w:r>
          </w:p>
        </w:tc>
        <w:tc>
          <w:tcPr>
            <w:tcW w:type="dxa" w:w="1758"/>
          </w:tcPr>
          <w:p>
            <w:r>
              <w:rPr>
                <w:sz w:val="18"/>
              </w:rPr>
              <w:t>0 (symmetric rings)</w:t>
            </w:r>
          </w:p>
        </w:tc>
        <w:tc>
          <w:tcPr>
            <w:tcW w:type="dxa" w:w="1758"/>
          </w:tcPr>
          <w:p>
            <w:r>
              <w:rPr>
                <w:sz w:val="18"/>
              </w:rPr>
              <w:t>Apex repositioning</w:t>
            </w:r>
          </w:p>
        </w:tc>
        <w:tc>
          <w:tcPr>
            <w:tcW w:type="dxa" w:w="1758"/>
          </w:tcPr>
          <w:p>
            <w:r>
              <w:rPr>
                <w:sz w:val="18"/>
              </w:rPr>
              <w:t>**Asymmetry**</w:t>
            </w:r>
          </w:p>
        </w:tc>
      </w:tr>
    </w:tbl>
    <w:p>
      <w:r>
        <w:t>The key findings supporting this mapping are:</w:t>
      </w:r>
    </w:p>
    <w:p>
      <w:pPr>
        <w:pStyle w:val="ListNumber"/>
      </w:pPr>
      <w:r/>
      <w:r>
        <w:rPr>
          <w:b/>
        </w:rPr>
        <w:t>VR is insensitive to arc length.</w:t>
      </w:r>
      <w:r>
        <w:t xml:space="preserve"> Across partial arcs from 90° to 320°, VR varied by less than 4% (19.2–19.9 μm). This means the surgeon can adjust arc length without affecting flattening.</w:t>
      </w:r>
    </w:p>
    <w:p>
      <w:pPr>
        <w:pStyle w:val="ListNumber"/>
      </w:pPr>
      <w:r/>
      <w:r>
        <w:rPr>
          <w:b/>
        </w:rPr>
        <w:t>VT is monotonically dependent on arc length.</w:t>
      </w:r>
      <w:r>
        <w:t xml:space="preserve"> The empirical relationship VT(arc°) = −0.0018 × arc° + 7.79 (R² = 0.94) provides a continuous and predictable control lever for astigmatism regularization.</w:t>
      </w:r>
    </w:p>
    <w:p>
      <w:pPr>
        <w:pStyle w:val="ListNumber"/>
      </w:pPr>
      <w:r/>
      <w:r>
        <w:rPr>
          <w:b/>
        </w:rPr>
        <w:t>Vτ = 0 for all symmetric configurations.</w:t>
      </w:r>
      <w:r>
        <w:t xml:space="preserve"> This validates that symmetric rings cannot induce apex repositioning. To generate Vτ, the surgeon must use an asymmetric (progressive-thickness) ring.</w:t>
      </w:r>
    </w:p>
    <w:p>
      <w:pPr>
        <w:pStyle w:val="Heading3"/>
      </w:pPr>
      <w:r>
        <w:t>Decision Rules</w:t>
      </w:r>
    </w:p>
    <w:p>
      <w:r>
        <w:t>Module B applies three sequential decision rules based on the dominant clinical need:</w:t>
      </w:r>
    </w:p>
    <w:p>
      <w:r/>
      <w:r>
        <w:rPr>
          <w:b/>
        </w:rPr>
        <w:t>Rule 1 — Flatten:</w:t>
      </w:r>
      <w:r>
        <w:t xml:space="preserve"> When the primary need is to reduce K-steep (central cone, high keratometric power, aligned astigmatism), the dominant vector is VR. The surgeon increases ring thickness (250–400 μm) while keeping arc length at the minimum needed for structural stability (120°–160°). Depth is set at 70–80% of pachymetry to amplify the radial effect.</w:t>
      </w:r>
    </w:p>
    <w:p>
      <w:r/>
      <w:r>
        <w:rPr>
          <w:b/>
        </w:rPr>
        <w:t>Rule 2 — Regularize:</w:t>
      </w:r>
      <w:r>
        <w:t xml:space="preserve"> When the primary need is to reduce irregular astigmatism (paracentral crescent or D-shape morphology, MNA ≠ K-steep), the dominant vector is VT. The surgeon increases arc length (210°–320°) while keeping thickness moderate (150–250 μm). The ring is positioned along the MNA to maximize biomechanical regularization.</w:t>
      </w:r>
    </w:p>
    <w:p>
      <w:r/>
      <w:r>
        <w:rPr>
          <w:b/>
        </w:rPr>
        <w:t>Rule 3 — Reposition:</w:t>
      </w:r>
      <w:r>
        <w:t xml:space="preserve"> When the primary need is to migrate the cone apex toward the visual axis (displaced apex &gt; 1 mm, coma &gt; 3.5 μm), the dominant vector is Vτ. The surgeon uses a progressive-thickness asymmetric ring (e.g., 300→150 μm) oriented along the MNA. The thicker end of the ring is positioned to leverage the cone toward directional displacement toward the visual axis.</w:t>
      </w:r>
    </w:p>
    <w:p>
      <w:pPr>
        <w:pStyle w:val="Heading2"/>
      </w:pPr>
      <w:r>
        <w:t>9.5 Biomechanical Phenotypic Classification by Constitutive Parameters (HGO/FEBio)</w:t>
      </w:r>
    </w:p>
    <w:p>
      <w:r>
        <w:t xml:space="preserve">The classical keratoconus classification is based on purely geometric or topographic surface parameters, such as the Amsler-Krumeich scale (based on central mean keratometry and local thickness) or the Belin ABCD classification (based on anterior and posterior radius of curvature, thinnest pachymetry, and visual acuity). While clinically useful for screening and refractive severity staging, these systems are inherently </w:t>
      </w:r>
      <w:r>
        <w:rPr>
          <w:b/>
        </w:rPr>
        <w:t>non-biomechanical</w:t>
      </w:r>
      <w:r>
        <w:t>: they evaluate the geometric consequences of stromal mechanical failure but do not capture the underlying molecular and mechanical pathophysiology of the material.</w:t>
      </w:r>
    </w:p>
    <w:p>
      <w:r>
        <w:t xml:space="preserve">To bridge this fundamental gap and equip the surgeon with a deep causal language, the AVBC framework introduces the </w:t>
      </w:r>
      <w:r>
        <w:rPr>
          <w:b/>
        </w:rPr>
        <w:t>Biomechanical Phenotypic Classification</w:t>
      </w:r>
      <w:r>
        <w:t>. This system maps the structural failure state of the corneal stroma directly to the constitutive parameters of the anisotropic hyperelastic Holzapfel-Gasser-Ogden (HGO) model in FEBio (c, k₁, k₂, κ), correlating them with state-of-the-art clinical imaging biomarkers ("Multimodal Proxies").</w:t>
      </w:r>
    </w:p>
    <w:p>
      <w:r/>
      <w:r>
        <w:rPr>
          <w:b/>
        </w:rPr>
        <w:t>Epistemological Note.</w:t>
      </w:r>
      <w:r>
        <w:t xml:space="preserve"> The phenotypic classification proposed here operates in the constitutive parameter space of the HGO model — quantities that are not directly measurable </w:t>
      </w:r>
      <w:r>
        <w:rPr>
          <w:i/>
        </w:rPr>
        <w:t>in vivo</w:t>
      </w:r>
      <w:r>
        <w:t xml:space="preserve"> with any currently available clinical device (Corvis ST, ORA, Brillouin). The phenotypes are therefore inferred </w:t>
      </w:r>
      <w:r>
        <w:rPr>
          <w:i/>
        </w:rPr>
        <w:t>indirectly</w:t>
      </w:r>
      <w:r>
        <w:t xml:space="preserve"> through multimodal biomarkers ("Multimodal Proxies") that correlate observable clinical patterns with specific parametric dominances. We further acknowledge that the inverse problem of HGO parameter identification in the cornea is inherently ill-posed: multiple parameter sets can produce similar macroscopic behaviors, due to the phenomenon of parametric compensation (Kling &amp; Marcos, 2013; Pandolfi et al., 2019). The classification therefore identifies </w:t>
      </w:r>
      <w:r>
        <w:rPr>
          <w:b/>
        </w:rPr>
        <w:t>phenotypic dominances</w:t>
      </w:r>
      <w:r>
        <w:t xml:space="preserve"> — the failure mechanism that governs the observed clinical behavior — rather than absolute values of the constitutive parameters. Quantitative validation of this sensitivity mapping was recently performed through a comprehensive parametric campaign of 377 finite element simulations (Section 12.3), although validation by direct </w:t>
      </w:r>
      <w:r>
        <w:rPr>
          <w:i/>
        </w:rPr>
        <w:t>in vivo</w:t>
      </w:r>
      <w:r>
        <w:t xml:space="preserve"> histomechanical correlation remains a future research line (Section 13.4.6).</w:t>
      </w:r>
    </w:p>
    <w:p>
      <w:r>
        <w:t>We define four primary biomechanical phenotypes of corneal ectasia:</w:t>
      </w:r>
    </w:p>
    <w:p>
      <w:pPr>
        <w:pStyle w:val="Heading3"/>
      </w:pPr>
      <w:r>
        <w:t>9.5.1 Matrix Degradation Phenotype (c-Dominant)</w:t>
      </w:r>
    </w:p>
    <w:p>
      <w:pPr>
        <w:pStyle w:val="ListBullet"/>
      </w:pPr>
      <w:r/>
      <w:r>
        <w:rPr>
          <w:b/>
        </w:rPr>
        <w:t>Physical Basis:</w:t>
      </w:r>
      <w:r>
        <w:t xml:space="preserve"> Primary reduction in the isotropic extracellular matrix shear modulus (c &lt; 0.05 MPa), arising from localized enzymatic degradation of the amorphous proteoglycan-rich ground substance (decorin, lumican, and keratocan). The collagen fibrils (k₁) remain initially healthy and tensioned but lose interlamellar shear coupling support.</w:t>
      </w:r>
    </w:p>
    <w:p>
      <w:pPr>
        <w:pStyle w:val="ListBullet"/>
      </w:pPr>
      <w:r/>
      <w:r>
        <w:rPr>
          <w:b/>
        </w:rPr>
        <w:t>Clinical Signature (Multimodal Proxy):</w:t>
      </w:r>
      <w:r>
        <w:t xml:space="preserve"> Typically presents as forme fruste or subclinical keratoconus. Manifests as an isolated increase in the Tomographic Biomechanical Index (TBI &gt; 0.35) with a normal anterior sagittal curvature map and stable pachymetry.</w:t>
      </w:r>
    </w:p>
    <w:p>
      <w:pPr>
        <w:pStyle w:val="ListBullet"/>
      </w:pPr>
      <w:r/>
      <w:r>
        <w:rPr>
          <w:b/>
        </w:rPr>
        <w:t>Surgical Implication:</w:t>
      </w:r>
      <w:r>
        <w:t xml:space="preserve"> The primary goal is containment of initial mechanical progression. Corneas at this stage exhibit high responsiveness to combined ultrafast crosslinking (CXL) and thin segment implants (VR-dominant vector) to restore baseline membrane mechanical stability.</w:t>
      </w:r>
    </w:p>
    <w:p>
      <w:pPr>
        <w:pStyle w:val="Heading3"/>
      </w:pPr>
      <w:r>
        <w:t>9.5.2 Fibrillar Insufficiency Phenotype (k₁-Dominant)</w:t>
      </w:r>
    </w:p>
    <w:p>
      <w:pPr>
        <w:pStyle w:val="ListBullet"/>
      </w:pPr>
      <w:r/>
      <w:r>
        <w:rPr>
          <w:b/>
        </w:rPr>
        <w:t>Physical Basis:</w:t>
      </w:r>
      <w:r>
        <w:t xml:space="preserve"> Intrinsic mechanical failure with severe drop in tangential elastic stiffness of collagen fibrils (k₁ ≪ 0.22 MPa). Represents chronic stretching, physical rupture, or slippage of collagen lamellae, directly compromising the stroma's ability to withstand the tensile stress imposed by intraocular pressure.</w:t>
      </w:r>
    </w:p>
    <w:p>
      <w:pPr>
        <w:pStyle w:val="ListBullet"/>
      </w:pPr>
      <w:r/>
      <w:r>
        <w:rPr>
          <w:b/>
        </w:rPr>
        <w:t>Clinical Signature (Multimodal Proxy):</w:t>
      </w:r>
      <w:r>
        <w:t xml:space="preserve"> Established moderate to advanced keratoconus. Characterized by pronounced apical elevation, severe compensatory epithelial thickening in adjacent regions (Salomão masking effect), and dramatic increase in high-order comatic aberration (Coma RMS &gt; 2.50 μm, Module O).</w:t>
      </w:r>
    </w:p>
    <w:p>
      <w:pPr>
        <w:pStyle w:val="ListBullet"/>
      </w:pPr>
      <w:r/>
      <w:r>
        <w:rPr>
          <w:b/>
        </w:rPr>
        <w:t>Surgical Implication:</w:t>
      </w:r>
      <w:r>
        <w:t xml:space="preserve"> The stroma requires direct molecular stiffening (CXL to re-establish k₁ stiffness by creating chemical covalent crosslinks) combined with thicker ICRS implants to invoke the radial vector VR and compensate for the increased stromal fibrillar compliance.</w:t>
      </w:r>
    </w:p>
    <w:p>
      <w:pPr>
        <w:pStyle w:val="Heading3"/>
      </w:pPr>
      <w:r>
        <w:t>9.5.3 Microstructural Disorganization Phenotype (κ-Dominant)</w:t>
      </w:r>
    </w:p>
    <w:p>
      <w:pPr>
        <w:pStyle w:val="ListBullet"/>
      </w:pPr>
      <w:r/>
      <w:r>
        <w:rPr>
          <w:b/>
        </w:rPr>
        <w:t>Physical Basis:</w:t>
      </w:r>
      <w:r>
        <w:t xml:space="preserve"> Marked increase in the angular dispersion parameter of collagen lamellae (κ → 1/3). The cornea loses its highly organized preferential circumferential and radial orthogonal arrangement in the periphery and center, transitioning mechanically and numerically to isotropic behavior with low global shear stiffness.</w:t>
      </w:r>
    </w:p>
    <w:p>
      <w:pPr>
        <w:pStyle w:val="ListBullet"/>
      </w:pPr>
      <w:r/>
      <w:r>
        <w:rPr>
          <w:b/>
        </w:rPr>
        <w:t>Clinical Signature (Multimodal Proxy):</w:t>
      </w:r>
      <w:r>
        <w:t xml:space="preserve"> Highly eccentric, peripheral cones (paracentral crescent and peripheral D-shape archetypes) or extreme curvature "nipple" type cones. Characterized by a </w:t>
      </w:r>
      <w:r>
        <w:rPr>
          <w:b/>
        </w:rPr>
        <w:t>marked divergence</w:t>
      </w:r>
      <w:r>
        <w:t xml:space="preserve"> between the posterior Mechanical Neutral Axis (MNA) and the anterior steep keratometric meridian (|MNA − K-steep| &gt; 30°).</w:t>
      </w:r>
    </w:p>
    <w:p>
      <w:pPr>
        <w:pStyle w:val="ListBullet"/>
      </w:pPr>
      <w:r/>
      <w:r>
        <w:rPr>
          <w:b/>
        </w:rPr>
        <w:t>Surgical Implication:</w:t>
      </w:r>
      <w:r>
        <w:t xml:space="preserve"> Conventional nomogram alignment based purely on the K-steep meridian is ineffective and induces secondary aberrations. ICRS implantation must be mandatorily referenced to the posterior MNA azimuth to intercept the spatial dispersion gradient and act as an active mechanical stress shunting bridge via the tangential vector VT.</w:t>
      </w:r>
    </w:p>
    <w:p>
      <w:pPr>
        <w:pStyle w:val="Heading3"/>
      </w:pPr>
      <w:r>
        <w:t>9.5.4 Exponential Instability Phenotype (k₂-Dominant)</w:t>
      </w:r>
    </w:p>
    <w:p>
      <w:pPr>
        <w:pStyle w:val="ListBullet"/>
      </w:pPr>
      <w:r/>
      <w:r>
        <w:rPr>
          <w:b/>
        </w:rPr>
        <w:t>Physical Basis:</w:t>
      </w:r>
      <w:r>
        <w:t xml:space="preserve"> Compromise in the nonlinear exponential stiffening parameter (k₂ ≪ 100). The cornea loses the physiological capacity to stiffen exponentially under rapid mechanical deformation, becoming susceptible to catastrophic and irreversible plastic deformation when subjected to cyclic external stresses.</w:t>
      </w:r>
    </w:p>
    <w:p>
      <w:pPr>
        <w:pStyle w:val="ListBullet"/>
      </w:pPr>
      <w:r/>
      <w:r>
        <w:rPr>
          <w:b/>
        </w:rPr>
        <w:t>Clinical Signature (Multimodal Proxy):</w:t>
      </w:r>
      <w:r>
        <w:t xml:space="preserve"> Strongly associated with chronic eye rubbing habit in patients with genetic predisposition and atopy. Characterized by rapid daily refraction fluctuations, localized pachymetric image distortion, and documented progression at short time intervals.</w:t>
      </w:r>
    </w:p>
    <w:p>
      <w:pPr>
        <w:pStyle w:val="ListBullet"/>
      </w:pPr>
      <w:r/>
      <w:r>
        <w:rPr>
          <w:b/>
        </w:rPr>
        <w:t>Surgical Implication:</w:t>
      </w:r>
      <w:r>
        <w:t xml:space="preserve"> Absolute cessation of ocular friction is the primary therapeutic prerequisite. ICRS insertion is indicated to restore linear elastic integrity but must be combined with CXL to act synergistically in stabilizing the nonlinear stiffening behavior.</w:t>
      </w:r>
    </w:p>
    <w:p>
      <w:pPr>
        <w:pStyle w:val="Heading3"/>
      </w:pPr>
      <w:r>
        <w:t>9.5.5 Mixed Phenotypes and the Continuous Spectrum</w:t>
      </w:r>
    </w:p>
    <w:p>
      <w:r>
        <w:t>In clinical practice, the four pure phenotypes described above represent the extremes of a continuous four-dimensional parameter space. Keratoconus pathophysiology is a progressive process with coupled cycles of enzymatic degradation (MMP-9, MMP-13), lamellar disruption, and remodeling, where multiple constitutive parameters deteriorate simultaneously. Proteoglycan degradation (c↓) weakens interlamellar coupling; the resulting lamellar slippage increases angular dispersion (κ↑); chronic tension on remaining fibrils degrades elastic stiffness (k₁↓); and loss of mature type I collagen fibers reduces exponential stiffening capacity (k₂↓). These four processes are thermodynamically coupled.</w:t>
      </w:r>
    </w:p>
    <w:p>
      <w:r>
        <w:t xml:space="preserve">Most moderate-to-advanced keratoconus patients will therefore exhibit </w:t>
      </w:r>
      <w:r>
        <w:rPr>
          <w:b/>
        </w:rPr>
        <w:t>mixed phenotypes</w:t>
      </w:r>
      <w:r>
        <w:t xml:space="preserve"> — combinations such as c-k₁ (progressive matrix degradation with concomitant fibrillar failure) or κ-k₂ (lamellar disorganization with loss of strain-hardening in atopic patients). The classification identifies the </w:t>
      </w:r>
      <w:r>
        <w:rPr>
          <w:b/>
        </w:rPr>
        <w:t>dominant mechanism</w:t>
      </w:r>
      <w:r>
        <w:t xml:space="preserve"> — the one that determines the primary therapeutic strategy — without denying the coexistence of secondary degradation in other parameters.</w:t>
      </w:r>
    </w:p>
    <w:p>
      <w:r>
        <w:t xml:space="preserve">The analogy with the hematological classification of anemias is instructive: anemia can be classified as iron-deficiency, megaloblastic, or hemolytic, but severely ill patients frequently present with multiple simultaneous deficits. The classification retains precise clinical value because it identifies the </w:t>
      </w:r>
      <w:r>
        <w:rPr>
          <w:b/>
        </w:rPr>
        <w:t>primary therapeutic driver</w:t>
      </w:r>
      <w:r>
        <w:t xml:space="preserve"> that governs the first line of treatment. Analogously, the HGO phenotypic classification answers the surgically decisive question: </w:t>
      </w:r>
      <w:r>
        <w:rPr>
          <w:i/>
        </w:rPr>
        <w:t>"Which biomechanical parameter should I prioritize in my therapeutic strategy for this specific patient?"</w:t>
      </w:r>
      <w:r/>
    </w:p>
    <w:p>
      <w:pPr>
        <w:pStyle w:val="Heading3"/>
      </w:pPr>
      <w:r>
        <w:t>9.5.6 Phenotypic Falsification Criteria</w:t>
      </w:r>
    </w:p>
    <w:p>
      <w:r>
        <w:t>A scientific classification that cannot be falsified is not science — it is metaphysics (Popper, 1959). Below, we define testable predictions and rejection criteria for each biomechanical phenotype:</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Phenotype</w:t>
            </w:r>
          </w:p>
        </w:tc>
        <w:tc>
          <w:tcPr>
            <w:tcW w:type="dxa" w:w="2929"/>
          </w:tcPr>
          <w:p>
            <w:r>
              <w:rPr>
                <w:b/>
                <w:sz w:val="18"/>
              </w:rPr>
              <w:t>Testable Prediction</w:t>
            </w:r>
          </w:p>
        </w:tc>
        <w:tc>
          <w:tcPr>
            <w:tcW w:type="dxa" w:w="2929"/>
          </w:tcPr>
          <w:p>
            <w:r>
              <w:rPr>
                <w:b/>
                <w:sz w:val="18"/>
              </w:rPr>
              <w:t>Falsification Criterion</w:t>
            </w:r>
          </w:p>
        </w:tc>
      </w:tr>
      <w:tr>
        <w:tc>
          <w:tcPr>
            <w:tcW w:type="dxa" w:w="2929"/>
          </w:tcPr>
          <w:p>
            <w:r>
              <w:rPr>
                <w:sz w:val="18"/>
              </w:rPr>
              <w:t>**c-dominant**</w:t>
            </w:r>
          </w:p>
        </w:tc>
        <w:tc>
          <w:tcPr>
            <w:tcW w:type="dxa" w:w="2929"/>
          </w:tcPr>
          <w:p>
            <w:r>
              <w:rPr>
                <w:sz w:val="18"/>
              </w:rPr>
              <w:t>Elevated TBI + normal anterior topography → strong response to isolated CXL with TBI stabilization at 12 months</w:t>
            </w:r>
          </w:p>
        </w:tc>
        <w:tc>
          <w:tcPr>
            <w:tcW w:type="dxa" w:w="2929"/>
          </w:tcPr>
          <w:p>
            <w:r>
              <w:rPr>
                <w:sz w:val="18"/>
              </w:rPr>
              <w:t>If CXL does not stabilize TBI in &gt; 80% of cases classified as c-dominant</w:t>
            </w:r>
          </w:p>
        </w:tc>
      </w:tr>
      <w:tr>
        <w:tc>
          <w:tcPr>
            <w:tcW w:type="dxa" w:w="2929"/>
          </w:tcPr>
          <w:p>
            <w:r>
              <w:rPr>
                <w:sz w:val="18"/>
              </w:rPr>
              <w:t>**k₁-dominant**</w:t>
            </w:r>
          </w:p>
        </w:tc>
        <w:tc>
          <w:tcPr>
            <w:tcW w:type="dxa" w:w="2929"/>
          </w:tcPr>
          <w:p>
            <w:r>
              <w:rPr>
                <w:sz w:val="18"/>
              </w:rPr>
              <w:t>Elevated coma + established ectasia → strong flattening effect with thick ICRS (VR dominant)</w:t>
            </w:r>
          </w:p>
        </w:tc>
        <w:tc>
          <w:tcPr>
            <w:tcW w:type="dxa" w:w="2929"/>
          </w:tcPr>
          <w:p>
            <w:r>
              <w:rPr>
                <w:sz w:val="18"/>
              </w:rPr>
              <w:t>If CI_R &lt; 0.70 systematically in patients classified as k₁-dominant</w:t>
            </w:r>
          </w:p>
        </w:tc>
      </w:tr>
      <w:tr>
        <w:tc>
          <w:tcPr>
            <w:tcW w:type="dxa" w:w="2929"/>
          </w:tcPr>
          <w:p>
            <w:r>
              <w:rPr>
                <w:sz w:val="18"/>
              </w:rPr>
              <w:t>**κ-dominant**</w:t>
            </w:r>
          </w:p>
        </w:tc>
        <w:tc>
          <w:tcPr>
            <w:tcW w:type="dxa" w:w="2929"/>
          </w:tcPr>
          <w:p>
            <w:r>
              <w:rPr>
                <w:sz w:val="18"/>
              </w:rPr>
              <w:t>MNA–K-steep &gt; 30° → superior improvement with MNA-referenced positioning vs K-steep</w:t>
            </w:r>
          </w:p>
        </w:tc>
        <w:tc>
          <w:tcPr>
            <w:tcW w:type="dxa" w:w="2929"/>
          </w:tcPr>
          <w:p>
            <w:r>
              <w:rPr>
                <w:sz w:val="18"/>
              </w:rPr>
              <w:t>If MNA positioning does not produce VT-ratio &gt; 0.85 in &gt; 75% of cases</w:t>
            </w:r>
          </w:p>
        </w:tc>
      </w:tr>
      <w:tr>
        <w:tc>
          <w:tcPr>
            <w:tcW w:type="dxa" w:w="2929"/>
          </w:tcPr>
          <w:p>
            <w:r>
              <w:rPr>
                <w:sz w:val="18"/>
              </w:rPr>
              <w:t>**k₂-dominant**</w:t>
            </w:r>
          </w:p>
        </w:tc>
        <w:tc>
          <w:tcPr>
            <w:tcW w:type="dxa" w:w="2929"/>
          </w:tcPr>
          <w:p>
            <w:r>
              <w:rPr>
                <w:sz w:val="18"/>
              </w:rPr>
              <w:t>Chronic eye rubbing + refractive fluctuation → stabilization with CXL + friction cessation</w:t>
            </w:r>
          </w:p>
        </w:tc>
        <w:tc>
          <w:tcPr>
            <w:tcW w:type="dxa" w:w="2929"/>
          </w:tcPr>
          <w:p>
            <w:r>
              <w:rPr>
                <w:sz w:val="18"/>
              </w:rPr>
              <w:t>If documented progression continues after CXL + cessation in &gt; 50% of cases</w:t>
            </w:r>
          </w:p>
        </w:tc>
      </w:tr>
    </w:tbl>
    <w:p>
      <w:r>
        <w:t xml:space="preserve">These falsification criteria will be formally tested in the prospective study described in Chapter 13. The </w:t>
      </w:r>
      <w:r>
        <w:rPr>
          <w:i/>
        </w:rPr>
        <w:t>a priori</w:t>
      </w:r>
      <w:r>
        <w:t xml:space="preserve"> definition of rejection thresholds is an ethical and methodological commitment that ensures the scientific integrity of the proposed classification.</w:t>
      </w:r>
    </w:p>
    <w:p>
      <w:pPr>
        <w:pStyle w:val="Heading2"/>
      </w:pPr>
      <w:r>
        <w:t>9.6 The Biomechanical Decision Matrix</w:t>
      </w:r>
    </w:p>
    <w:p>
      <w:pPr>
        <w:pStyle w:val="Heading3"/>
      </w:pPr>
      <w:r>
        <w:t>Inter-Module Integration</w:t>
      </w:r>
    </w:p>
    <w:p>
      <w:r>
        <w:t>The power of the AVBC classification lies in the intersection of all three modules. The decision matrix below presents the complete set of clinically relevant O × T × B combinations:</w:t>
      </w:r>
    </w:p>
    <w:p>
      <w:pPr>
        <w:pStyle w:val="Alert"/>
      </w:pPr>
      <w:r>
        <w:rPr>
          <w:b/>
          <w:sz w:val="22"/>
        </w:rPr>
        <w:t>📝 NOTE</w:t>
      </w:r>
    </w:p>
    <w:p>
      <w:pPr>
        <w:pStyle w:val="Alert"/>
      </w:pPr>
      <w:r/>
      <w:r>
        <w:rPr>
          <w:b/>
        </w:rPr>
        <w:t>For the Clinician: How to Use the Matrix</w:t>
      </w:r>
      <w:r>
        <w:t xml:space="preserve"> Read the table from left to right: first classify optics (O+, O~, O−), then identify the topographic archetype (Module T), and the last column will tell you which biomechanical vector to prioritize and the suggested configuration. You can use this as a checklist in the operating room. </w:t>
      </w:r>
      <w:r>
        <w:rPr>
          <w:b/>
        </w:rPr>
        <w:t>For the Clinician: How to Use the Matrix</w:t>
      </w:r>
      <w:r>
        <w:t xml:space="preserve"> Read the table from left to right: first classify optics (O+, O~, O−), then identify the topographic archetype (Module T), and the last column will tell you which biomechanical vector to prioritize and the suggested configuration. You can use this as a checklist in the operating room.</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Module O</w:t>
            </w:r>
          </w:p>
        </w:tc>
        <w:tc>
          <w:tcPr>
            <w:tcW w:type="dxa" w:w="1758"/>
          </w:tcPr>
          <w:p>
            <w:r>
              <w:rPr>
                <w:b/>
                <w:sz w:val="18"/>
              </w:rPr>
              <w:t>Module T</w:t>
            </w:r>
          </w:p>
        </w:tc>
        <w:tc>
          <w:tcPr>
            <w:tcW w:type="dxa" w:w="1758"/>
          </w:tcPr>
          <w:p>
            <w:r>
              <w:rPr>
                <w:b/>
                <w:sz w:val="18"/>
              </w:rPr>
              <w:t>Module B</w:t>
            </w:r>
          </w:p>
        </w:tc>
        <w:tc>
          <w:tcPr>
            <w:tcW w:type="dxa" w:w="1758"/>
          </w:tcPr>
          <w:p>
            <w:r>
              <w:rPr>
                <w:b/>
                <w:sz w:val="18"/>
              </w:rPr>
              <w:t>Ring Configuration</w:t>
            </w:r>
          </w:p>
        </w:tc>
        <w:tc>
          <w:tcPr>
            <w:tcW w:type="dxa" w:w="1758"/>
          </w:tcPr>
          <w:p>
            <w:r>
              <w:rPr>
                <w:b/>
                <w:sz w:val="18"/>
              </w:rPr>
              <w:t>Rationale</w:t>
            </w:r>
          </w:p>
        </w:tc>
      </w:tr>
      <w:tr>
        <w:tc>
          <w:tcPr>
            <w:tcW w:type="dxa" w:w="1758"/>
          </w:tcPr>
          <w:p>
            <w:r>
              <w:rPr>
                <w:sz w:val="18"/>
              </w:rPr>
              <w:t>O+</w:t>
            </w:r>
          </w:p>
        </w:tc>
        <w:tc>
          <w:tcPr>
            <w:tcW w:type="dxa" w:w="1758"/>
          </w:tcPr>
          <w:p>
            <w:r>
              <w:rPr>
                <w:sz w:val="18"/>
              </w:rPr>
              <w:t>Central oval</w:t>
            </w:r>
          </w:p>
        </w:tc>
        <w:tc>
          <w:tcPr>
            <w:tcW w:type="dxa" w:w="1758"/>
          </w:tcPr>
          <w:p>
            <w:r>
              <w:rPr>
                <w:sz w:val="18"/>
              </w:rPr>
              <w:t>VR dominant</w:t>
            </w:r>
          </w:p>
        </w:tc>
        <w:tc>
          <w:tcPr>
            <w:tcW w:type="dxa" w:w="1758"/>
          </w:tcPr>
          <w:p>
            <w:r>
              <w:rPr>
                <w:sz w:val="18"/>
              </w:rPr>
              <w:t>Symmetric, 250–350 μm, arc 150°</w:t>
            </w:r>
          </w:p>
        </w:tc>
        <w:tc>
          <w:tcPr>
            <w:tcW w:type="dxa" w:w="1758"/>
          </w:tcPr>
          <w:p>
            <w:r>
              <w:rPr>
                <w:sz w:val="18"/>
              </w:rPr>
              <w:t>Centered cone, good optics → flatten</w:t>
            </w:r>
          </w:p>
        </w:tc>
      </w:tr>
      <w:tr>
        <w:tc>
          <w:tcPr>
            <w:tcW w:type="dxa" w:w="1758"/>
          </w:tcPr>
          <w:p>
            <w:r>
              <w:rPr>
                <w:sz w:val="18"/>
              </w:rPr>
              <w:t>O+</w:t>
            </w:r>
          </w:p>
        </w:tc>
        <w:tc>
          <w:tcPr>
            <w:tcW w:type="dxa" w:w="1758"/>
          </w:tcPr>
          <w:p>
            <w:r>
              <w:rPr>
                <w:sz w:val="18"/>
              </w:rPr>
              <w:t>Inferior nipple</w:t>
            </w:r>
          </w:p>
        </w:tc>
        <w:tc>
          <w:tcPr>
            <w:tcW w:type="dxa" w:w="1758"/>
          </w:tcPr>
          <w:p>
            <w:r>
              <w:rPr>
                <w:sz w:val="18"/>
              </w:rPr>
              <w:t>VR + VT</w:t>
            </w:r>
          </w:p>
        </w:tc>
        <w:tc>
          <w:tcPr>
            <w:tcW w:type="dxa" w:w="1758"/>
          </w:tcPr>
          <w:p>
            <w:r>
              <w:rPr>
                <w:sz w:val="18"/>
              </w:rPr>
              <w:t>Symmetric, 200–300 μm, arc 160° at 6 o'clock</w:t>
            </w:r>
          </w:p>
        </w:tc>
        <w:tc>
          <w:tcPr>
            <w:tcW w:type="dxa" w:w="1758"/>
          </w:tcPr>
          <w:p>
            <w:r>
              <w:rPr>
                <w:sz w:val="18"/>
              </w:rPr>
              <w:t>Inferior cone → flatten + regularize</w:t>
            </w:r>
          </w:p>
        </w:tc>
      </w:tr>
      <w:tr>
        <w:tc>
          <w:tcPr>
            <w:tcW w:type="dxa" w:w="1758"/>
          </w:tcPr>
          <w:p>
            <w:r>
              <w:rPr>
                <w:sz w:val="18"/>
              </w:rPr>
              <w:t>O+</w:t>
            </w:r>
          </w:p>
        </w:tc>
        <w:tc>
          <w:tcPr>
            <w:tcW w:type="dxa" w:w="1758"/>
          </w:tcPr>
          <w:p>
            <w:r>
              <w:rPr>
                <w:sz w:val="18"/>
              </w:rPr>
              <w:t>Paracentral crescent</w:t>
            </w:r>
          </w:p>
        </w:tc>
        <w:tc>
          <w:tcPr>
            <w:tcW w:type="dxa" w:w="1758"/>
          </w:tcPr>
          <w:p>
            <w:r>
              <w:rPr>
                <w:sz w:val="18"/>
              </w:rPr>
              <w:t>Vτ + VR</w:t>
            </w:r>
          </w:p>
        </w:tc>
        <w:tc>
          <w:tcPr>
            <w:tcW w:type="dxa" w:w="1758"/>
          </w:tcPr>
          <w:p>
            <w:r>
              <w:rPr>
                <w:sz w:val="18"/>
              </w:rPr>
              <w:t>Asymmetric (300→200 μm), arc 160°</w:t>
            </w:r>
          </w:p>
        </w:tc>
        <w:tc>
          <w:tcPr>
            <w:tcW w:type="dxa" w:w="1758"/>
          </w:tcPr>
          <w:p>
            <w:r>
              <w:rPr>
                <w:sz w:val="18"/>
              </w:rPr>
              <w:t>Displaced apex → reposition + flatten</w:t>
            </w:r>
          </w:p>
        </w:tc>
      </w:tr>
      <w:tr>
        <w:tc>
          <w:tcPr>
            <w:tcW w:type="dxa" w:w="1758"/>
          </w:tcPr>
          <w:p>
            <w:r>
              <w:rPr>
                <w:sz w:val="18"/>
              </w:rPr>
              <w:t>O~</w:t>
            </w:r>
          </w:p>
        </w:tc>
        <w:tc>
          <w:tcPr>
            <w:tcW w:type="dxa" w:w="1758"/>
          </w:tcPr>
          <w:p>
            <w:r>
              <w:rPr>
                <w:sz w:val="18"/>
              </w:rPr>
              <w:t>Any nipple/crescent</w:t>
            </w:r>
          </w:p>
        </w:tc>
        <w:tc>
          <w:tcPr>
            <w:tcW w:type="dxa" w:w="1758"/>
          </w:tcPr>
          <w:p>
            <w:r>
              <w:rPr>
                <w:sz w:val="18"/>
              </w:rPr>
              <w:t>VT dominant</w:t>
            </w:r>
          </w:p>
        </w:tc>
        <w:tc>
          <w:tcPr>
            <w:tcW w:type="dxa" w:w="1758"/>
          </w:tcPr>
          <w:p>
            <w:r>
              <w:rPr>
                <w:sz w:val="18"/>
              </w:rPr>
              <w:t>Symmetric, 200 μm, arc 210°</w:t>
            </w:r>
          </w:p>
        </w:tc>
        <w:tc>
          <w:tcPr>
            <w:tcW w:type="dxa" w:w="1758"/>
          </w:tcPr>
          <w:p>
            <w:r>
              <w:rPr>
                <w:sz w:val="18"/>
              </w:rPr>
              <w:t>Uncertain optics → prioritize regularization</w:t>
            </w:r>
          </w:p>
        </w:tc>
      </w:tr>
      <w:tr>
        <w:tc>
          <w:tcPr>
            <w:tcW w:type="dxa" w:w="1758"/>
          </w:tcPr>
          <w:p>
            <w:r>
              <w:rPr>
                <w:sz w:val="18"/>
              </w:rPr>
              <w:t>O~</w:t>
            </w:r>
          </w:p>
        </w:tc>
        <w:tc>
          <w:tcPr>
            <w:tcW w:type="dxa" w:w="1758"/>
          </w:tcPr>
          <w:p>
            <w:r>
              <w:rPr>
                <w:sz w:val="18"/>
              </w:rPr>
              <w:t>Paracentral</w:t>
            </w:r>
          </w:p>
        </w:tc>
        <w:tc>
          <w:tcPr>
            <w:tcW w:type="dxa" w:w="1758"/>
          </w:tcPr>
          <w:p>
            <w:r>
              <w:rPr>
                <w:sz w:val="18"/>
              </w:rPr>
              <w:t>Vτ + VT</w:t>
            </w:r>
          </w:p>
        </w:tc>
        <w:tc>
          <w:tcPr>
            <w:tcW w:type="dxa" w:w="1758"/>
          </w:tcPr>
          <w:p>
            <w:r>
              <w:rPr>
                <w:sz w:val="18"/>
              </w:rPr>
              <w:t>Asymmetric, arc 210°</w:t>
            </w:r>
          </w:p>
        </w:tc>
        <w:tc>
          <w:tcPr>
            <w:tcW w:type="dxa" w:w="1758"/>
          </w:tcPr>
          <w:p>
            <w:r>
              <w:rPr>
                <w:sz w:val="18"/>
              </w:rPr>
              <w:t>Displaced + uncertain → reposition + regularize</w:t>
            </w:r>
          </w:p>
        </w:tc>
      </w:tr>
      <w:tr>
        <w:tc>
          <w:tcPr>
            <w:tcW w:type="dxa" w:w="1758"/>
          </w:tcPr>
          <w:p>
            <w:r>
              <w:rPr>
                <w:sz w:val="18"/>
              </w:rPr>
              <w:t>O−</w:t>
            </w:r>
          </w:p>
        </w:tc>
        <w:tc>
          <w:tcPr>
            <w:tcW w:type="dxa" w:w="1758"/>
          </w:tcPr>
          <w:p>
            <w:r>
              <w:rPr>
                <w:sz w:val="18"/>
              </w:rPr>
              <w:t>Central oval</w:t>
            </w:r>
          </w:p>
        </w:tc>
        <w:tc>
          <w:tcPr>
            <w:tcW w:type="dxa" w:w="1758"/>
          </w:tcPr>
          <w:p>
            <w:r>
              <w:rPr>
                <w:sz w:val="18"/>
              </w:rPr>
              <w:t>Conservative VR</w:t>
            </w:r>
          </w:p>
        </w:tc>
        <w:tc>
          <w:tcPr>
            <w:tcW w:type="dxa" w:w="1758"/>
          </w:tcPr>
          <w:p>
            <w:r>
              <w:rPr>
                <w:sz w:val="18"/>
              </w:rPr>
              <w:t>Symmetric, 200 μm, arc 120°</w:t>
            </w:r>
          </w:p>
        </w:tc>
        <w:tc>
          <w:tcPr>
            <w:tcW w:type="dxa" w:w="1758"/>
          </w:tcPr>
          <w:p>
            <w:r>
              <w:rPr>
                <w:sz w:val="18"/>
              </w:rPr>
              <w:t>Poor optics → conservative approach</w:t>
            </w:r>
          </w:p>
        </w:tc>
      </w:tr>
      <w:tr>
        <w:tc>
          <w:tcPr>
            <w:tcW w:type="dxa" w:w="1758"/>
          </w:tcPr>
          <w:p>
            <w:r>
              <w:rPr>
                <w:sz w:val="18"/>
              </w:rPr>
              <w:t>O−</w:t>
            </w:r>
          </w:p>
        </w:tc>
        <w:tc>
          <w:tcPr>
            <w:tcW w:type="dxa" w:w="1758"/>
          </w:tcPr>
          <w:p>
            <w:r>
              <w:rPr>
                <w:sz w:val="18"/>
              </w:rPr>
              <w:t>Peripheral D-shape</w:t>
            </w:r>
          </w:p>
        </w:tc>
        <w:tc>
          <w:tcPr>
            <w:tcW w:type="dxa" w:w="1758"/>
          </w:tcPr>
          <w:p>
            <w:r>
              <w:rPr>
                <w:sz w:val="18"/>
              </w:rPr>
              <w:t>Minimal VT or defer</w:t>
            </w:r>
          </w:p>
        </w:tc>
        <w:tc>
          <w:tcPr>
            <w:tcW w:type="dxa" w:w="1758"/>
          </w:tcPr>
          <w:p>
            <w:r>
              <w:rPr>
                <w:sz w:val="18"/>
              </w:rPr>
              <w:t>Two thin segments or defer</w:t>
            </w:r>
          </w:p>
        </w:tc>
        <w:tc>
          <w:tcPr>
            <w:tcW w:type="dxa" w:w="1758"/>
          </w:tcPr>
          <w:p>
            <w:r>
              <w:rPr>
                <w:sz w:val="18"/>
              </w:rPr>
              <w:t>Diffuse ectasia + poor optics → limited benefit</w:t>
            </w:r>
          </w:p>
        </w:tc>
      </w:tr>
      <w:tr>
        <w:tc>
          <w:tcPr>
            <w:tcW w:type="dxa" w:w="1758"/>
          </w:tcPr>
          <w:p>
            <w:r>
              <w:rPr>
                <w:sz w:val="18"/>
              </w:rPr>
              <w:t>Any</w:t>
            </w:r>
          </w:p>
        </w:tc>
        <w:tc>
          <w:tcPr>
            <w:tcW w:type="dxa" w:w="1758"/>
          </w:tcPr>
          <w:p>
            <w:r>
              <w:rPr>
                <w:sz w:val="18"/>
              </w:rPr>
              <w:t>Globus (K &gt; 60 D)</w:t>
            </w:r>
          </w:p>
        </w:tc>
        <w:tc>
          <w:tcPr>
            <w:tcW w:type="dxa" w:w="1758"/>
          </w:tcPr>
          <w:p>
            <w:r>
              <w:rPr>
                <w:sz w:val="18"/>
              </w:rPr>
              <w:t>Structural VT/B</w:t>
            </w:r>
          </w:p>
        </w:tc>
        <w:tc>
          <w:tcPr>
            <w:tcW w:type="dxa" w:w="1758"/>
          </w:tcPr>
          <w:p>
            <w:r>
              <w:rPr>
                <w:sz w:val="18"/>
              </w:rPr>
              <w:t>Symmetric, 250–350 μm, arc 160°–210°</w:t>
            </w:r>
          </w:p>
        </w:tc>
        <w:tc>
          <w:tcPr>
            <w:tcW w:type="dxa" w:w="1758"/>
          </w:tcPr>
          <w:p>
            <w:r>
              <w:rPr>
                <w:sz w:val="18"/>
              </w:rPr>
              <w:t>Stabilization / CL tolerance (up to 85 D)</w:t>
            </w:r>
          </w:p>
        </w:tc>
      </w:tr>
    </w:tbl>
    <w:p>
      <w:pPr>
        <w:pStyle w:val="Heading3"/>
      </w:pPr>
      <w:r>
        <w:t>The Role of Depth</w:t>
      </w:r>
    </w:p>
    <w:p>
      <w:r>
        <w:t>Implantation depth acts as a universal amplifier across all three vectors. The AVBC protocol recommends: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Clinical Context</w:t>
            </w:r>
          </w:p>
        </w:tc>
        <w:tc>
          <w:tcPr>
            <w:tcW w:type="dxa" w:w="2929"/>
          </w:tcPr>
          <w:p>
            <w:r>
              <w:rPr>
                <w:b/>
                <w:sz w:val="18"/>
              </w:rPr>
              <w:t>Depth</w:t>
            </w:r>
          </w:p>
        </w:tc>
        <w:tc>
          <w:tcPr>
            <w:tcW w:type="dxa" w:w="2929"/>
          </w:tcPr>
          <w:p>
            <w:r>
              <w:rPr>
                <w:b/>
                <w:sz w:val="18"/>
              </w:rPr>
              <w:t>Rationale</w:t>
            </w:r>
          </w:p>
        </w:tc>
      </w:tr>
      <w:tr>
        <w:tc>
          <w:tcPr>
            <w:tcW w:type="dxa" w:w="2929"/>
          </w:tcPr>
          <w:p>
            <w:r>
              <w:rPr>
                <w:sz w:val="18"/>
              </w:rPr>
              <w:t>Standard keratoconus</w:t>
            </w:r>
          </w:p>
        </w:tc>
        <w:tc>
          <w:tcPr>
            <w:tcW w:type="dxa" w:w="2929"/>
          </w:tcPr>
          <w:p>
            <w:r>
              <w:rPr>
                <w:sz w:val="18"/>
              </w:rPr>
              <w:t>70–75% of pachymetry</w:t>
            </w:r>
          </w:p>
        </w:tc>
        <w:tc>
          <w:tcPr>
            <w:tcW w:type="dxa" w:w="2929"/>
          </w:tcPr>
          <w:p>
            <w:r>
              <w:rPr>
                <w:sz w:val="18"/>
              </w:rPr>
              <w:t>Standard positioning, balanced effect</w:t>
            </w:r>
          </w:p>
        </w:tc>
      </w:tr>
      <w:tr>
        <w:tc>
          <w:tcPr>
            <w:tcW w:type="dxa" w:w="2929"/>
          </w:tcPr>
          <w:p>
            <w:r>
              <w:rPr>
                <w:sz w:val="18"/>
              </w:rPr>
              <w:t>Thin cornea (&lt; 400 μm)</w:t>
            </w:r>
          </w:p>
        </w:tc>
        <w:tc>
          <w:tcPr>
            <w:tcW w:type="dxa" w:w="2929"/>
          </w:tcPr>
          <w:p>
            <w:r>
              <w:rPr>
                <w:sz w:val="18"/>
              </w:rPr>
              <w:t>65–70%</w:t>
            </w:r>
          </w:p>
        </w:tc>
        <w:tc>
          <w:tcPr>
            <w:tcW w:type="dxa" w:w="2929"/>
          </w:tcPr>
          <w:p>
            <w:r>
              <w:rPr>
                <w:sz w:val="18"/>
              </w:rPr>
              <w:t>Safety margin for ring-endothelium clearance</w:t>
            </w:r>
          </w:p>
        </w:tc>
      </w:tr>
      <w:tr>
        <w:tc>
          <w:tcPr>
            <w:tcW w:type="dxa" w:w="2929"/>
          </w:tcPr>
          <w:p>
            <w:r>
              <w:rPr>
                <w:sz w:val="18"/>
              </w:rPr>
              <w:t>Strong flattening target</w:t>
            </w:r>
          </w:p>
        </w:tc>
        <w:tc>
          <w:tcPr>
            <w:tcW w:type="dxa" w:w="2929"/>
          </w:tcPr>
          <w:p>
            <w:r>
              <w:rPr>
                <w:sz w:val="18"/>
              </w:rPr>
              <w:t>75–80%</w:t>
            </w:r>
          </w:p>
        </w:tc>
        <w:tc>
          <w:tcPr>
            <w:tcW w:type="dxa" w:w="2929"/>
          </w:tcPr>
          <w:p>
            <w:r>
              <w:rPr>
                <w:sz w:val="18"/>
              </w:rPr>
              <w:t>Deeper positioning amplifies VR</w:t>
            </w:r>
          </w:p>
        </w:tc>
      </w:tr>
      <w:tr>
        <w:tc>
          <w:tcPr>
            <w:tcW w:type="dxa" w:w="2929"/>
          </w:tcPr>
          <w:p>
            <w:r>
              <w:rPr>
                <w:sz w:val="18"/>
              </w:rPr>
              <w:t>Post-CXL cornea</w:t>
            </w:r>
          </w:p>
        </w:tc>
        <w:tc>
          <w:tcPr>
            <w:tcW w:type="dxa" w:w="2929"/>
          </w:tcPr>
          <w:p>
            <w:r>
              <w:rPr>
                <w:sz w:val="18"/>
              </w:rPr>
              <w:t>70–75% (with thicker ring)</w:t>
            </w:r>
          </w:p>
        </w:tc>
        <w:tc>
          <w:tcPr>
            <w:tcW w:type="dxa" w:w="2929"/>
          </w:tcPr>
          <w:p>
            <w:r>
              <w:rPr>
                <w:sz w:val="18"/>
              </w:rPr>
              <w:t>CXL increases k₁ → stiffer stroma → less deformation per unit ring volume</w:t>
            </w:r>
          </w:p>
        </w:tc>
      </w:tr>
    </w:tbl>
    <w:p>
      <w:pPr>
        <w:pStyle w:val="Heading2"/>
      </w:pPr>
      <w:r>
        <w:t>9.7 The AVBC Correction Index: Closing the Feedback Loop</w:t>
      </w:r>
    </w:p>
    <w:p>
      <w:pPr>
        <w:pStyle w:val="Heading3"/>
      </w:pPr>
      <w:r>
        <w:t>Component-Specific Correction Indices</w:t>
      </w:r>
    </w:p>
    <w:p>
      <w:r>
        <w:t>Perhaps the single most practically valuable element of the AVBC framework is its capacity to provide quantitative postoperative feedback. Inspired by the Alpins Correction Index (CI = |SIA|/|TIA|), AVBC defines three component-specific correction indices:</w:t>
      </w:r>
    </w:p>
    <w:p>
      <w:r/>
      <w:r>
        <w:rPr>
          <w:b/>
        </w:rPr>
        <w:t>Radial Correction Index (Flattening Efficacy):</w:t>
      </w:r>
      <w:r/>
    </w:p>
    <w:p>
      <w:r>
        <w:t>Calculated by dividing the actual postoperative flattening by the flattening the model had predicted.</w:t>
      </w:r>
    </w:p>
    <w:p>
      <w:r>
        <w:t>An index of 1.0 ± 0.15 indicates the effect matched the prediction. Values below 0.85 indicate systematic undercorrection (the cornea was stiffer than modeled, or the ring effect was smaller than predicted); values above 1.15 indicate overcorrection.</w:t>
      </w:r>
    </w:p>
    <w:p>
      <w:r/>
      <w:r>
        <w:rPr>
          <w:b/>
        </w:rPr>
        <w:t>Tangential Correction Ratio (Astigmatism Efficacy):</w:t>
      </w:r>
      <w:r/>
    </w:p>
    <w:p>
      <w:r>
        <w:t>Calculated by dividing the actual cylinder correction by the correction expected from the chosen arc length.</w:t>
      </w:r>
    </w:p>
    <w:p>
      <w:r>
        <w:t>This ratio evaluates whether the arc length produced the expected degree of astigmatism regularization.</w:t>
      </w:r>
    </w:p>
    <w:p>
      <w:r/>
      <w:r>
        <w:rPr>
          <w:b/>
        </w:rPr>
        <w:t>Torsional Correction Ratio (Migration Efficacy):</w:t>
      </w:r>
      <w:r/>
    </w:p>
    <w:p>
      <w:r>
        <w:t>Calculated by dividing the actual distance the cone migrated by the expected distance based on the ring's asymmetry.</w:t>
      </w:r>
    </w:p>
    <w:p>
      <w:r>
        <w:t>For symmetric rings, the expected Vτ is zero, and any non-zero apex migration indicates unexpected asymmetric loading. For asymmetric rings, this ratio quantifies the effectiveness of the torque mechanism.</w:t>
      </w:r>
    </w:p>
    <w:p>
      <w:pPr>
        <w:pStyle w:val="Heading3"/>
      </w:pPr>
      <w:r>
        <w:t>The Personal Calibration Curve</w:t>
      </w:r>
    </w:p>
    <w:p>
      <w:r>
        <w:t>Over N surgeries, each surgeon accumulates a personal database of correction indices. The mean CI_R represents the surgeon's systematic bias: if the mean CI_R is 0.85 over 30 cases, the surgeon is consistently underestimating the ring effect and should multiply future predictions by 1/0.85 = 1.18. This iterative calibration process is the biomechanical analogue of IOL A-constant adjustment and represents the mechanism by which the AVBC framework improves predictive accuracy over time without requiring changes to the underlying physical model.</w:t>
      </w:r>
    </w:p>
    <w:p>
      <w:pPr>
        <w:pStyle w:val="Alert"/>
      </w:pPr>
      <w:r>
        <w:rPr>
          <w:b/>
          <w:sz w:val="22"/>
        </w:rPr>
        <w:t>💡 TIP</w:t>
      </w:r>
    </w:p>
    <w:p>
      <w:pPr>
        <w:pStyle w:val="Alert"/>
      </w:pPr>
      <w:r/>
      <w:r>
        <w:rPr>
          <w:b/>
        </w:rPr>
        <w:t>For the Clinician: Your "Personal Factor"</w:t>
      </w:r>
      <w:r>
        <w:t xml:space="preserve"> Just as in IOL formulas there is each surgeon's "A-constant," in AVBC there is your mean CI_R. If after 20 cases your mean CI_R is 0.80, this means you systematically flatten 20% less than the FEM predicts. Correct by multiplying the planned thickness by 1/0.80 = 1.25. This is exactly what the Alpins School taught us — and AVBC applies it to the ring. </w:t>
      </w:r>
      <w:r>
        <w:rPr>
          <w:b/>
        </w:rPr>
        <w:t>For the Clinician: Your "Personal Factor"</w:t>
      </w:r>
      <w:r>
        <w:t xml:space="preserve"> Just as in IOL formulas there is each surgeon's "A-constant," in AVBC there is your mean CI_R. If after 20 cases your mean CI_R is 0.80, this means you systematically flatten 20% less than the FEM predicts. Correct by multiplying the planned thickness by 1/0.80 = 1.25. This is exactly what the Alpins School taught us — and AVBC applies it to the ring.</w:t>
      </w:r>
    </w:p>
    <w:p>
      <w:pPr>
        <w:pStyle w:val="Heading2"/>
      </w:pPr>
      <w:r>
        <w:t>9.8 AVBC Versus Existing Nomograms</w:t>
      </w:r>
    </w:p>
    <w:p>
      <w:r>
        <w:t>The fundamental differences between the AVBC framework and existing nomogram systems are structural, not merely parametric:</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Feature</w:t>
            </w:r>
          </w:p>
        </w:tc>
        <w:tc>
          <w:tcPr>
            <w:tcW w:type="dxa" w:w="2197"/>
          </w:tcPr>
          <w:p>
            <w:r>
              <w:rPr>
                <w:b/>
                <w:sz w:val="18"/>
              </w:rPr>
              <w:t>Ferrara Nomogram</w:t>
            </w:r>
          </w:p>
        </w:tc>
        <w:tc>
          <w:tcPr>
            <w:tcW w:type="dxa" w:w="2197"/>
          </w:tcPr>
          <w:p>
            <w:r>
              <w:rPr>
                <w:b/>
                <w:sz w:val="18"/>
              </w:rPr>
              <w:t>Keraring Calculator</w:t>
            </w:r>
          </w:p>
        </w:tc>
        <w:tc>
          <w:tcPr>
            <w:tcW w:type="dxa" w:w="2197"/>
          </w:tcPr>
          <w:p>
            <w:r>
              <w:rPr>
                <w:b/>
                <w:sz w:val="18"/>
              </w:rPr>
              <w:t>**AVBC Framework**</w:t>
            </w:r>
          </w:p>
        </w:tc>
      </w:tr>
      <w:tr>
        <w:tc>
          <w:tcPr>
            <w:tcW w:type="dxa" w:w="2197"/>
          </w:tcPr>
          <w:p>
            <w:r>
              <w:rPr>
                <w:sz w:val="18"/>
              </w:rPr>
              <w:t>Planning basis</w:t>
            </w:r>
          </w:p>
        </w:tc>
        <w:tc>
          <w:tcPr>
            <w:tcW w:type="dxa" w:w="2197"/>
          </w:tcPr>
          <w:p>
            <w:r>
              <w:rPr>
                <w:sz w:val="18"/>
              </w:rPr>
              <w:t>Empirical (Q value, K-steep)</w:t>
            </w:r>
          </w:p>
        </w:tc>
        <w:tc>
          <w:tcPr>
            <w:tcW w:type="dxa" w:w="2197"/>
          </w:tcPr>
          <w:p>
            <w:r>
              <w:rPr>
                <w:sz w:val="18"/>
              </w:rPr>
              <w:t>Phenotype-based</w:t>
            </w:r>
          </w:p>
        </w:tc>
        <w:tc>
          <w:tcPr>
            <w:tcW w:type="dxa" w:w="2197"/>
          </w:tcPr>
          <w:p>
            <w:r>
              <w:rPr>
                <w:sz w:val="18"/>
              </w:rPr>
              <w:t>**Biomechanical vectors (VR/VT/Vτ)**</w:t>
            </w:r>
          </w:p>
        </w:tc>
      </w:tr>
      <w:tr>
        <w:tc>
          <w:tcPr>
            <w:tcW w:type="dxa" w:w="2197"/>
          </w:tcPr>
          <w:p>
            <w:r>
              <w:rPr>
                <w:sz w:val="18"/>
              </w:rPr>
              <w:t>Mechanism</w:t>
            </w:r>
          </w:p>
        </w:tc>
        <w:tc>
          <w:tcPr>
            <w:tcW w:type="dxa" w:w="2197"/>
          </w:tcPr>
          <w:p>
            <w:r>
              <w:rPr>
                <w:sz w:val="18"/>
              </w:rPr>
              <w:t>Implicit</w:t>
            </w:r>
          </w:p>
        </w:tc>
        <w:tc>
          <w:tcPr>
            <w:tcW w:type="dxa" w:w="2197"/>
          </w:tcPr>
          <w:p>
            <w:r>
              <w:rPr>
                <w:sz w:val="18"/>
              </w:rPr>
              <w:t>Implicit</w:t>
            </w:r>
          </w:p>
        </w:tc>
        <w:tc>
          <w:tcPr>
            <w:tcW w:type="dxa" w:w="2197"/>
          </w:tcPr>
          <w:p>
            <w:r>
              <w:rPr>
                <w:sz w:val="18"/>
              </w:rPr>
              <w:t>**Explicit: 3 independent mechanisms**</w:t>
            </w:r>
          </w:p>
        </w:tc>
      </w:tr>
      <w:tr>
        <w:tc>
          <w:tcPr>
            <w:tcW w:type="dxa" w:w="2197"/>
          </w:tcPr>
          <w:p>
            <w:r>
              <w:rPr>
                <w:sz w:val="18"/>
              </w:rPr>
              <w:t>Optical assessment</w:t>
            </w:r>
          </w:p>
        </w:tc>
        <w:tc>
          <w:tcPr>
            <w:tcW w:type="dxa" w:w="2197"/>
          </w:tcPr>
          <w:p>
            <w:r>
              <w:rPr>
                <w:sz w:val="18"/>
              </w:rPr>
              <w:t>None</w:t>
            </w:r>
          </w:p>
        </w:tc>
        <w:tc>
          <w:tcPr>
            <w:tcW w:type="dxa" w:w="2197"/>
          </w:tcPr>
          <w:p>
            <w:r>
              <w:rPr>
                <w:sz w:val="18"/>
              </w:rPr>
              <w:t>None</w:t>
            </w:r>
          </w:p>
        </w:tc>
        <w:tc>
          <w:tcPr>
            <w:tcW w:type="dxa" w:w="2197"/>
          </w:tcPr>
          <w:p>
            <w:r>
              <w:rPr>
                <w:sz w:val="18"/>
              </w:rPr>
              <w:t>**Module O (quantitative)**</w:t>
            </w:r>
          </w:p>
        </w:tc>
      </w:tr>
      <w:tr>
        <w:tc>
          <w:tcPr>
            <w:tcW w:type="dxa" w:w="2197"/>
          </w:tcPr>
          <w:p>
            <w:r>
              <w:rPr>
                <w:sz w:val="18"/>
              </w:rPr>
              <w:t>MNA integration</w:t>
            </w:r>
          </w:p>
        </w:tc>
        <w:tc>
          <w:tcPr>
            <w:tcW w:type="dxa" w:w="2197"/>
          </w:tcPr>
          <w:p>
            <w:r>
              <w:rPr>
                <w:sz w:val="18"/>
              </w:rPr>
              <w:t>No</w:t>
            </w:r>
          </w:p>
        </w:tc>
        <w:tc>
          <w:tcPr>
            <w:tcW w:type="dxa" w:w="2197"/>
          </w:tcPr>
          <w:p>
            <w:r>
              <w:rPr>
                <w:sz w:val="18"/>
              </w:rPr>
              <w:t>No</w:t>
            </w:r>
          </w:p>
        </w:tc>
        <w:tc>
          <w:tcPr>
            <w:tcW w:type="dxa" w:w="2197"/>
          </w:tcPr>
          <w:p>
            <w:r>
              <w:rPr>
                <w:sz w:val="18"/>
              </w:rPr>
              <w:t>**Yes (40% of cases diverge from K-steep)**</w:t>
            </w:r>
          </w:p>
        </w:tc>
      </w:tr>
      <w:tr>
        <w:tc>
          <w:tcPr>
            <w:tcW w:type="dxa" w:w="2197"/>
          </w:tcPr>
          <w:p>
            <w:r>
              <w:rPr>
                <w:sz w:val="18"/>
              </w:rPr>
              <w:t>Asymmetric rings</w:t>
            </w:r>
          </w:p>
        </w:tc>
        <w:tc>
          <w:tcPr>
            <w:tcW w:type="dxa" w:w="2197"/>
          </w:tcPr>
          <w:p>
            <w:r>
              <w:rPr>
                <w:sz w:val="18"/>
              </w:rPr>
              <w:t>No guidance</w:t>
            </w:r>
          </w:p>
        </w:tc>
        <w:tc>
          <w:tcPr>
            <w:tcW w:type="dxa" w:w="2197"/>
          </w:tcPr>
          <w:p>
            <w:r>
              <w:rPr>
                <w:sz w:val="18"/>
              </w:rPr>
              <w:t>Limited</w:t>
            </w:r>
          </w:p>
        </w:tc>
        <w:tc>
          <w:tcPr>
            <w:tcW w:type="dxa" w:w="2197"/>
          </w:tcPr>
          <w:p>
            <w:r>
              <w:rPr>
                <w:sz w:val="18"/>
              </w:rPr>
              <w:t>**Vτ-guided asymmetric selection**</w:t>
            </w:r>
          </w:p>
        </w:tc>
      </w:tr>
      <w:tr>
        <w:tc>
          <w:tcPr>
            <w:tcW w:type="dxa" w:w="2197"/>
          </w:tcPr>
          <w:p>
            <w:r>
              <w:rPr>
                <w:sz w:val="18"/>
              </w:rPr>
              <w:t>Postop feedback</w:t>
            </w:r>
          </w:p>
        </w:tc>
        <w:tc>
          <w:tcPr>
            <w:tcW w:type="dxa" w:w="2197"/>
          </w:tcPr>
          <w:p>
            <w:r>
              <w:rPr>
                <w:sz w:val="18"/>
              </w:rPr>
              <w:t>None</w:t>
            </w:r>
          </w:p>
        </w:tc>
        <w:tc>
          <w:tcPr>
            <w:tcW w:type="dxa" w:w="2197"/>
          </w:tcPr>
          <w:p>
            <w:r>
              <w:rPr>
                <w:sz w:val="18"/>
              </w:rPr>
              <w:t>None</w:t>
            </w:r>
          </w:p>
        </w:tc>
        <w:tc>
          <w:tcPr>
            <w:tcW w:type="dxa" w:w="2197"/>
          </w:tcPr>
          <w:p>
            <w:r>
              <w:rPr>
                <w:sz w:val="18"/>
              </w:rPr>
              <w:t>**CI_R, VT-ratio, Vτ-ratio**</w:t>
            </w:r>
          </w:p>
        </w:tc>
      </w:tr>
      <w:tr>
        <w:tc>
          <w:tcPr>
            <w:tcW w:type="dxa" w:w="2197"/>
          </w:tcPr>
          <w:p>
            <w:r>
              <w:rPr>
                <w:sz w:val="18"/>
              </w:rPr>
              <w:t>Surgeon calibration</w:t>
            </w:r>
          </w:p>
        </w:tc>
        <w:tc>
          <w:tcPr>
            <w:tcW w:type="dxa" w:w="2197"/>
          </w:tcPr>
          <w:p>
            <w:r>
              <w:rPr>
                <w:sz w:val="18"/>
              </w:rPr>
              <w:t>Not possible</w:t>
            </w:r>
          </w:p>
        </w:tc>
        <w:tc>
          <w:tcPr>
            <w:tcW w:type="dxa" w:w="2197"/>
          </w:tcPr>
          <w:p>
            <w:r>
              <w:rPr>
                <w:sz w:val="18"/>
              </w:rPr>
              <w:t>Not possible</w:t>
            </w:r>
          </w:p>
        </w:tc>
        <w:tc>
          <w:tcPr>
            <w:tcW w:type="dxa" w:w="2197"/>
          </w:tcPr>
          <w:p>
            <w:r>
              <w:rPr>
                <w:sz w:val="18"/>
              </w:rPr>
              <w:t>**Personal calibration curve**</w:t>
            </w:r>
          </w:p>
        </w:tc>
      </w:tr>
      <w:tr>
        <w:tc>
          <w:tcPr>
            <w:tcW w:type="dxa" w:w="2197"/>
          </w:tcPr>
          <w:p>
            <w:r>
              <w:rPr>
                <w:sz w:val="18"/>
              </w:rPr>
              <w:t>Transparency</w:t>
            </w:r>
          </w:p>
        </w:tc>
        <w:tc>
          <w:tcPr>
            <w:tcW w:type="dxa" w:w="2197"/>
          </w:tcPr>
          <w:p>
            <w:r>
              <w:rPr>
                <w:sz w:val="18"/>
              </w:rPr>
              <w:t>Opaque lookup table</w:t>
            </w:r>
          </w:p>
        </w:tc>
        <w:tc>
          <w:tcPr>
            <w:tcW w:type="dxa" w:w="2197"/>
          </w:tcPr>
          <w:p>
            <w:r>
              <w:rPr>
                <w:sz w:val="18"/>
              </w:rPr>
              <w:t>Semi-transparent</w:t>
            </w:r>
          </w:p>
        </w:tc>
        <w:tc>
          <w:tcPr>
            <w:tcW w:type="dxa" w:w="2197"/>
          </w:tcPr>
          <w:p>
            <w:r>
              <w:rPr>
                <w:sz w:val="18"/>
              </w:rPr>
              <w:t>**Fully traceable to FEM**</w:t>
            </w:r>
          </w:p>
        </w:tc>
      </w:tr>
    </w:tbl>
    <w:p>
      <w:r>
        <w:t>AVBC does not aim to replace nomograms in every case. For the approximately 60% of patients with central, symmetric keratoconus where MNA ≈ K-steep and astigmatism is well-aligned, the nomogram and AVBC will prescribe essentially the same ring configuration. AVBC adds value for the remaining 40% — cases where the MNA diverges, the apex is displaced, the astigmatism is irregular, or the biomechanical context is unusual (post-CXL, thin cornea, atypical morphology).</w:t>
      </w:r>
    </w:p>
    <w:p>
      <w:pPr>
        <w:pStyle w:val="Heading2"/>
      </w:pPr>
      <w:r>
        <w:t>9.9 Limitations and Scope</w:t>
      </w:r>
    </w:p>
    <w:p>
      <w:r>
        <w:t>The AVBC classification, in its current form, has specific limitations that must be acknowledged:</w:t>
      </w:r>
    </w:p>
    <w:p>
      <w:pPr>
        <w:pStyle w:val="ListNumber"/>
      </w:pPr>
      <w:r/>
      <w:r>
        <w:rPr>
          <w:b/>
        </w:rPr>
        <w:t>Clinical validation is pending.</w:t>
      </w:r>
      <w:r>
        <w:t xml:space="preserve"> The decision matrix is derived from FEM simulations and biomechanical reasoning, not from prospective clinical trials. Predicted outcomes are model-dependent.</w:t>
      </w:r>
    </w:p>
    <w:p>
      <w:pPr>
        <w:pStyle w:val="ListNumber"/>
      </w:pPr>
      <w:r/>
      <w:r>
        <w:rPr>
          <w:b/>
        </w:rPr>
        <w:t>Thresholds are preliminary.</w:t>
      </w:r>
      <w:r>
        <w:t xml:space="preserve"> The VR/VT ranges (8.9–19.9 μm / 7.20–7.78 kPa) are specific to the HGO parameter set used in the simulations. Different material parameters may produce different absolute values while preserving relative trends.</w:t>
      </w:r>
    </w:p>
    <w:p>
      <w:pPr>
        <w:pStyle w:val="ListNumber"/>
      </w:pPr>
      <w:r/>
      <w:r>
        <w:rPr>
          <w:b/>
        </w:rPr>
        <w:t>Vτ has been computationally validated.</w:t>
      </w:r>
      <w:r>
        <w:t xml:space="preserve"> Active torque values generated by progressive-thickness designs were validated using asymmetric FEBio simulations (Chapter 12) and range from 9.31 to 18.34 μN·m, breaking the zero-torque condition (Vτ = 0) characteristic of symmetric configurations.</w:t>
      </w:r>
    </w:p>
    <w:p>
      <w:pPr>
        <w:pStyle w:val="ListNumber"/>
      </w:pPr>
      <w:r/>
      <w:r>
        <w:rPr>
          <w:b/>
        </w:rPr>
        <w:t>The MNA measurement protocol requires inter-observer agreement studies.</w:t>
      </w:r>
      <w:r>
        <w:t xml:space="preserve"> The reproducibility of posterior-elevation-based MNA determination across different instruments and operators has not been formally evaluated.</w:t>
      </w:r>
    </w:p>
    <w:p>
      <w:pPr>
        <w:pStyle w:val="ListNumber"/>
      </w:pPr>
      <w:r/>
      <w:r>
        <w:rPr>
          <w:b/>
        </w:rPr>
        <w:t>Multi-segment planning is not addressed.</w:t>
      </w:r>
      <w:r>
        <w:t xml:space="preserve"> The current framework focuses on single-segment implantation. Extension to two-segment configurations requires additional modeling.</w:t>
      </w:r>
    </w:p>
    <w:p>
      <w:r>
        <w:t>These limitations define the research program that follows from the framework. They are not weaknesses of the framework itself — they are the natural next steps in its validation.</w:t>
      </w:r>
    </w:p>
    <w:p>
      <w:r>
        <w:t xml:space="preserve">AVBC was designed as a </w:t>
      </w:r>
      <w:r>
        <w:rPr>
          <w:i/>
        </w:rPr>
        <w:t>language for clinical decision-making</w:t>
      </w:r>
      <w:r>
        <w:t>, not as a calculator that provides a definitive answer. It offers the surgeon a way of thinking about ICRS planning that is structured and mechanistically grounded — a framework that can be debated, refined, and calibrated through clinical experience, rather than an opaque lookup table that can only be accepted or rejected.</w:t>
      </w:r>
    </w:p>
    <w:p>
      <w:pPr>
        <w:pStyle w:val="Heading2"/>
      </w:pPr>
      <w:r>
        <w:t>9.10 Summary</w:t>
      </w:r>
    </w:p>
    <w:p>
      <w:r>
        <w:t>The integrated AVBC classification decomposes ICRS planning into three sequential modules — Optical (O), Topographic (T), and Biomechanical (B) — each with defined criteria and categorical outputs. Module O gates the process by evaluating optical coherence; Module T localizes the ectasia and identifies the MNA; Module B maps the clinical need to specific biomechanical vectors and thence to ring parameters.</w:t>
      </w:r>
    </w:p>
    <w:p>
      <w:r>
        <w:t>The biomechanical decision matrix crosses all three modules to generate ring prescriptions that are transparent, traceable, and calibratable. The AVBC correction indices (CI_R, VT-ratio, Vτ-ratio) close the surgical feedback loop, enabling surgeon-specific calibration analogous to the Alpins Correction Index for astigmatism surgery.</w:t>
      </w:r>
    </w:p>
    <w:p>
      <w:r>
        <w:t>The AVBC framework adds clinical value primarily in the approximately 40% of cases where the MNA diverges from K-steep, the apex is displaced, or the biomechanical context is unusual. For standard central, symmetric keratoconus with aligned astigmatism, existing nomograms remain adequate. AVBC does not seek to replace the nomogram universally — it seeks to extend the surgeon's decision-making vocabulary to encompass the full dimensionality of the biomechanical problem.</w:t>
      </w:r>
    </w:p>
    <w:p>
      <w:pPr>
        <w:pStyle w:val="Heading2"/>
      </w:pPr>
      <w:r>
        <w:t>Didactic Summary</w:t>
      </w:r>
    </w:p>
    <w:p>
      <w:pPr>
        <w:pStyle w:val="ListBullet"/>
      </w:pPr>
      <w:r>
        <w:t xml:space="preserve">The AVBC classification integrates three modules (O/T/B) into a </w:t>
      </w:r>
      <w:r>
        <w:rPr>
          <w:b/>
        </w:rPr>
        <w:t>biomechanical decision matrix</w:t>
      </w:r>
      <w:r>
        <w:t xml:space="preserve"> that generates traceable ring prescriptions.</w:t>
      </w:r>
    </w:p>
    <w:p>
      <w:pPr>
        <w:pStyle w:val="ListBullet"/>
      </w:pPr>
      <w:r>
        <w:t xml:space="preserve">The </w:t>
      </w:r>
      <w:r>
        <w:rPr>
          <w:b/>
        </w:rPr>
        <w:t>ACE (Axial Coherence Index)</w:t>
      </w:r>
      <w:r>
        <w:t xml:space="preserve"> is the primary screening parameter: ACE_min &lt; 28° predicts ≥ 3 lines of gain (AUC 0.82).</w:t>
      </w:r>
    </w:p>
    <w:p>
      <w:pPr>
        <w:pStyle w:val="ListBullet"/>
      </w:pPr>
      <w:r>
        <w:t>The AVBC correction indices (</w:t>
      </w:r>
      <w:r>
        <w:rPr>
          <w:b/>
        </w:rPr>
        <w:t>CI_R, VT-ratio, Vτ-ratio</w:t>
      </w:r>
      <w:r>
        <w:t>) close the feedback loop, enabling surgeon-specific calibration.</w:t>
      </w:r>
    </w:p>
    <w:p>
      <w:pPr>
        <w:pStyle w:val="ListBullet"/>
      </w:pPr>
      <w:r>
        <w:t>AVBC adds value in ~40% of cases — those with MNA divergence, displaced apex, or unusual biomechanics.</w:t>
      </w:r>
    </w:p>
    <w:p>
      <w:pPr>
        <w:pStyle w:val="ListBullet"/>
      </w:pPr>
      <w:r>
        <w:t>For central, symmetric keratoconus with aligned astigmatism, existing nomograms remain adequate.</w:t>
      </w:r>
    </w:p>
    <w:p>
      <w:pPr>
        <w:pStyle w:val="Heading2"/>
      </w:pPr>
      <w:r>
        <w:t>References</w:t>
      </w:r>
    </w:p>
    <w:p>
      <w:pPr>
        <w:pStyle w:val="ListNumber"/>
      </w:pPr>
      <w:r>
        <w:t xml:space="preserve">Alió JL, Shabayek MH. Corneal higher order aberrations: a method to grade keratoconus. </w:t>
      </w:r>
      <w:r>
        <w:rPr>
          <w:i/>
        </w:rPr>
        <w:t>J Refract Surg</w:t>
      </w:r>
      <w:r>
        <w:t>. 2006;22(6):539–545.</w:t>
      </w:r>
    </w:p>
    <w:p>
      <w:pPr>
        <w:pStyle w:val="ListNumber"/>
      </w:pPr>
      <w:r>
        <w:t xml:space="preserve">Alpins NA. Astigmatism analysis by the Alpins method. </w:t>
      </w:r>
      <w:r>
        <w:rPr>
          <w:i/>
        </w:rPr>
        <w:t>J Cataract Refract Surg</w:t>
      </w:r>
      <w:r>
        <w:t>. 2001;27(1):31–49.</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Ferrara P, Torquetti L. Clinical nomograms for Intacs and Ferrara ring segments. In: </w:t>
      </w:r>
      <w:r>
        <w:rPr>
          <w:i/>
        </w:rPr>
        <w:t>Keratoconus and Keratoectasia</w:t>
      </w:r>
      <w:r>
        <w:t>. Springer; 2017.</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Kling S, Marcos S. Finite-element modeling of intrastromal corneal ring segment implantation into a hyperelastic cornea. </w:t>
      </w:r>
      <w:r>
        <w:rPr>
          <w:i/>
        </w:rPr>
        <w:t>Invest Ophthalmol Vis Sci</w:t>
      </w:r>
      <w:r>
        <w:t>. 2013;54(1):881–889.</w:t>
      </w:r>
    </w:p>
    <w:p>
      <w:pPr>
        <w:pStyle w:val="ListNumber"/>
      </w:pPr>
      <w:r>
        <w:t xml:space="preserve">Maeda N, Klyce SD, Smolek MK. Comparison of methods for detecting keratoconus. </w:t>
      </w:r>
      <w:r>
        <w:rPr>
          <w:i/>
        </w:rPr>
        <w:t>Arch Ophthalmol</w:t>
      </w:r>
      <w:r>
        <w:t>. 2002;120(5):601–607.</w:t>
      </w:r>
    </w:p>
    <w:p>
      <w:pPr>
        <w:pStyle w:val="ListNumber"/>
      </w:pPr>
      <w:r>
        <w:t xml:space="preserve">Piñero DP, Alcón N. Corneal biomechanics: a review. </w:t>
      </w:r>
      <w:r>
        <w:rPr>
          <w:i/>
        </w:rPr>
        <w:t>Clin Exp Optom</w:t>
      </w:r>
      <w:r>
        <w:t>. 2015;98(2):107–116.</w:t>
      </w:r>
    </w:p>
    <w:p>
      <w:pPr>
        <w:pStyle w:val="ListNumber"/>
      </w:pPr>
      <w:r>
        <w:t xml:space="preserve">Rabinowitz YS, Rasheed K. KISA% index: a quantitative videokeratography algorithm. </w:t>
      </w:r>
      <w:r>
        <w:rPr>
          <w:i/>
        </w:rPr>
        <w:t>J Cataract Refract Surg</w:t>
      </w:r>
      <w:r>
        <w:t>. 1999;25(10):1327–1335.</w:t>
      </w:r>
    </w:p>
    <w:p>
      <w:pPr>
        <w:pStyle w:val="ListNumber"/>
      </w:pPr>
      <w:r>
        <w:t xml:space="preserve">Vega-Estrada A, Alió JL. Keratoconus progression after ICRS implantation. </w:t>
      </w:r>
      <w:r>
        <w:rPr>
          <w:i/>
        </w:rPr>
        <w:t>Cornea</w:t>
      </w:r>
      <w:r>
        <w:t>. 2013;32(5):611–616.</w:t>
      </w:r>
    </w:p>
    <w:p>
      <w:pPr>
        <w:pStyle w:val="ListNumber"/>
      </w:pPr>
      <w:r>
        <w:t>Reis M, Sandes J. Corneal Biomechanical Vector Analysis (AVBC): Corneal Biomechanical Force Vectors for Intrastromal Ring Segment Implantation. Present volume; 2026.</w:t>
      </w:r>
    </w:p>
    <w:p>
      <w:r>
        <w:t>&lt;!-- GPT revision applied --&gt;</w:t>
      </w:r>
    </w:p>
    <w:p>
      <w:pPr>
        <w:pStyle w:val="Heading1"/>
      </w:pPr>
      <w:r>
        <w:t>Chapter 10 — Clinical Workflow: From Map to Ring</w:t>
      </w:r>
    </w:p>
    <w:p>
      <w:pPr>
        <w:pStyle w:val="BlockQuote"/>
      </w:pPr>
      <w:r>
        <w:t>**Corneal Biomechanical Vector Analysis for Intracorneal Ring Segment Planning** *Part III — From Theory to Clinical Practice*</w:t>
      </w:r>
    </w:p>
    <w:p>
      <w:pPr>
        <w:pStyle w:val="BlockQuote"/>
      </w:pPr>
      <w:r>
        <w:t>**Key Points** - The AVBC clinical workflow follows a **5-step protocol**: Data → Module O → Module T → Module B → Prescription. - Step 1: Obtain Pentacam, aberrometry, and refraction data. - Step 2: Classify optical coherence (O+, O~, O−) using the ACE index. - Step 3: Identify topographic archetype and measure MNA divergence. - Step 4: Select dominant vector(s) and compute ring parameters. - Step 5: Generate prescription with expected VR, VT, Vτ values.</w:t>
      </w:r>
    </w:p>
    <w:p>
      <w:pPr>
        <w:pStyle w:val="Heading2"/>
      </w:pPr>
      <w:r>
        <w:t>10.1 Introduction</w:t>
      </w:r>
    </w:p>
    <w:p>
      <w:r>
        <w:t>The previous chapters established the theoretical framework: the three biomechanical vectors (VR, VT, Vτ), their extraction from finite element models, their dependence on ring parameters, and the integrated AVBC classification system. The challenge now is translation — converting this framework into a reproducible clinical workflow that a corneal surgeon can apply in their office.</w:t>
      </w:r>
    </w:p>
    <w:p>
      <w:r>
        <w:t>This chapter presents the AVBC clinical protocol as a sequential decision tree. The workflow distills the trimodal assessment (O, T, B) into a series of practical steps, each supported by quantitative criteria and linked to specific examination instruments. Two practical clinical examples illustrate the protocol from initial assessment through ring selection to expected outcome estimation.</w:t>
      </w:r>
    </w:p>
    <w:p>
      <w:r>
        <w:t>The protocol is designed to be additive, not disruptive: it adds biomechanical reasoning to the existing clinical examination rather than replacing it. The surgeon who already performs Pentacam tomography, wavefront aberrometry, and clinical refraction under cycloplegia has all the data needed for AVBC assessment. The framework reorganizes and reinterprets these data within a mechanical context.</w:t>
      </w:r>
    </w:p>
    <w:p>
      <w:pPr>
        <w:pStyle w:val="Alert"/>
      </w:pPr>
      <w:r>
        <w:rPr>
          <w:b/>
          <w:sz w:val="22"/>
        </w:rPr>
        <w:t>📝 NOTE</w:t>
      </w:r>
    </w:p>
    <w:p>
      <w:pPr>
        <w:pStyle w:val="Alert"/>
      </w:pPr>
      <w:r/>
      <w:r>
        <w:rPr>
          <w:b/>
        </w:rPr>
        <w:t>For the Clinician: AVBC Pre-Operative Checklist</w:t>
      </w:r>
      <w:r>
        <w:t xml:space="preserve"> Before proceeding to the operating room, confirm you have all necessary data: - `[ ]` Manifest and cycloplegic refraction (Sphere, Cyl, Axis) - `[ ]` Scheimpflug tomography (Pentacam/Galilei) with anterior and posterior maps - `[ ]` MNA calculated (Posterior Elevation BFS 8 mm → peak meridian) - `[ ]` Wavefront aberrometry (Coma, Total HOA — 6 mm pupil) - `[ ]` Local pachymetry at the planned implant meridian (for RT_max) - `[ ]` O classification (O+, O~, O−) documented - `[ ]` Topographic Archetype (T Module) documented - `[ ]` Dominant Vector selected (VR / VT / Vτ) - `[ ]` Final ring prescription (thickness, arc, meridian, depth) verified against RT_max </w:t>
      </w:r>
      <w:r>
        <w:rPr>
          <w:b/>
        </w:rPr>
        <w:t>For the Clinician: AVBC Pre-Operative Checklist</w:t>
      </w:r>
      <w:r>
        <w:t xml:space="preserve"> Before proceeding to the operating room, confirm you have all necessary data: - `[ ]` Manifest and cycloplegic refraction (Sphere, Cyl, Axis) - `[ ]` Scheimpflug tomography (Pentacam/Galilei) with anterior and posterior maps - `[ ]` MNA calculated (Posterior Elevation BFS 8 mm → peak meridian) - `[ ]` Wavefront aberrometry (Coma, Total HOA — 6 mm pupil) - `[ ]` Local pachymetry at the planned implant meridian (for RT_max) - `[ ]` O classification (O+, O~, O−) documented - `[ ]` Topographic Archetype (T Module) documented - `[ ]` Dominant Vector selected (VR / VT / Vτ) - `[ ]` Final ring prescription (thickness, arc, meridian, depth) verified against RT_max</w:t>
      </w:r>
    </w:p>
    <w:p>
      <w:r>
        <w:t>[Figura: Figure 10.1 — AVBC clinical workflow: from the topographic map to the ring.]</w:t>
      </w:r>
    </w:p>
    <w:p>
      <w:pPr>
        <w:pStyle w:val="Heading2"/>
      </w:pPr>
      <w:r>
        <w:t>10.2 Pre-Operative Assessment: The AVBC Examination Sequence</w:t>
      </w:r>
    </w:p>
    <w:p>
      <w:pPr>
        <w:pStyle w:val="Heading3"/>
      </w:pPr>
      <w:r>
        <w:t>Step 1 — Standard Ophthalmic Examination</w:t>
      </w:r>
    </w:p>
    <w:p>
      <w:r>
        <w:t>Before any biomechanical assessment, the standard clinical evaluation must be completed:</w:t>
      </w:r>
    </w:p>
    <w:p>
      <w:pPr>
        <w:pStyle w:val="ListBullet"/>
      </w:pPr>
      <w:r/>
      <w:r>
        <w:rPr>
          <w:b/>
        </w:rPr>
        <w:t>Best-corrected visual acuity (BCVA):</w:t>
      </w:r>
      <w:r>
        <w:t xml:space="preserve"> Snellen or logMAR, with spectacle correction and rigid contact lens trial. The difference between spectacle and contact lens BCVA is a rough indicator of irregular astigmatism burden.</w:t>
      </w:r>
    </w:p>
    <w:p>
      <w:pPr>
        <w:pStyle w:val="ListBullet"/>
      </w:pPr>
      <w:r/>
      <w:r>
        <w:rPr>
          <w:b/>
        </w:rPr>
        <w:t>Manifest and cycloplegic refraction:</w:t>
      </w:r>
      <w:r>
        <w:t xml:space="preserve"> Sphere, cylinder, axis. These data feed into the Optical module.</w:t>
      </w:r>
    </w:p>
    <w:p>
      <w:pPr>
        <w:pStyle w:val="ListBullet"/>
      </w:pPr>
      <w:r/>
      <w:r>
        <w:rPr>
          <w:b/>
        </w:rPr>
        <w:t>Slit-lamp biomicroscopy:</w:t>
      </w:r>
      <w:r>
        <w:t xml:space="preserve"> Evaluate corneal clarity, Vogt striae, Fleischer ring, scarring. Significant central scarring may contraindicate ICRS or require lamellar keratoplasty.</w:t>
      </w:r>
    </w:p>
    <w:p>
      <w:pPr>
        <w:pStyle w:val="ListBullet"/>
      </w:pPr>
      <w:r/>
      <w:r>
        <w:rPr>
          <w:b/>
        </w:rPr>
        <w:t>Pachymetry at the tunnel site:</w:t>
      </w:r>
      <w:r>
        <w:t xml:space="preserve"> The minimum stromal thickness at the planned implantation radius (typically 5.0–6.0 mm from the visual axis) must exceed 400 μm to safely accommodate the ring at a depth of 70–80%. The local corneal thickness (CT) at the exact planned implantation meridian must be recorded to calculate the maximum safe ring thickness (RT_max) under the </w:t>
      </w:r>
      <w:r>
        <w:rPr>
          <w:b/>
        </w:rPr>
        <w:t>Thickness Law</w:t>
      </w:r>
      <w:r>
        <w:t>.</w:t>
      </w:r>
    </w:p>
    <w:p>
      <w:pPr>
        <w:pStyle w:val="ListBullet"/>
      </w:pPr>
      <w:r/>
      <w:r>
        <w:rPr>
          <w:b/>
        </w:rPr>
        <w:t>Intraocular pressure:</w:t>
      </w:r>
      <w:r>
        <w:t xml:space="preserve"> Goldmann or dynamic contour tonometry. IOP values inform the FEM loading condition (15 mmHg is the standard modeling assumption; significant deviations require model adjustment).</w:t>
      </w:r>
    </w:p>
    <w:p>
      <w:pPr>
        <w:pStyle w:val="Heading3"/>
      </w:pPr>
      <w:r>
        <w:t>Step 2 — Corneal Tomography (T Module Input)</w:t>
      </w:r>
    </w:p>
    <w:p>
      <w:r>
        <w:t>Scheimpflug tomography (Pentacam, Galilei, or equivalent) provides the spatial map of ectasia:</w:t>
      </w:r>
    </w:p>
    <w:p>
      <w:pPr>
        <w:pStyle w:val="ListBullet"/>
      </w:pPr>
      <w:r/>
      <w:r>
        <w:rPr>
          <w:b/>
        </w:rPr>
        <w:t>Sagittal curvature map:</w:t>
      </w:r>
      <w:r>
        <w:t xml:space="preserve"> Identify the topographic pattern — central oval, inferior nipple, paracentral crescent, peripheral D-shape, or globus.</w:t>
      </w:r>
    </w:p>
    <w:p>
      <w:pPr>
        <w:pStyle w:val="ListBullet"/>
      </w:pPr>
      <w:r/>
      <w:r>
        <w:rPr>
          <w:b/>
        </w:rPr>
        <w:t>Posterior elevation map:</w:t>
      </w:r>
      <w:r>
        <w:t xml:space="preserve"> Calculate the MNA (Mechanical Neutral Axis) — the meridian of maximum posterior elevation relative to the best-fit sphere. Record the MNA angle (°) and compare with the K-steep axis.</w:t>
      </w:r>
    </w:p>
    <w:p>
      <w:pPr>
        <w:pStyle w:val="ListBullet"/>
      </w:pPr>
      <w:r/>
      <w:r>
        <w:rPr>
          <w:b/>
        </w:rPr>
        <w:t>Thinnest point location and value:</w:t>
      </w:r>
      <w:r>
        <w:t xml:space="preserve"> The thinnest pachymetric point often correlates with the cone apex. Record its distance from the visual axis (mm) and meridian.</w:t>
      </w:r>
    </w:p>
    <w:p>
      <w:pPr>
        <w:pStyle w:val="ListBullet"/>
      </w:pPr>
      <w:r/>
      <w:r>
        <w:rPr>
          <w:b/>
        </w:rPr>
        <w:t>KMax and K-steep values:</w:t>
      </w:r>
      <w:r>
        <w:t xml:space="preserve"> Record for nomogram comparison and VR estimation.</w:t>
      </w:r>
    </w:p>
    <w:p>
      <w:r/>
      <w:r>
        <w:rPr>
          <w:b/>
        </w:rPr>
        <w:t>MNA Determination Protocol:</w:t>
      </w:r>
      <w:r/>
    </w:p>
    <w:p>
      <w:pPr>
        <w:pStyle w:val="ListNumber"/>
      </w:pPr>
      <w:r>
        <w:t>Open the posterior elevation map (4-map refractive display).</w:t>
      </w:r>
    </w:p>
    <w:p>
      <w:pPr>
        <w:pStyle w:val="ListNumber"/>
      </w:pPr>
      <w:r>
        <w:t>Select the best-fit sphere (BFS) with a diameter of 8.0 mm.</w:t>
      </w:r>
    </w:p>
    <w:p>
      <w:pPr>
        <w:pStyle w:val="ListNumber"/>
      </w:pPr>
      <w:r>
        <w:t>Identify the meridian passing through the maximum posterior elevation point.</w:t>
      </w:r>
    </w:p>
    <w:p>
      <w:pPr>
        <w:pStyle w:val="ListNumber"/>
      </w:pPr>
      <w:r>
        <w:t>Record this meridian as the MNA.</w:t>
      </w:r>
    </w:p>
    <w:p>
      <w:pPr>
        <w:pStyle w:val="ListNumber"/>
      </w:pPr>
      <w:r>
        <w:t>Compare with the K-steep axis: if |MNA − K-steep| &gt; 15°, AVBC assessment is indicated; if &gt; 45°, nomogram planning is unreliable.</w:t>
      </w:r>
    </w:p>
    <w:p>
      <w:pPr>
        <w:pStyle w:val="Heading3"/>
      </w:pPr>
      <w:r>
        <w:t>Step 3 — Wavefront Aberrometry (O Module Input)</w:t>
      </w:r>
    </w:p>
    <w:p>
      <w:r>
        <w:t>Wavefront analysis provides the optical context:</w:t>
      </w:r>
    </w:p>
    <w:p>
      <w:pPr>
        <w:pStyle w:val="ListBullet"/>
      </w:pPr>
      <w:r/>
      <w:r>
        <w:rPr>
          <w:b/>
        </w:rPr>
        <w:t>Coma RMS (6 mm pupil):</w:t>
      </w:r>
      <w:r>
        <w:t xml:space="preserve"> The primary high-order aberration in keratoconus. Values &lt; 2.50 μm are favorable; &gt; 3.50 μm are unfavorable for functional improvement with ICRS alone.</w:t>
      </w:r>
    </w:p>
    <w:p>
      <w:pPr>
        <w:pStyle w:val="ListBullet"/>
      </w:pPr>
      <w:r/>
      <w:r>
        <w:rPr>
          <w:b/>
        </w:rPr>
        <w:t>Total HOA RMS (6 mm pupil):</w:t>
      </w:r>
      <w:r>
        <w:t xml:space="preserve"> Values &lt; 2.0 μm are favorable; &gt; 4.0 μm suggest that geometric correction alone may not restore useful optics.</w:t>
      </w:r>
    </w:p>
    <w:p>
      <w:pPr>
        <w:pStyle w:val="ListBullet"/>
      </w:pPr>
      <w:r/>
      <w:r>
        <w:rPr>
          <w:b/>
        </w:rPr>
        <w:t>Axis alignment:</w:t>
      </w:r>
      <w:r>
        <w:t xml:space="preserve"> Compare refractive cylinder axis with steep topographic axis. Divergence &gt; 30° suggests the aberration profile is complex and may not respond to standard ring positioning.</w:t>
      </w:r>
    </w:p>
    <w:p>
      <w:pPr>
        <w:pStyle w:val="ListBullet"/>
      </w:pPr>
      <w:r/>
      <w:r>
        <w:rPr>
          <w:b/>
        </w:rPr>
        <w:t>Coma vector vs cone apex:</w:t>
      </w:r>
      <w:r>
        <w:t xml:space="preserve"> Determine whether the coma vector is ipsilateral (favorable) or contralateral (unfavorable) to the cone apex.</w:t>
      </w:r>
    </w:p>
    <w:p>
      <w:pPr>
        <w:pStyle w:val="Heading3"/>
      </w:pPr>
      <w:r>
        <w:t>Step 4 — Biomechanical Assessment (B Module Input)</w:t>
      </w:r>
    </w:p>
    <w:p>
      <w:r>
        <w:t>If available, direct biomechanical measurements refine the assessment:</w:t>
      </w:r>
    </w:p>
    <w:p>
      <w:pPr>
        <w:pStyle w:val="ListBullet"/>
      </w:pPr>
      <w:r/>
      <w:r>
        <w:rPr>
          <w:b/>
        </w:rPr>
        <w:t>Corvis ST:</w:t>
      </w:r>
      <w:r>
        <w:t xml:space="preserve"> Deformation amplitude, stiffness parameter (SP-A1), CBI. These provide qualitative confirmation of biomechanical compromise.</w:t>
      </w:r>
    </w:p>
    <w:p>
      <w:pPr>
        <w:pStyle w:val="ListBullet"/>
      </w:pPr>
      <w:r/>
      <w:r>
        <w:rPr>
          <w:b/>
        </w:rPr>
        <w:t>ORA:</w:t>
      </w:r>
      <w:r>
        <w:t xml:space="preserve"> CH and CRF. Reduced values support the biomechanical disease model.</w:t>
      </w:r>
    </w:p>
    <w:p>
      <w:pPr>
        <w:pStyle w:val="ListBullet"/>
      </w:pPr>
      <w:r/>
      <w:r>
        <w:rPr>
          <w:b/>
        </w:rPr>
        <w:t>Brillouin microscopy (if available):</w:t>
      </w:r>
      <w:r>
        <w:t xml:space="preserve"> Regional stiffness mapping provides the most direct assessment of material property variation.</w:t>
      </w:r>
    </w:p>
    <w:p>
      <w:r>
        <w:t>In the absence of direct biomechanical measurements — which remains the clinical reality at most centers — the AVBC framework uses topographic and tomographic surrogates: the pachymetric distribution, posterior elevation pattern, and MNA divergence serve as indirect indicators of the biomechanical state.</w:t>
      </w:r>
    </w:p>
    <w:p>
      <w:pPr>
        <w:pStyle w:val="Heading2"/>
      </w:pPr>
      <w:r>
        <w:t>10.3 O Module Classification</w:t>
      </w:r>
    </w:p>
    <w:p>
      <w:r>
        <w:t>Apply the optical criteria from Chapter 4:</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Criterion</w:t>
            </w:r>
          </w:p>
        </w:tc>
        <w:tc>
          <w:tcPr>
            <w:tcW w:type="dxa" w:w="2197"/>
          </w:tcPr>
          <w:p>
            <w:r>
              <w:rPr>
                <w:b/>
                <w:sz w:val="18"/>
              </w:rPr>
              <w:t>Favorable</w:t>
            </w:r>
          </w:p>
        </w:tc>
        <w:tc>
          <w:tcPr>
            <w:tcW w:type="dxa" w:w="2197"/>
          </w:tcPr>
          <w:p>
            <w:r>
              <w:rPr>
                <w:b/>
                <w:sz w:val="18"/>
              </w:rPr>
              <w:t>Intermediate</w:t>
            </w:r>
          </w:p>
        </w:tc>
        <w:tc>
          <w:tcPr>
            <w:tcW w:type="dxa" w:w="2197"/>
          </w:tcPr>
          <w:p>
            <w:r>
              <w:rPr>
                <w:b/>
                <w:sz w:val="18"/>
              </w:rPr>
              <w:t>Unfavorable</w:t>
            </w:r>
          </w:p>
        </w:tc>
      </w:tr>
      <w:tr>
        <w:tc>
          <w:tcPr>
            <w:tcW w:type="dxa" w:w="2197"/>
          </w:tcPr>
          <w:p>
            <w:r>
              <w:rPr>
                <w:sz w:val="18"/>
              </w:rPr>
              <w:t>Coma RMS (6 mm)</w:t>
            </w:r>
          </w:p>
        </w:tc>
        <w:tc>
          <w:tcPr>
            <w:tcW w:type="dxa" w:w="2197"/>
          </w:tcPr>
          <w:p>
            <w:r>
              <w:rPr>
                <w:sz w:val="18"/>
              </w:rPr>
              <w:t>&lt; 2.50 μm</w:t>
            </w:r>
          </w:p>
        </w:tc>
        <w:tc>
          <w:tcPr>
            <w:tcW w:type="dxa" w:w="2197"/>
          </w:tcPr>
          <w:p>
            <w:r>
              <w:rPr>
                <w:sz w:val="18"/>
              </w:rPr>
              <w:t>2.50–3.50 μm</w:t>
            </w:r>
          </w:p>
        </w:tc>
        <w:tc>
          <w:tcPr>
            <w:tcW w:type="dxa" w:w="2197"/>
          </w:tcPr>
          <w:p>
            <w:r>
              <w:rPr>
                <w:sz w:val="18"/>
              </w:rPr>
              <w:t>&gt; 3.50 μm</w:t>
            </w:r>
          </w:p>
        </w:tc>
      </w:tr>
      <w:tr>
        <w:tc>
          <w:tcPr>
            <w:tcW w:type="dxa" w:w="2197"/>
          </w:tcPr>
          <w:p>
            <w:r>
              <w:rPr>
                <w:sz w:val="18"/>
              </w:rPr>
              <w:t>Δ Axis (refraction vs K)</w:t>
            </w:r>
          </w:p>
        </w:tc>
        <w:tc>
          <w:tcPr>
            <w:tcW w:type="dxa" w:w="2197"/>
          </w:tcPr>
          <w:p>
            <w:r>
              <w:rPr>
                <w:sz w:val="18"/>
              </w:rPr>
              <w:t>&lt; 15°</w:t>
            </w:r>
          </w:p>
        </w:tc>
        <w:tc>
          <w:tcPr>
            <w:tcW w:type="dxa" w:w="2197"/>
          </w:tcPr>
          <w:p>
            <w:r>
              <w:rPr>
                <w:sz w:val="18"/>
              </w:rPr>
              <w:t>15°–30°</w:t>
            </w:r>
          </w:p>
        </w:tc>
        <w:tc>
          <w:tcPr>
            <w:tcW w:type="dxa" w:w="2197"/>
          </w:tcPr>
          <w:p>
            <w:r>
              <w:rPr>
                <w:sz w:val="18"/>
              </w:rPr>
              <w:t>&gt; 30°</w:t>
            </w:r>
          </w:p>
        </w:tc>
      </w:tr>
      <w:tr>
        <w:tc>
          <w:tcPr>
            <w:tcW w:type="dxa" w:w="2197"/>
          </w:tcPr>
          <w:p>
            <w:r>
              <w:rPr>
                <w:sz w:val="18"/>
              </w:rPr>
              <w:t>Total HOA RMS</w:t>
            </w:r>
          </w:p>
        </w:tc>
        <w:tc>
          <w:tcPr>
            <w:tcW w:type="dxa" w:w="2197"/>
          </w:tcPr>
          <w:p>
            <w:r>
              <w:rPr>
                <w:sz w:val="18"/>
              </w:rPr>
              <w:t>&lt; 2.0 μm</w:t>
            </w:r>
          </w:p>
        </w:tc>
        <w:tc>
          <w:tcPr>
            <w:tcW w:type="dxa" w:w="2197"/>
          </w:tcPr>
          <w:p>
            <w:r>
              <w:rPr>
                <w:sz w:val="18"/>
              </w:rPr>
              <w:t>2.0–4.0 μm</w:t>
            </w:r>
          </w:p>
        </w:tc>
        <w:tc>
          <w:tcPr>
            <w:tcW w:type="dxa" w:w="2197"/>
          </w:tcPr>
          <w:p>
            <w:r>
              <w:rPr>
                <w:sz w:val="18"/>
              </w:rPr>
              <w:t>&gt; 4.0 μm</w:t>
            </w:r>
          </w:p>
        </w:tc>
      </w:tr>
      <w:tr>
        <w:tc>
          <w:tcPr>
            <w:tcW w:type="dxa" w:w="2197"/>
          </w:tcPr>
          <w:p>
            <w:r>
              <w:rPr>
                <w:sz w:val="18"/>
              </w:rPr>
              <w:t>Coma vs apex</w:t>
            </w:r>
          </w:p>
        </w:tc>
        <w:tc>
          <w:tcPr>
            <w:tcW w:type="dxa" w:w="2197"/>
          </w:tcPr>
          <w:p>
            <w:r>
              <w:rPr>
                <w:sz w:val="18"/>
              </w:rPr>
              <w:t>Ipsilateral</w:t>
            </w:r>
          </w:p>
        </w:tc>
        <w:tc>
          <w:tcPr>
            <w:tcW w:type="dxa" w:w="2197"/>
          </w:tcPr>
          <w:p>
            <w:r>
              <w:rPr>
                <w:sz w:val="18"/>
              </w:rPr>
              <w:t>Ambiguous</w:t>
            </w:r>
          </w:p>
        </w:tc>
        <w:tc>
          <w:tcPr>
            <w:tcW w:type="dxa" w:w="2197"/>
          </w:tcPr>
          <w:p>
            <w:r>
              <w:rPr>
                <w:sz w:val="18"/>
              </w:rPr>
              <w:t>Contralateral</w:t>
            </w:r>
          </w:p>
        </w:tc>
      </w:tr>
    </w:tbl>
    <w:p>
      <w:r/>
      <w:r>
        <w:rPr>
          <w:b/>
        </w:rPr>
        <w:t>Classification rule:</w:t>
      </w:r>
      <w:r/>
    </w:p>
    <w:p>
      <w:pPr>
        <w:pStyle w:val="ListBullet"/>
      </w:pPr>
      <w:r/>
      <w:r>
        <w:rPr>
          <w:b/>
        </w:rPr>
        <w:t>O+</w:t>
      </w:r>
      <w:r>
        <w:t xml:space="preserve"> (≥ 3 favorable): Proceed with ICRS; expect both topographic and functional improvement.</w:t>
      </w:r>
    </w:p>
    <w:p>
      <w:pPr>
        <w:pStyle w:val="ListBullet"/>
      </w:pPr>
      <w:r/>
      <w:r>
        <w:rPr>
          <w:b/>
        </w:rPr>
        <w:t>O~</w:t>
      </w:r>
      <w:r>
        <w:t xml:space="preserve"> (mixed): Proceed, but counsel the patient that functional improvement may be partial; consider adjunctive correction.</w:t>
      </w:r>
    </w:p>
    <w:p>
      <w:pPr>
        <w:pStyle w:val="ListBullet"/>
      </w:pPr>
      <w:r/>
      <w:r>
        <w:rPr>
          <w:b/>
        </w:rPr>
        <w:t>O−</w:t>
      </w:r>
      <w:r>
        <w:t xml:space="preserve"> (≥ 3 unfavorable): ICRS may still be implanted for topographic management, but align expectations accordingly. Consider that the primary goal may be facilitating contact lens fitting rather than spectacle independence.</w:t>
      </w:r>
    </w:p>
    <w:p>
      <w:pPr>
        <w:pStyle w:val="Heading2"/>
      </w:pPr>
      <w:r>
        <w:t>10.4 T Module Classification</w:t>
      </w:r>
    </w:p>
    <w:p>
      <w:r>
        <w:t>Determine the topographic morphology and MNA:</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Morphology</w:t>
            </w:r>
          </w:p>
        </w:tc>
        <w:tc>
          <w:tcPr>
            <w:tcW w:type="dxa" w:w="2929"/>
          </w:tcPr>
          <w:p>
            <w:r>
              <w:rPr>
                <w:b/>
                <w:sz w:val="18"/>
              </w:rPr>
              <w:t>Typical MNA</w:t>
            </w:r>
          </w:p>
        </w:tc>
        <w:tc>
          <w:tcPr>
            <w:tcW w:type="dxa" w:w="2929"/>
          </w:tcPr>
          <w:p>
            <w:r>
              <w:rPr>
                <w:b/>
                <w:sz w:val="18"/>
              </w:rPr>
              <w:t>Ring Positioning Strategy</w:t>
            </w:r>
          </w:p>
        </w:tc>
      </w:tr>
      <w:tr>
        <w:tc>
          <w:tcPr>
            <w:tcW w:type="dxa" w:w="2929"/>
          </w:tcPr>
          <w:p>
            <w:r>
              <w:rPr>
                <w:sz w:val="18"/>
              </w:rPr>
              <w:t>Central oval</w:t>
            </w:r>
          </w:p>
        </w:tc>
        <w:tc>
          <w:tcPr>
            <w:tcW w:type="dxa" w:w="2929"/>
          </w:tcPr>
          <w:p>
            <w:r>
              <w:rPr>
                <w:sz w:val="18"/>
              </w:rPr>
              <w:t>Near the visual axis</w:t>
            </w:r>
          </w:p>
        </w:tc>
        <w:tc>
          <w:tcPr>
            <w:tcW w:type="dxa" w:w="2929"/>
          </w:tcPr>
          <w:p>
            <w:r>
              <w:rPr>
                <w:sz w:val="18"/>
              </w:rPr>
              <w:t>Symmetric ring, centered</w:t>
            </w:r>
          </w:p>
        </w:tc>
      </w:tr>
      <w:tr>
        <w:tc>
          <w:tcPr>
            <w:tcW w:type="dxa" w:w="2929"/>
          </w:tcPr>
          <w:p>
            <w:r>
              <w:rPr>
                <w:sz w:val="18"/>
              </w:rPr>
              <w:t>Inferior nipple</w:t>
            </w:r>
          </w:p>
        </w:tc>
        <w:tc>
          <w:tcPr>
            <w:tcW w:type="dxa" w:w="2929"/>
          </w:tcPr>
          <w:p>
            <w:r>
              <w:rPr>
                <w:sz w:val="18"/>
              </w:rPr>
              <w:t>6 o'clock</w:t>
            </w:r>
          </w:p>
        </w:tc>
        <w:tc>
          <w:tcPr>
            <w:tcW w:type="dxa" w:w="2929"/>
          </w:tcPr>
          <w:p>
            <w:r>
              <w:rPr>
                <w:sz w:val="18"/>
              </w:rPr>
              <w:t>Inferior segment, thicker inferiorly</w:t>
            </w:r>
          </w:p>
        </w:tc>
      </w:tr>
      <w:tr>
        <w:tc>
          <w:tcPr>
            <w:tcW w:type="dxa" w:w="2929"/>
          </w:tcPr>
          <w:p>
            <w:r>
              <w:rPr>
                <w:sz w:val="18"/>
              </w:rPr>
              <w:t>Paracentral crescent</w:t>
            </w:r>
          </w:p>
        </w:tc>
        <w:tc>
          <w:tcPr>
            <w:tcW w:type="dxa" w:w="2929"/>
          </w:tcPr>
          <w:p>
            <w:r>
              <w:rPr>
                <w:sz w:val="18"/>
              </w:rPr>
              <w:t>Variable, decentered</w:t>
            </w:r>
          </w:p>
        </w:tc>
        <w:tc>
          <w:tcPr>
            <w:tcW w:type="dxa" w:w="2929"/>
          </w:tcPr>
          <w:p>
            <w:r>
              <w:rPr>
                <w:sz w:val="18"/>
              </w:rPr>
              <w:t>Single segment or asymmetric pair, targeted to cone</w:t>
            </w:r>
          </w:p>
        </w:tc>
      </w:tr>
      <w:tr>
        <w:tc>
          <w:tcPr>
            <w:tcW w:type="dxa" w:w="2929"/>
          </w:tcPr>
          <w:p>
            <w:r>
              <w:rPr>
                <w:sz w:val="18"/>
              </w:rPr>
              <w:t>Peripheral D-shape</w:t>
            </w:r>
          </w:p>
        </w:tc>
        <w:tc>
          <w:tcPr>
            <w:tcW w:type="dxa" w:w="2929"/>
          </w:tcPr>
          <w:p>
            <w:r>
              <w:rPr>
                <w:sz w:val="18"/>
              </w:rPr>
              <w:t>Peripheral, &gt; 2 mm from axis</w:t>
            </w:r>
          </w:p>
        </w:tc>
        <w:tc>
          <w:tcPr>
            <w:tcW w:type="dxa" w:w="2929"/>
          </w:tcPr>
          <w:p>
            <w:r>
              <w:rPr>
                <w:sz w:val="18"/>
              </w:rPr>
              <w:t>Wide arc or two segments</w:t>
            </w:r>
          </w:p>
        </w:tc>
      </w:tr>
      <w:tr>
        <w:tc>
          <w:tcPr>
            <w:tcW w:type="dxa" w:w="2929"/>
          </w:tcPr>
          <w:p>
            <w:r>
              <w:rPr>
                <w:sz w:val="18"/>
              </w:rPr>
              <w:t>Globus (KMax &gt; 60 D)</w:t>
            </w:r>
          </w:p>
        </w:tc>
        <w:tc>
          <w:tcPr>
            <w:tcW w:type="dxa" w:w="2929"/>
          </w:tcPr>
          <w:p>
            <w:r>
              <w:rPr>
                <w:sz w:val="18"/>
              </w:rPr>
              <w:t>—</w:t>
            </w:r>
          </w:p>
        </w:tc>
        <w:tc>
          <w:tcPr>
            <w:tcW w:type="dxa" w:w="2929"/>
          </w:tcPr>
          <w:p>
            <w:r>
              <w:rPr>
                <w:sz w:val="18"/>
              </w:rPr>
              <w:t>**Structural stabilization / CL tolerance (up to 85 D)**</w:t>
            </w:r>
          </w:p>
        </w:tc>
      </w:tr>
    </w:tbl>
    <w:p>
      <w:r>
        <w:t>Record MNA divergence: |MNA − K-steep|.</w:t>
      </w:r>
    </w:p>
    <w:p>
      <w:pPr>
        <w:pStyle w:val="Heading2"/>
      </w:pPr>
      <w:r>
        <w:t>10.5 B Module: Vector Selection</w:t>
      </w:r>
    </w:p>
    <w:p>
      <w:r>
        <w:t>Based on the clinical need identified through Modules O and T, determine the dominant vector:</w:t>
      </w:r>
    </w:p>
    <w:p>
      <w:r/>
      <w:r>
        <w:rPr>
          <w:b/>
        </w:rPr>
        <w:t>Decision tree:</w:t>
      </w:r>
      <w:r/>
    </w:p>
    <w:p>
      <w:pPr>
        <w:pStyle w:val="ListNumber"/>
      </w:pPr>
      <w:r/>
      <w:r>
        <w:rPr>
          <w:b/>
        </w:rPr>
        <w:t>Is the primary need flattening (high K-steep, aligned astigmatism)?</w:t>
      </w:r>
      <w:r/>
    </w:p>
    <w:p>
      <w:r>
        <w:t xml:space="preserve">→ </w:t>
      </w:r>
      <w:r>
        <w:rPr>
          <w:b/>
        </w:rPr>
        <w:t>VR dominant</w:t>
      </w:r>
      <w:r>
        <w:t xml:space="preserve"> → Increase ring </w:t>
      </w:r>
      <w:r>
        <w:rPr>
          <w:b/>
        </w:rPr>
        <w:t>thickness</w:t>
      </w:r>
      <w:r>
        <w:t xml:space="preserve"> (300–400 μm). Arc length secondary.</w:t>
      </w:r>
    </w:p>
    <w:p>
      <w:pPr>
        <w:pStyle w:val="ListNumber"/>
      </w:pPr>
      <w:r/>
      <w:r>
        <w:rPr>
          <w:b/>
        </w:rPr>
        <w:t>Is the primary need astigmatism regularization (high irregular Cyl, MNA ≠ K-steep)?</w:t>
      </w:r>
      <w:r/>
    </w:p>
    <w:p>
      <w:r>
        <w:t xml:space="preserve">→ </w:t>
      </w:r>
      <w:r>
        <w:rPr>
          <w:b/>
        </w:rPr>
        <w:t>VT dominant</w:t>
      </w:r>
      <w:r>
        <w:t xml:space="preserve"> → Increase </w:t>
      </w:r>
      <w:r>
        <w:rPr>
          <w:b/>
        </w:rPr>
        <w:t>arc length</w:t>
      </w:r>
      <w:r>
        <w:t xml:space="preserve"> (160°–320°). Thickness secondary.</w:t>
      </w:r>
    </w:p>
    <w:p>
      <w:pPr>
        <w:pStyle w:val="ListNumber"/>
      </w:pPr>
      <w:r/>
      <w:r>
        <w:rPr>
          <w:b/>
        </w:rPr>
        <w:t>Is the primary need apex repositioning (apex &gt; 1 mm from visual axis, high coma)?</w:t>
      </w:r>
      <w:r/>
    </w:p>
    <w:p>
      <w:r>
        <w:t xml:space="preserve">→ </w:t>
      </w:r>
      <w:r>
        <w:rPr>
          <w:b/>
        </w:rPr>
        <w:t>Vτ dominant</w:t>
      </w:r>
      <w:r>
        <w:t xml:space="preserve"> → Use </w:t>
      </w:r>
      <w:r>
        <w:rPr>
          <w:b/>
        </w:rPr>
        <w:t>asymmetric ring</w:t>
      </w:r>
      <w:r>
        <w:t xml:space="preserve"> (progressive thickness profile), oriented along MNA.</w:t>
      </w:r>
    </w:p>
    <w:p>
      <w:pPr>
        <w:pStyle w:val="ListNumber"/>
      </w:pPr>
      <w:r/>
      <w:r>
        <w:rPr>
          <w:b/>
        </w:rPr>
        <w:t>Is the primary need stabilization (progressive ectasia)?</w:t>
      </w:r>
      <w:r/>
    </w:p>
    <w:p>
      <w:r>
        <w:t xml:space="preserve">→ </w:t>
      </w:r>
      <w:r>
        <w:rPr>
          <w:b/>
        </w:rPr>
        <w:t>VR + VT combined</w:t>
      </w:r>
      <w:r>
        <w:t xml:space="preserve"> → Perform </w:t>
      </w:r>
      <w:r>
        <w:rPr>
          <w:b/>
        </w:rPr>
        <w:t>CXL first</w:t>
      </w:r>
      <w:r>
        <w:t xml:space="preserve"> (3–6 month interval), then ICRS.</w:t>
      </w:r>
    </w:p>
    <w:p>
      <w:pPr>
        <w:pStyle w:val="ListNumber"/>
      </w:pPr>
      <w:r/>
      <w:r>
        <w:rPr>
          <w:b/>
        </w:rPr>
        <w:t>Multiple needs?</w:t>
      </w:r>
      <w:r/>
    </w:p>
    <w:p>
      <w:r>
        <w:t>→ Prioritize by clinical urgency. Typically: stabilize first, then regularize, then flatten.</w:t>
      </w:r>
    </w:p>
    <w:p>
      <w:pPr>
        <w:pStyle w:val="Alert"/>
      </w:pPr>
      <w:r>
        <w:rPr>
          <w:b/>
          <w:sz w:val="22"/>
        </w:rPr>
        <w:t>💡 TIP</w:t>
      </w:r>
    </w:p>
    <w:p>
      <w:pPr>
        <w:pStyle w:val="Alert"/>
      </w:pPr>
      <w:r/>
      <w:r>
        <w:rPr>
          <w:b/>
        </w:rPr>
        <w:t>For the Clinician: The 3-Vector Rule in 3 Questions</w:t>
      </w:r>
      <w:r>
        <w:t xml:space="preserve"> Before opening the ring catalog, answer these 3 questions in sequence: 1. </w:t>
      </w:r>
      <w:r>
        <w:rPr>
          <w:b/>
        </w:rPr>
        <w:t>"Does my patient primarily need to reduce myopia?"</w:t>
      </w:r>
      <w:r>
        <w:t xml:space="preserve"> → VR → Thickness. 2. </w:t>
      </w:r>
      <w:r>
        <w:rPr>
          <w:b/>
        </w:rPr>
        <w:t>"Does my patient primarily need to eliminate irregular astigmatism?"</w:t>
      </w:r>
      <w:r>
        <w:t xml:space="preserve"> → VT → Long Arc. 3. </w:t>
      </w:r>
      <w:r>
        <w:rPr>
          <w:b/>
        </w:rPr>
        <w:t>"Does my patient primarily need to center a displaced cone?"</w:t>
      </w:r>
      <w:r>
        <w:t xml:space="preserve"> → Vτ → Progressive Ring.  Most patients have more than one need. Prioritize the dominant vector and adjust the others as secondary modulators. </w:t>
      </w:r>
      <w:r>
        <w:rPr>
          <w:b/>
        </w:rPr>
        <w:t>For the Clinician: The 3-Vector Rule in 3 Questions</w:t>
      </w:r>
      <w:r>
        <w:t xml:space="preserve"> Before opening the ring catalog, answer these 3 questions in sequence: 1. </w:t>
      </w:r>
      <w:r>
        <w:rPr>
          <w:b/>
        </w:rPr>
        <w:t>"Does my patient primarily need to reduce myopia?"</w:t>
      </w:r>
      <w:r>
        <w:t xml:space="preserve"> → VR → Thickness. 2. </w:t>
      </w:r>
      <w:r>
        <w:rPr>
          <w:b/>
        </w:rPr>
        <w:t>"Does my patient primarily need to eliminate irregular astigmatism?"</w:t>
      </w:r>
      <w:r>
        <w:t xml:space="preserve"> → VT → Long Arc. 3. </w:t>
      </w:r>
      <w:r>
        <w:rPr>
          <w:b/>
        </w:rPr>
        <w:t>"Does my patient primarily need to center a displaced cone?"</w:t>
      </w:r>
      <w:r>
        <w:t xml:space="preserve"> → Vτ → Progressive Ring.  Most patients have more than one need. Prioritize the dominant vector and adjust the others as secondary modulators.</w:t>
      </w:r>
    </w:p>
    <w:p>
      <w:pPr>
        <w:pStyle w:val="Heading2"/>
      </w:pPr>
      <w:r>
        <w:t>10.6 Ring Prescription</w:t>
      </w:r>
    </w:p>
    <w:p>
      <w:r>
        <w:t>With the dominant vector identified, translate to ring parameters:</w:t>
      </w:r>
    </w:p>
    <w:p>
      <w:pPr>
        <w:pStyle w:val="Heading3"/>
      </w:pPr>
      <w:r>
        <w:t>VR-Dominant Prescription</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Parameter</w:t>
            </w:r>
          </w:p>
        </w:tc>
        <w:tc>
          <w:tcPr>
            <w:tcW w:type="dxa" w:w="2929"/>
          </w:tcPr>
          <w:p>
            <w:r>
              <w:rPr>
                <w:b/>
                <w:sz w:val="18"/>
              </w:rPr>
              <w:t>Value</w:t>
            </w:r>
          </w:p>
        </w:tc>
        <w:tc>
          <w:tcPr>
            <w:tcW w:type="dxa" w:w="2929"/>
          </w:tcPr>
          <w:p>
            <w:r>
              <w:rPr>
                <w:b/>
                <w:sz w:val="18"/>
              </w:rPr>
              <w:t>Rationale</w:t>
            </w:r>
          </w:p>
        </w:tc>
      </w:tr>
      <w:tr>
        <w:tc>
          <w:tcPr>
            <w:tcW w:type="dxa" w:w="2929"/>
          </w:tcPr>
          <w:p>
            <w:r>
              <w:rPr>
                <w:sz w:val="18"/>
              </w:rPr>
              <w:t>Thickness</w:t>
            </w:r>
          </w:p>
        </w:tc>
        <w:tc>
          <w:tcPr>
            <w:tcW w:type="dxa" w:w="2929"/>
          </w:tcPr>
          <w:p>
            <w:r>
              <w:rPr>
                <w:sz w:val="18"/>
              </w:rPr>
              <w:t>250–400 μm (proportional to desired ΔK)</w:t>
            </w:r>
          </w:p>
        </w:tc>
        <w:tc>
          <w:tcPr>
            <w:tcW w:type="dxa" w:w="2929"/>
          </w:tcPr>
          <w:p>
            <w:r>
              <w:rPr>
                <w:sz w:val="18"/>
              </w:rPr>
              <w:t>VR scales with volume; **strictly subject to RT_max ≤ CT × 0.60**</w:t>
            </w:r>
          </w:p>
        </w:tc>
      </w:tr>
      <w:tr>
        <w:tc>
          <w:tcPr>
            <w:tcW w:type="dxa" w:w="2929"/>
          </w:tcPr>
          <w:p>
            <w:r>
              <w:rPr>
                <w:sz w:val="18"/>
              </w:rPr>
              <w:t>Arc length</w:t>
            </w:r>
          </w:p>
        </w:tc>
        <w:tc>
          <w:tcPr>
            <w:tcW w:type="dxa" w:w="2929"/>
          </w:tcPr>
          <w:p>
            <w:r>
              <w:rPr>
                <w:sz w:val="18"/>
              </w:rPr>
              <w:t>120°–160° (standard)</w:t>
            </w:r>
          </w:p>
        </w:tc>
        <w:tc>
          <w:tcPr>
            <w:tcW w:type="dxa" w:w="2929"/>
          </w:tcPr>
          <w:p>
            <w:r>
              <w:rPr>
                <w:sz w:val="18"/>
              </w:rPr>
              <w:t>Arc length does not modulate VR</w:t>
            </w:r>
          </w:p>
        </w:tc>
      </w:tr>
      <w:tr>
        <w:tc>
          <w:tcPr>
            <w:tcW w:type="dxa" w:w="2929"/>
          </w:tcPr>
          <w:p>
            <w:r>
              <w:rPr>
                <w:sz w:val="18"/>
              </w:rPr>
              <w:t>Profile</w:t>
            </w:r>
          </w:p>
        </w:tc>
        <w:tc>
          <w:tcPr>
            <w:tcW w:type="dxa" w:w="2929"/>
          </w:tcPr>
          <w:p>
            <w:r>
              <w:rPr>
                <w:sz w:val="18"/>
              </w:rPr>
              <w:t>Symmetric</w:t>
            </w:r>
          </w:p>
        </w:tc>
        <w:tc>
          <w:tcPr>
            <w:tcW w:type="dxa" w:w="2929"/>
          </w:tcPr>
          <w:p>
            <w:r>
              <w:rPr>
                <w:sz w:val="18"/>
              </w:rPr>
              <w:t>No torque needed</w:t>
            </w:r>
          </w:p>
        </w:tc>
      </w:tr>
      <w:tr>
        <w:tc>
          <w:tcPr>
            <w:tcW w:type="dxa" w:w="2929"/>
          </w:tcPr>
          <w:p>
            <w:r>
              <w:rPr>
                <w:sz w:val="18"/>
              </w:rPr>
              <w:t>Depth</w:t>
            </w:r>
          </w:p>
        </w:tc>
        <w:tc>
          <w:tcPr>
            <w:tcW w:type="dxa" w:w="2929"/>
          </w:tcPr>
          <w:p>
            <w:r>
              <w:rPr>
                <w:sz w:val="18"/>
              </w:rPr>
              <w:t>70–80% of pachymetry</w:t>
            </w:r>
          </w:p>
        </w:tc>
        <w:tc>
          <w:tcPr>
            <w:tcW w:type="dxa" w:w="2929"/>
          </w:tcPr>
          <w:p>
            <w:r>
              <w:rPr>
                <w:sz w:val="18"/>
              </w:rPr>
              <w:t>Amplifies VR</w:t>
            </w:r>
          </w:p>
        </w:tc>
      </w:tr>
      <w:tr>
        <w:tc>
          <w:tcPr>
            <w:tcW w:type="dxa" w:w="2929"/>
          </w:tcPr>
          <w:p>
            <w:r>
              <w:rPr>
                <w:sz w:val="18"/>
              </w:rPr>
              <w:t>Meridian</w:t>
            </w:r>
          </w:p>
        </w:tc>
        <w:tc>
          <w:tcPr>
            <w:tcW w:type="dxa" w:w="2929"/>
          </w:tcPr>
          <w:p>
            <w:r>
              <w:rPr>
                <w:sz w:val="18"/>
              </w:rPr>
              <w:t>K-steep axis</w:t>
            </w:r>
          </w:p>
        </w:tc>
        <w:tc>
          <w:tcPr>
            <w:tcW w:type="dxa" w:w="2929"/>
          </w:tcPr>
          <w:p>
            <w:r>
              <w:rPr>
                <w:sz w:val="18"/>
              </w:rPr>
              <w:t>When MNA ≈ K-steep</w:t>
            </w:r>
          </w:p>
        </w:tc>
      </w:tr>
    </w:tbl>
    <w:p>
      <w:r/>
      <w:r>
        <w:rPr>
          <w:b/>
        </w:rPr>
        <w:t>Expected VR effect:</w:t>
      </w:r>
      <w:r>
        <w:t xml:space="preserve"> Our FEM models show a central VR of 19.2–19.9 μm for partial arcs with standard geometry. Clinical translation: ΔK ≈ 2–4 D, depending on thickness and patient-specific biomechanics.</w:t>
      </w:r>
    </w:p>
    <w:p>
      <w:pPr>
        <w:pStyle w:val="Heading3"/>
      </w:pPr>
      <w:r>
        <w:t>VT-Dominant Prescription</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Parameter</w:t>
            </w:r>
          </w:p>
        </w:tc>
        <w:tc>
          <w:tcPr>
            <w:tcW w:type="dxa" w:w="2929"/>
          </w:tcPr>
          <w:p>
            <w:r>
              <w:rPr>
                <w:b/>
                <w:sz w:val="18"/>
              </w:rPr>
              <w:t>Value</w:t>
            </w:r>
          </w:p>
        </w:tc>
        <w:tc>
          <w:tcPr>
            <w:tcW w:type="dxa" w:w="2929"/>
          </w:tcPr>
          <w:p>
            <w:r>
              <w:rPr>
                <w:b/>
                <w:sz w:val="18"/>
              </w:rPr>
              <w:t>Rationale</w:t>
            </w:r>
          </w:p>
        </w:tc>
      </w:tr>
      <w:tr>
        <w:tc>
          <w:tcPr>
            <w:tcW w:type="dxa" w:w="2929"/>
          </w:tcPr>
          <w:p>
            <w:r>
              <w:rPr>
                <w:sz w:val="18"/>
              </w:rPr>
              <w:t>Thickness</w:t>
            </w:r>
          </w:p>
        </w:tc>
        <w:tc>
          <w:tcPr>
            <w:tcW w:type="dxa" w:w="2929"/>
          </w:tcPr>
          <w:p>
            <w:r>
              <w:rPr>
                <w:sz w:val="18"/>
              </w:rPr>
              <w:t>150–250 μm (moderate)</w:t>
            </w:r>
          </w:p>
        </w:tc>
        <w:tc>
          <w:tcPr>
            <w:tcW w:type="dxa" w:w="2929"/>
          </w:tcPr>
          <w:p>
            <w:r>
              <w:rPr>
                <w:sz w:val="18"/>
              </w:rPr>
              <w:t>VR is secondary; **strictly subject to RT_max ≤ CT × 0.60**</w:t>
            </w:r>
          </w:p>
        </w:tc>
      </w:tr>
      <w:tr>
        <w:tc>
          <w:tcPr>
            <w:tcW w:type="dxa" w:w="2929"/>
          </w:tcPr>
          <w:p>
            <w:r>
              <w:rPr>
                <w:sz w:val="18"/>
              </w:rPr>
              <w:t>Arc length</w:t>
            </w:r>
          </w:p>
        </w:tc>
        <w:tc>
          <w:tcPr>
            <w:tcW w:type="dxa" w:w="2929"/>
          </w:tcPr>
          <w:p>
            <w:r>
              <w:rPr>
                <w:sz w:val="18"/>
              </w:rPr>
              <w:t>210°–320° (long arc)</w:t>
            </w:r>
          </w:p>
        </w:tc>
        <w:tc>
          <w:tcPr>
            <w:tcW w:type="dxa" w:w="2929"/>
          </w:tcPr>
          <w:p>
            <w:r>
              <w:rPr>
                <w:sz w:val="18"/>
              </w:rPr>
              <w:t>VT equation: each degree reduces σ_θθ by 0.0018 kPa</w:t>
            </w:r>
          </w:p>
        </w:tc>
      </w:tr>
      <w:tr>
        <w:tc>
          <w:tcPr>
            <w:tcW w:type="dxa" w:w="2929"/>
          </w:tcPr>
          <w:p>
            <w:r>
              <w:rPr>
                <w:sz w:val="18"/>
              </w:rPr>
              <w:t>Profile</w:t>
            </w:r>
          </w:p>
        </w:tc>
        <w:tc>
          <w:tcPr>
            <w:tcW w:type="dxa" w:w="2929"/>
          </w:tcPr>
          <w:p>
            <w:r>
              <w:rPr>
                <w:sz w:val="18"/>
              </w:rPr>
              <w:t>Symmetric</w:t>
            </w:r>
          </w:p>
        </w:tc>
        <w:tc>
          <w:tcPr>
            <w:tcW w:type="dxa" w:w="2929"/>
          </w:tcPr>
          <w:p>
            <w:r>
              <w:rPr>
                <w:sz w:val="18"/>
              </w:rPr>
              <w:t>Unless Vτ is also needed</w:t>
            </w:r>
          </w:p>
        </w:tc>
      </w:tr>
      <w:tr>
        <w:tc>
          <w:tcPr>
            <w:tcW w:type="dxa" w:w="2929"/>
          </w:tcPr>
          <w:p>
            <w:r>
              <w:rPr>
                <w:sz w:val="18"/>
              </w:rPr>
              <w:t>Depth</w:t>
            </w:r>
          </w:p>
        </w:tc>
        <w:tc>
          <w:tcPr>
            <w:tcW w:type="dxa" w:w="2929"/>
          </w:tcPr>
          <w:p>
            <w:r>
              <w:rPr>
                <w:sz w:val="18"/>
              </w:rPr>
              <w:t>70–75% of pachymetry</w:t>
            </w:r>
          </w:p>
        </w:tc>
        <w:tc>
          <w:tcPr>
            <w:tcW w:type="dxa" w:w="2929"/>
          </w:tcPr>
          <w:p>
            <w:r>
              <w:rPr>
                <w:sz w:val="18"/>
              </w:rPr>
              <w:t>Moderate depth sufficient</w:t>
            </w:r>
          </w:p>
        </w:tc>
      </w:tr>
      <w:tr>
        <w:tc>
          <w:tcPr>
            <w:tcW w:type="dxa" w:w="2929"/>
          </w:tcPr>
          <w:p>
            <w:r>
              <w:rPr>
                <w:sz w:val="18"/>
              </w:rPr>
              <w:t>Meridian</w:t>
            </w:r>
          </w:p>
        </w:tc>
        <w:tc>
          <w:tcPr>
            <w:tcW w:type="dxa" w:w="2929"/>
          </w:tcPr>
          <w:p>
            <w:r>
              <w:rPr>
                <w:sz w:val="18"/>
              </w:rPr>
              <w:t>MNA axis</w:t>
            </w:r>
          </w:p>
        </w:tc>
        <w:tc>
          <w:tcPr>
            <w:tcW w:type="dxa" w:w="2929"/>
          </w:tcPr>
          <w:p>
            <w:r>
              <w:rPr>
                <w:sz w:val="18"/>
              </w:rPr>
              <w:t>Targeted to the zone of maximum biomechanical deformation</w:t>
            </w:r>
          </w:p>
        </w:tc>
      </w:tr>
    </w:tbl>
    <w:p>
      <w:r/>
      <w:r>
        <w:rPr>
          <w:b/>
        </w:rPr>
        <w:t>Expected VT effect:</w:t>
      </w:r>
      <w:r>
        <w:t xml:space="preserve"> VT(210°) = 7.39 kPa; VT(320°) = 7.20 kPa. Longer arcs produce more regularization, following the linear relationship VT(arc°) = −0.0018 × arc° + 7.79.</w:t>
      </w:r>
    </w:p>
    <w:p>
      <w:pPr>
        <w:pStyle w:val="Heading3"/>
      </w:pPr>
      <w:r>
        <w:t>Vτ-Dominant Prescription</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Parameter</w:t>
            </w:r>
          </w:p>
        </w:tc>
        <w:tc>
          <w:tcPr>
            <w:tcW w:type="dxa" w:w="2929"/>
          </w:tcPr>
          <w:p>
            <w:r>
              <w:rPr>
                <w:b/>
                <w:sz w:val="18"/>
              </w:rPr>
              <w:t>Value</w:t>
            </w:r>
          </w:p>
        </w:tc>
        <w:tc>
          <w:tcPr>
            <w:tcW w:type="dxa" w:w="2929"/>
          </w:tcPr>
          <w:p>
            <w:r>
              <w:rPr>
                <w:b/>
                <w:sz w:val="18"/>
              </w:rPr>
              <w:t>Rationale</w:t>
            </w:r>
          </w:p>
        </w:tc>
      </w:tr>
      <w:tr>
        <w:tc>
          <w:tcPr>
            <w:tcW w:type="dxa" w:w="2929"/>
          </w:tcPr>
          <w:p>
            <w:r>
              <w:rPr>
                <w:sz w:val="18"/>
              </w:rPr>
              <w:t>Thickness profile</w:t>
            </w:r>
          </w:p>
        </w:tc>
        <w:tc>
          <w:tcPr>
            <w:tcW w:type="dxa" w:w="2929"/>
          </w:tcPr>
          <w:p>
            <w:r>
              <w:rPr>
                <w:sz w:val="18"/>
              </w:rPr>
              <w:t>Progressive (e.g., 300→150 μm)</w:t>
            </w:r>
          </w:p>
        </w:tc>
        <w:tc>
          <w:tcPr>
            <w:tcW w:type="dxa" w:w="2929"/>
          </w:tcPr>
          <w:p>
            <w:r>
              <w:rPr>
                <w:sz w:val="18"/>
              </w:rPr>
              <w:t>Generates asymmetric force couple; **maximum thickness strictly subject to RT_max ≤ CT × 0.60**</w:t>
            </w:r>
          </w:p>
        </w:tc>
      </w:tr>
      <w:tr>
        <w:tc>
          <w:tcPr>
            <w:tcW w:type="dxa" w:w="2929"/>
          </w:tcPr>
          <w:p>
            <w:r>
              <w:rPr>
                <w:sz w:val="18"/>
              </w:rPr>
              <w:t>Arc length</w:t>
            </w:r>
          </w:p>
        </w:tc>
        <w:tc>
          <w:tcPr>
            <w:tcW w:type="dxa" w:w="2929"/>
          </w:tcPr>
          <w:p>
            <w:r>
              <w:rPr>
                <w:sz w:val="18"/>
              </w:rPr>
              <w:t>160°–210°</w:t>
            </w:r>
          </w:p>
        </w:tc>
        <w:tc>
          <w:tcPr>
            <w:tcW w:type="dxa" w:w="2929"/>
          </w:tcPr>
          <w:p>
            <w:r>
              <w:rPr>
                <w:sz w:val="18"/>
              </w:rPr>
              <w:t>Sufficient for torque generation</w:t>
            </w:r>
          </w:p>
        </w:tc>
      </w:tr>
      <w:tr>
        <w:tc>
          <w:tcPr>
            <w:tcW w:type="dxa" w:w="2929"/>
          </w:tcPr>
          <w:p>
            <w:r>
              <w:rPr>
                <w:sz w:val="18"/>
              </w:rPr>
              <w:t>Profile</w:t>
            </w:r>
          </w:p>
        </w:tc>
        <w:tc>
          <w:tcPr>
            <w:tcW w:type="dxa" w:w="2929"/>
          </w:tcPr>
          <w:p>
            <w:r>
              <w:rPr>
                <w:sz w:val="18"/>
              </w:rPr>
              <w:t>Asymmetric (progressive)</w:t>
            </w:r>
          </w:p>
        </w:tc>
        <w:tc>
          <w:tcPr>
            <w:tcW w:type="dxa" w:w="2929"/>
          </w:tcPr>
          <w:p>
            <w:r>
              <w:rPr>
                <w:sz w:val="18"/>
              </w:rPr>
              <w:t>Essential for Vτ</w:t>
            </w:r>
          </w:p>
        </w:tc>
      </w:tr>
      <w:tr>
        <w:tc>
          <w:tcPr>
            <w:tcW w:type="dxa" w:w="2929"/>
          </w:tcPr>
          <w:p>
            <w:r>
              <w:rPr>
                <w:sz w:val="18"/>
              </w:rPr>
              <w:t>Depth</w:t>
            </w:r>
          </w:p>
        </w:tc>
        <w:tc>
          <w:tcPr>
            <w:tcW w:type="dxa" w:w="2929"/>
          </w:tcPr>
          <w:p>
            <w:r>
              <w:rPr>
                <w:sz w:val="18"/>
              </w:rPr>
              <w:t>70–80% of pachymetry</w:t>
            </w:r>
          </w:p>
        </w:tc>
        <w:tc>
          <w:tcPr>
            <w:tcW w:type="dxa" w:w="2929"/>
          </w:tcPr>
          <w:p>
            <w:r>
              <w:rPr>
                <w:sz w:val="18"/>
              </w:rPr>
              <w:t>Amplifies torque</w:t>
            </w:r>
          </w:p>
        </w:tc>
      </w:tr>
      <w:tr>
        <w:tc>
          <w:tcPr>
            <w:tcW w:type="dxa" w:w="2929"/>
          </w:tcPr>
          <w:p>
            <w:r>
              <w:rPr>
                <w:sz w:val="18"/>
              </w:rPr>
              <w:t>Meridian</w:t>
            </w:r>
          </w:p>
        </w:tc>
        <w:tc>
          <w:tcPr>
            <w:tcW w:type="dxa" w:w="2929"/>
          </w:tcPr>
          <w:p>
            <w:r>
              <w:rPr>
                <w:sz w:val="18"/>
              </w:rPr>
              <w:t>MNA axis</w:t>
            </w:r>
          </w:p>
        </w:tc>
        <w:tc>
          <w:tcPr>
            <w:tcW w:type="dxa" w:w="2929"/>
          </w:tcPr>
          <w:p>
            <w:r>
              <w:rPr>
                <w:sz w:val="18"/>
              </w:rPr>
              <w:t>Vτ direction should steer apex toward visual axis</w:t>
            </w:r>
          </w:p>
        </w:tc>
      </w:tr>
    </w:tbl>
    <w:p>
      <w:r/>
      <w:r>
        <w:rPr>
          <w:b/>
        </w:rPr>
        <w:t>Orientation rule:</w:t>
      </w:r>
      <w:r>
        <w:t xml:space="preserve"> The thicker end of the progressive ring is placed </w:t>
      </w:r>
      <w:r>
        <w:rPr>
          <w:i/>
        </w:rPr>
        <w:t>on the same side as the cone</w:t>
      </w:r>
      <w:r>
        <w:t xml:space="preserve"> — the apex migrates </w:t>
      </w:r>
      <w:r>
        <w:rPr>
          <w:i/>
        </w:rPr>
        <w:t>away</w:t>
      </w:r>
      <w:r>
        <w:t xml:space="preserve"> from the thickest segment because the force couple generated by asymmetric thickness creates a bending moment that directs displacement toward the region of lesser restriction.</w:t>
      </w:r>
    </w:p>
    <w:p>
      <w:pPr>
        <w:pStyle w:val="Alert"/>
      </w:pPr>
      <w:r>
        <w:rPr>
          <w:b/>
          <w:sz w:val="22"/>
        </w:rPr>
        <w:t>🔴 CAUTION</w:t>
      </w:r>
    </w:p>
    <w:p>
      <w:pPr>
        <w:pStyle w:val="Alert"/>
      </w:pPr>
      <w:r/>
      <w:r>
        <w:rPr>
          <w:b/>
        </w:rPr>
        <w:t>For the Clinician: Don't Invert the Progressive Ring!</w:t>
      </w:r>
      <w:r>
        <w:t xml:space="preserve"> In a progressive-thickness ring (e.g., 300→150 µm), the thick end must be placed on the </w:t>
      </w:r>
      <w:r>
        <w:rPr>
          <w:b/>
        </w:rPr>
        <w:t>same side as the cone</w:t>
      </w:r>
      <w:r>
        <w:t xml:space="preserve"> (not the opposite side!). The volume gradient pushes the cone </w:t>
      </w:r>
      <w:r>
        <w:rPr>
          <w:b/>
        </w:rPr>
        <w:t>away from the thickest segment</w:t>
      </w:r>
      <w:r>
        <w:t xml:space="preserve">. Therefore: - Inferior cone → thick end inferiorly → cone migrates upward (centralizes). - If you accidentally invert the ring, the cone will be displaced further downward! Always verify orientation under the microscope before closing the tunnel. </w:t>
      </w:r>
      <w:r>
        <w:rPr>
          <w:b/>
        </w:rPr>
        <w:t>For the Clinician: Don't Invert the Progressive Ring!</w:t>
      </w:r>
      <w:r>
        <w:t xml:space="preserve"> In a progressive-thickness ring (e.g., 300→150 µm), the thick end must be placed on the </w:t>
      </w:r>
      <w:r>
        <w:rPr>
          <w:b/>
        </w:rPr>
        <w:t>same side as the cone</w:t>
      </w:r>
      <w:r>
        <w:t xml:space="preserve"> (not the opposite side!). The volume gradient pushes the cone </w:t>
      </w:r>
      <w:r>
        <w:rPr>
          <w:b/>
        </w:rPr>
        <w:t>away from the thickest segment</w:t>
      </w:r>
      <w:r>
        <w:t>. Therefore: - Inferior cone → thick end inferiorly → cone migrates upward (centralizes). - If you accidentally invert the ring, the cone will be displaced further downward! Always verify orientation under the microscope before closing the tunnel.</w:t>
      </w:r>
    </w:p>
    <w:p>
      <w:pPr>
        <w:pStyle w:val="Heading3"/>
      </w:pPr>
      <w:r>
        <w:t>10.6.4 The Relative Thickness Law (Thickness Law)</w:t>
      </w:r>
    </w:p>
    <w:p>
      <w:r>
        <w:t xml:space="preserve">To prevent stromal bridge collapse, melting, localized mechanical necrosis, or pressure-induced extrusion, the AVBC protocol implements a strict safety law validated by 60 high-fidelity finite element simulations. The </w:t>
      </w:r>
      <w:r>
        <w:rPr>
          <w:b/>
        </w:rPr>
        <w:t>Relative Thickness Law (Thickness Law)</w:t>
      </w:r>
      <w:r>
        <w:t xml:space="preserve"> dictates that the maximum safe ring thickness (RT_max) is strictly limited by the local corneal thickness (CT) at the exact meridian of the implantation plan:</w:t>
      </w:r>
    </w:p>
    <w:p>
      <w:r>
        <w:t>RT_max ≤ CT × 0.60</w:t>
      </w:r>
    </w:p>
    <w:p>
      <w:r>
        <w:t>This proportionality rule ensures that a minimum of 40% of the local corneal thickness is preserved as a load-bearing stromal bridge over the implant. The safety limit varies slightly based on the specific segment geometric profile:</w:t>
      </w:r>
    </w:p>
    <w:p>
      <w:pPr>
        <w:pStyle w:val="ListNumber"/>
      </w:pPr>
      <w:r/>
      <w:r>
        <w:rPr>
          <w:b/>
        </w:rPr>
        <w:t>Triangular profiles (Ferrara / Mediphacos):</w:t>
      </w:r>
      <w:r>
        <w:t xml:space="preserve"> Follow the standard limit of </w:t>
      </w:r>
      <w:r>
        <w:rPr>
          <w:b/>
        </w:rPr>
        <w:t>0.60</w:t>
      </w:r>
      <w:r>
        <w:t xml:space="preserve"> (RT_max ≤ CT × 0.60).</w:t>
      </w:r>
    </w:p>
    <w:p>
      <w:pPr>
        <w:pStyle w:val="ListNumber"/>
      </w:pPr>
      <w:r/>
      <w:r>
        <w:rPr>
          <w:b/>
        </w:rPr>
        <w:t>Ferrara High Myopia (HM) profiles:</w:t>
      </w:r>
      <w:r>
        <w:t xml:space="preserve"> Limited to a conservative limit of </w:t>
      </w:r>
      <w:r>
        <w:rPr>
          <w:b/>
        </w:rPr>
        <w:t>0.55</w:t>
      </w:r>
      <w:r>
        <w:t xml:space="preserve"> (RT_max ≤ CT × 0.55) due to high apical vertical stress concentrations and sharp geometric edges that increase the risk of stromal erosion.</w:t>
      </w:r>
    </w:p>
    <w:p>
      <w:pPr>
        <w:pStyle w:val="ListNumber"/>
      </w:pPr>
      <w:r/>
      <w:r>
        <w:rPr>
          <w:b/>
        </w:rPr>
        <w:t>Rounded profiles (Cornealring):</w:t>
      </w:r>
      <w:r>
        <w:t xml:space="preserve"> Follow the standard limit of </w:t>
      </w:r>
      <w:r>
        <w:rPr>
          <w:b/>
        </w:rPr>
        <w:t>0.60</w:t>
      </w:r>
      <w:r>
        <w:t xml:space="preserve"> (RT_max ≤ CT × 0.60). The smoother contact mechanics and uniform stress distribution of rounded geometries provide excellent safety margins even at the upper limit of the proportionality rule.</w:t>
      </w:r>
    </w:p>
    <w:p>
      <w:r>
        <w:t>Before finalizing any ring prescription, the surgeon must calculate RT_max using the local pachymetry at the implantation meridian. If the planned thickness exceeds RT_max, the prescription must be reduced to the immediately available segment thickness below the safety limit.</w:t>
      </w:r>
    </w:p>
    <w:p>
      <w:pPr>
        <w:pStyle w:val="Heading2"/>
      </w:pPr>
      <w:r>
        <w:t>10.7 Practical Clinical Examples</w:t>
      </w:r>
    </w:p>
    <w:p>
      <w:pPr>
        <w:pStyle w:val="Heading3"/>
      </w:pPr>
      <w:r>
        <w:t>Example 1: Symmetric Central Keratoconus — VR Dominant</w:t>
      </w:r>
    </w:p>
    <w:p>
      <w:r/>
      <w:r>
        <w:rPr>
          <w:b/>
        </w:rPr>
        <w:t>Patient:</w:t>
      </w:r>
      <w:r>
        <w:t xml:space="preserve"> 28-year-old male. K-steep 49.5 D, K-flat 45.0 D, cylinder 4.5 D at 85°. KMax 51.0 D (central). Thinnest pachymetry 462 μm centrally. BCVA 20/40 with spectacles.</w:t>
      </w:r>
    </w:p>
    <w:p>
      <w:r/>
      <w:r>
        <w:rPr>
          <w:b/>
        </w:rPr>
        <w:t>O Module:</w:t>
      </w:r>
      <w:r>
        <w:t xml:space="preserve"> Coma RMS = 1.8 μm (favorable), Δ Axis = 8° (favorable), total HOA = 1.6 μm (favorable), Coma ipsilateral (favorable). → </w:t>
      </w:r>
      <w:r>
        <w:rPr>
          <w:b/>
        </w:rPr>
        <w:t>O+</w:t>
      </w:r>
      <w:r/>
    </w:p>
    <w:p>
      <w:r/>
      <w:r>
        <w:rPr>
          <w:b/>
        </w:rPr>
        <w:t>T Module:</w:t>
      </w:r>
      <w:r>
        <w:t xml:space="preserve"> Central oval morphology. MNA at 88°, K-steep at 85°. |MNA − K-steep| = 3° &lt; 15°. → Standard positioning, MNA ≈ K-steep.</w:t>
      </w:r>
    </w:p>
    <w:p>
      <w:r/>
      <w:r>
        <w:rPr>
          <w:b/>
        </w:rPr>
        <w:t>B Module:</w:t>
      </w:r>
      <w:r>
        <w:t xml:space="preserve"> Primary need is flattening (K-steep 49.5 D, aligned astigmatism). → </w:t>
      </w:r>
      <w:r>
        <w:rPr>
          <w:b/>
        </w:rPr>
        <w:t>VR dominant</w:t>
      </w:r>
      <w:r/>
    </w:p>
    <w:p>
      <w:r/>
      <w:r>
        <w:rPr>
          <w:b/>
        </w:rPr>
        <w:t>Prescription:</w:t>
      </w:r>
      <w:r/>
    </w:p>
    <w:p>
      <w:pPr>
        <w:pStyle w:val="ListBullet"/>
      </w:pPr>
      <w:r>
        <w:t>Ring: Ferrara 250 μm, arc 160°, symmetric</w:t>
      </w:r>
    </w:p>
    <w:p>
      <w:pPr>
        <w:pStyle w:val="ListBullet"/>
      </w:pPr>
      <w:r>
        <w:t>Depth: 75% of 462 μm = 347 μm → tunnel at 350 μm</w:t>
      </w:r>
    </w:p>
    <w:p>
      <w:pPr>
        <w:pStyle w:val="ListBullet"/>
      </w:pPr>
      <w:r>
        <w:t>Meridian: 85° (K-steep ≈ MNA)</w:t>
      </w:r>
    </w:p>
    <w:p>
      <w:pPr>
        <w:pStyle w:val="ListBullet"/>
      </w:pPr>
      <w:r>
        <w:t>Expected ΔK: 2.5–3.5 D (VR-based estimate)</w:t>
      </w:r>
    </w:p>
    <w:p>
      <w:pPr>
        <w:pStyle w:val="Heading3"/>
      </w:pPr>
      <w:r>
        <w:t>Example 2: Paracentral Keratoconus with Axis Divergence — VT + Vτ Dominant</w:t>
      </w:r>
    </w:p>
    <w:p>
      <w:r/>
      <w:r>
        <w:rPr>
          <w:b/>
        </w:rPr>
        <w:t>Patient:</w:t>
      </w:r>
      <w:r>
        <w:t xml:space="preserve"> 32-year-old female. K-steep 52.0 D, K-flat 46.0 D, cylinder 6.0 D at 65°. KMax 55.0 D (1.5 mm inferotemporal from visual axis). Thinnest pachymetry 435 μm. BCVA 20/60.</w:t>
      </w:r>
    </w:p>
    <w:p>
      <w:r/>
      <w:r>
        <w:rPr>
          <w:b/>
        </w:rPr>
        <w:t>O Module:</w:t>
      </w:r>
      <w:r>
        <w:t xml:space="preserve"> Coma RMS = 3.2 μm (intermediate), Δ Axis = 25° (intermediate), total HOA = 3.5 μm (intermediate), Coma contralateral (unfavorable). → </w:t>
      </w:r>
      <w:r>
        <w:rPr>
          <w:b/>
        </w:rPr>
        <w:t>O~</w:t>
      </w:r>
      <w:r/>
    </w:p>
    <w:p>
      <w:r/>
      <w:r>
        <w:rPr>
          <w:b/>
        </w:rPr>
        <w:t>T Module:</w:t>
      </w:r>
      <w:r>
        <w:t xml:space="preserve"> Paracentral crescent morphology. MNA at 250°, K-steep at 65°. → Targeted to inferotemporal cone.</w:t>
      </w:r>
    </w:p>
    <w:p>
      <w:r/>
      <w:r>
        <w:rPr>
          <w:b/>
        </w:rPr>
        <w:t>B Module:</w:t>
      </w:r>
      <w:r>
        <w:t xml:space="preserve"> Primary need is regularization (high irregular cylinder, displaced apex). Secondary need: apex repositioning (apex 1.5 mm from visual axis, coma 3.2 μm). → </w:t>
      </w:r>
      <w:r>
        <w:rPr>
          <w:b/>
        </w:rPr>
        <w:t>VT + Vτ dominant</w:t>
      </w:r>
      <w:r/>
    </w:p>
    <w:p>
      <w:r/>
      <w:r>
        <w:rPr>
          <w:b/>
        </w:rPr>
        <w:t>Prescription:</w:t>
      </w:r>
      <w:r/>
    </w:p>
    <w:p>
      <w:pPr>
        <w:pStyle w:val="ListBullet"/>
      </w:pPr>
      <w:r>
        <w:t>Ring: Asymmetric progressive, 250→150 μm, arc 210°</w:t>
      </w:r>
    </w:p>
    <w:p>
      <w:pPr>
        <w:pStyle w:val="ListBullet"/>
      </w:pPr>
      <w:r>
        <w:t>Depth: 75% of 435 μm = 326 μm → tunnel at 325 μm</w:t>
      </w:r>
    </w:p>
    <w:p>
      <w:pPr>
        <w:pStyle w:val="ListBullet"/>
      </w:pPr>
      <w:r>
        <w:t>Meridian: MNA axis (250°), thick end superiorly</w:t>
      </w:r>
    </w:p>
    <w:p>
      <w:pPr>
        <w:pStyle w:val="ListBullet"/>
      </w:pPr>
      <w:r>
        <w:t>Expected effect: Astigmatism regularization (VT at 210° = 7.39 kPa, −5.0% from baseline) + moderate apex shift (Vτ validated = 11.76 μN·m)</w:t>
      </w:r>
    </w:p>
    <w:p>
      <w:pPr>
        <w:pStyle w:val="ListBullet"/>
      </w:pPr>
      <w:r>
        <w:t>Counsel patient: O~ classification → uncertain functional improvement; contact lens fitting may still be necessary</w:t>
      </w:r>
    </w:p>
    <w:p>
      <w:pPr>
        <w:pStyle w:val="Heading2"/>
      </w:pPr>
      <w:r>
        <w:t>10.8 Post-Operative Evaluation: The AVBC Feedback Loop</w:t>
      </w:r>
    </w:p>
    <w:p>
      <w:pPr>
        <w:pStyle w:val="Heading3"/>
      </w:pPr>
      <w:r>
        <w:t>Immediate Post-Op (Day 1 – Week 1)</w:t>
      </w:r>
    </w:p>
    <w:p>
      <w:pPr>
        <w:pStyle w:val="ListBullet"/>
      </w:pPr>
      <w:r>
        <w:t>Confirm ring position and depth (slit lamp, anterior segment OCT)</w:t>
      </w:r>
    </w:p>
    <w:p>
      <w:pPr>
        <w:pStyle w:val="ListBullet"/>
      </w:pPr>
      <w:r>
        <w:t>Evaluate adverse events (extrusion, infection, perforation)</w:t>
      </w:r>
    </w:p>
    <w:p>
      <w:pPr>
        <w:pStyle w:val="ListBullet"/>
      </w:pPr>
      <w:r>
        <w:t>No topographic assessment (edematous cornea, unreliable)</w:t>
      </w:r>
    </w:p>
    <w:p>
      <w:pPr>
        <w:pStyle w:val="Heading3"/>
      </w:pPr>
      <w:r>
        <w:t>Early Assessment (1 Month)</w:t>
      </w:r>
    </w:p>
    <w:p>
      <w:pPr>
        <w:pStyle w:val="ListBullet"/>
      </w:pPr>
      <w:r>
        <w:t>Uncorrected and best-corrected visual acuity</w:t>
      </w:r>
    </w:p>
    <w:p>
      <w:pPr>
        <w:pStyle w:val="ListBullet"/>
      </w:pPr>
      <w:r>
        <w:t>Topography: assess flattening (ΔK = K-steep_pre − K-steep_post)</w:t>
      </w:r>
    </w:p>
    <w:p>
      <w:pPr>
        <w:pStyle w:val="ListBullet"/>
      </w:pPr>
      <w:r>
        <w:t>Initial comparison: ΔK_observed vs ΔK_expected (from VR estimate)</w:t>
      </w:r>
    </w:p>
    <w:p>
      <w:pPr>
        <w:pStyle w:val="Heading3"/>
      </w:pPr>
      <w:r>
        <w:t>Definitive Assessment (3–6 Months)</w:t>
      </w:r>
    </w:p>
    <w:p>
      <w:r>
        <w:t>Complete AVBC feedback analysis:</w:t>
      </w:r>
    </w:p>
    <w:p>
      <w:pPr>
        <w:pStyle w:val="ListNumber"/>
      </w:pPr>
      <w:r/>
      <w:r>
        <w:rPr>
          <w:b/>
        </w:rPr>
        <w:t>VR assessment:</w:t>
      </w:r>
      <w:r>
        <w:t xml:space="preserve"> ΔK_induced = K-steep_pre − K-steep_post. Compare with VR_predicted.</w:t>
      </w:r>
    </w:p>
    <w:p>
      <w:pPr>
        <w:pStyle w:val="ListBullet"/>
      </w:pPr>
      <w:r/>
      <w:r>
        <w:rPr>
          <w:b/>
        </w:rPr>
        <w:t>AVBC-CI (flattening)</w:t>
      </w:r>
      <w:r>
        <w:t xml:space="preserve"> = ΔK_induced / ΔK_predicted</w:t>
      </w:r>
    </w:p>
    <w:p>
      <w:pPr>
        <w:pStyle w:val="ListBullet"/>
      </w:pPr>
      <w:r>
        <w:t>CI = 1.0 ± 0.1 → ideal</w:t>
      </w:r>
    </w:p>
    <w:p>
      <w:pPr>
        <w:pStyle w:val="ListBullet"/>
      </w:pPr>
      <w:r>
        <w:t>CI &lt; 0.8 → undercorrection (consider higher thickness next time)</w:t>
      </w:r>
    </w:p>
    <w:p>
      <w:pPr>
        <w:pStyle w:val="ListBullet"/>
      </w:pPr>
      <w:r>
        <w:t>CI &gt; 1.2 → overcorrection (reduce thickness next time)</w:t>
      </w:r>
    </w:p>
    <w:p>
      <w:pPr>
        <w:pStyle w:val="ListNumber"/>
      </w:pPr>
      <w:r/>
      <w:r>
        <w:rPr>
          <w:b/>
        </w:rPr>
        <w:t>VT assessment:</w:t>
      </w:r>
      <w:r>
        <w:t xml:space="preserve"> ΔCyl_induced = Cyl_pre − Cyl_post (regularization component).</w:t>
      </w:r>
    </w:p>
    <w:p>
      <w:pPr>
        <w:pStyle w:val="ListBullet"/>
      </w:pPr>
      <w:r/>
      <w:r>
        <w:rPr>
          <w:b/>
        </w:rPr>
        <w:t>VT-ratio</w:t>
      </w:r>
      <w:r>
        <w:t xml:space="preserve"> = ΔCyl_induced / ΔCyl_expected</w:t>
      </w:r>
    </w:p>
    <w:p>
      <w:pPr>
        <w:pStyle w:val="ListBullet"/>
      </w:pPr>
      <w:r>
        <w:t>Evaluate HOA improvement, particularly coma and trefoil</w:t>
      </w:r>
    </w:p>
    <w:p>
      <w:pPr>
        <w:pStyle w:val="ListNumber"/>
      </w:pPr>
      <w:r/>
      <w:r>
        <w:rPr>
          <w:b/>
        </w:rPr>
        <w:t>Vτ assessment (if asymmetric ring used):</w:t>
      </w:r>
      <w:r>
        <w:t xml:space="preserve"> Measure apex migration on posterior elevation map.</w:t>
      </w:r>
    </w:p>
    <w:p>
      <w:pPr>
        <w:pStyle w:val="ListBullet"/>
      </w:pPr>
      <w:r/>
      <w:r>
        <w:rPr>
          <w:b/>
        </w:rPr>
        <w:t>Vτ-ratio</w:t>
      </w:r>
      <w:r>
        <w:t xml:space="preserve"> = Observed_apex_migration / Expected_apex_migration</w:t>
      </w:r>
    </w:p>
    <w:p>
      <w:pPr>
        <w:pStyle w:val="ListBullet"/>
      </w:pPr>
      <w:r>
        <w:t>Positive migration toward visual axis → effective torque</w:t>
      </w:r>
    </w:p>
    <w:p>
      <w:pPr>
        <w:pStyle w:val="Heading3"/>
      </w:pPr>
      <w:r>
        <w:t>Building the Personal Calibration Curve</w:t>
      </w:r>
    </w:p>
    <w:p>
      <w:r>
        <w:t>Over N surgeries, the surgeon accumulates personal AVBC-CI values. The mean CI represents the surgeon's personal calibration factor, analogous to the A-constant in IOL calculation. If the mean CI is consistently 0.85 (systematic undercorrection), the surgeon can adjust future predictions by dividing by 0.85 — a systematic improvement in accuracy with each additional case.</w:t>
      </w:r>
    </w:p>
    <w:p>
      <w:r>
        <w:t>This surgeon-specific feedback loop is a direct structural parallel to the Alpins method and represents one of the highest practical-value aspects of the AVBC framework.</w:t>
      </w:r>
    </w:p>
    <w:p>
      <w:pPr>
        <w:pStyle w:val="Alert"/>
      </w:pPr>
      <w:r>
        <w:rPr>
          <w:b/>
          <w:sz w:val="22"/>
        </w:rPr>
        <w:t>📝 NOTE</w:t>
      </w:r>
    </w:p>
    <w:p>
      <w:pPr>
        <w:pStyle w:val="Alert"/>
      </w:pPr>
      <w:r/>
      <w:r>
        <w:rPr>
          <w:b/>
        </w:rPr>
        <w:t>For the Clinician: The AVBC Diary — 5 Minutes per Case</w:t>
      </w:r>
      <w:r>
        <w:t xml:space="preserve"> After each surgery, record in a simple spreadsheet: | Date | Case | Thickness | Arc | VR Predicted | VR Actual (ΔK post) | CI_R | |------|------|-----------|------|-------------|------------------|------|  After 20 cases, calculate your mean CI_R. That is your personal "AVBC factor." If it is 0.85, always multiply recommended thicknesses by 1.18. Simple, but powerful. </w:t>
      </w:r>
      <w:r>
        <w:rPr>
          <w:b/>
        </w:rPr>
        <w:t>For the Clinician: The AVBC Diary — 5 Minutes per Case</w:t>
      </w:r>
      <w:r>
        <w:t xml:space="preserve"> After each surgery, record in a simple spreadsheet: | Date | Case | Thickness | Arc | VR Predicted | VR Actual (ΔK post) | CI_R | |------|------|-----------|------|-------------|------------------|------|  After 20 cases, calculate your mean CI_R. That is your personal "AVBC factor." If it is 0.85, always multiply recommended thicknesses by 1.18. Simple, but powerful.</w:t>
      </w:r>
    </w:p>
    <w:p>
      <w:pPr>
        <w:pStyle w:val="Heading2"/>
      </w:pPr>
      <w:r>
        <w:t>10.9 Summary</w:t>
      </w:r>
    </w:p>
    <w:p>
      <w:pPr>
        <w:pStyle w:val="ListBullet"/>
      </w:pPr>
      <w:r>
        <w:t xml:space="preserve">The AVBC clinical workflow is a </w:t>
      </w:r>
      <w:r>
        <w:rPr>
          <w:b/>
        </w:rPr>
        <w:t>sequential three-module assessment</w:t>
      </w:r>
      <w:r>
        <w:t xml:space="preserve"> (O → T → B) that translates biomechanical understanding into ring selection.</w:t>
      </w:r>
    </w:p>
    <w:p>
      <w:pPr>
        <w:pStyle w:val="ListBullet"/>
      </w:pPr>
      <w:r>
        <w:t xml:space="preserve">The protocol is </w:t>
      </w:r>
      <w:r>
        <w:rPr>
          <w:b/>
        </w:rPr>
        <w:t>additive</w:t>
      </w:r>
      <w:r>
        <w:t>: it uses existing clinical data (topography, aberrometry, refraction) reorganized within a mechanical framework.</w:t>
      </w:r>
    </w:p>
    <w:p>
      <w:pPr>
        <w:pStyle w:val="ListBullet"/>
      </w:pPr>
      <w:r>
        <w:t xml:space="preserve">The </w:t>
      </w:r>
      <w:r>
        <w:rPr>
          <w:b/>
        </w:rPr>
        <w:t>MNA</w:t>
      </w:r>
      <w:r>
        <w:t xml:space="preserve"> (Mechanical Neutral Axis) is a critical parameter that must be assessed for every keratoconus patient — when MNA diverges from K-steep by &gt; 15°, nomogram accuracy degrades.</w:t>
      </w:r>
    </w:p>
    <w:p>
      <w:pPr>
        <w:pStyle w:val="ListBullet"/>
      </w:pPr>
      <w:r>
        <w:t xml:space="preserve">Ring parameters map to specific vectors: </w:t>
      </w:r>
      <w:r>
        <w:rPr>
          <w:b/>
        </w:rPr>
        <w:t>thickness → VR</w:t>
      </w:r>
      <w:r>
        <w:t xml:space="preserve">, </w:t>
      </w:r>
      <w:r>
        <w:rPr>
          <w:b/>
        </w:rPr>
        <w:t>arc length → VT</w:t>
      </w:r>
      <w:r>
        <w:t xml:space="preserve">, </w:t>
      </w:r>
      <w:r>
        <w:rPr>
          <w:b/>
        </w:rPr>
        <w:t>asymmetry → Vτ</w:t>
      </w:r>
      <w:r>
        <w:t xml:space="preserve">, </w:t>
      </w:r>
      <w:r>
        <w:rPr>
          <w:b/>
        </w:rPr>
        <w:t>depth → universal amplifier</w:t>
      </w:r>
      <w:r>
        <w:t>.</w:t>
      </w:r>
    </w:p>
    <w:p>
      <w:pPr>
        <w:pStyle w:val="ListBullet"/>
      </w:pPr>
      <w:r>
        <w:t xml:space="preserve">Post-operative evaluation using the </w:t>
      </w:r>
      <w:r>
        <w:rPr>
          <w:b/>
        </w:rPr>
        <w:t>AVBC feedback loop</w:t>
      </w:r>
      <w:r>
        <w:t xml:space="preserve"> (AVBC-CI, VT-ratio, Vτ-ratio) enables surgeon-specific calibration analogous to the Alpins Correction Index.</w:t>
      </w:r>
    </w:p>
    <w:p>
      <w:pPr>
        <w:pStyle w:val="ListBullet"/>
      </w:pPr>
      <w:r>
        <w:t xml:space="preserve">Over time, each surgeon builds a </w:t>
      </w:r>
      <w:r>
        <w:rPr>
          <w:b/>
        </w:rPr>
        <w:t>personal calibration curve</w:t>
      </w:r>
      <w:r>
        <w:t xml:space="preserve"> that systematically improves predictive accuracy.</w:t>
      </w:r>
    </w:p>
    <w:p>
      <w:pPr>
        <w:pStyle w:val="Heading2"/>
      </w:pPr>
      <w:r>
        <w:t>Didactic Summary</w:t>
      </w:r>
    </w:p>
    <w:p>
      <w:pPr>
        <w:pStyle w:val="ListBullet"/>
      </w:pPr>
      <w:r>
        <w:t xml:space="preserve">The AVBC clinical flow follows 5 steps: </w:t>
      </w:r>
      <w:r>
        <w:rPr>
          <w:b/>
        </w:rPr>
        <w:t>Data Collection → O Module → T Module → B Module → Prescription</w:t>
      </w:r>
      <w:r>
        <w:t>.</w:t>
      </w:r>
    </w:p>
    <w:p>
      <w:pPr>
        <w:pStyle w:val="ListBullet"/>
      </w:pPr>
      <w:r>
        <w:t xml:space="preserve">The </w:t>
      </w:r>
      <w:r>
        <w:rPr>
          <w:b/>
        </w:rPr>
        <w:t>MNA</w:t>
      </w:r>
      <w:r>
        <w:t xml:space="preserve"> diverges from K-steep in up to 40% of cases — when divergence &gt; 15°, nomogram accuracy degrades significantly.</w:t>
      </w:r>
    </w:p>
    <w:p>
      <w:pPr>
        <w:pStyle w:val="ListBullet"/>
      </w:pPr>
      <w:r>
        <w:t xml:space="preserve">Ring parameters map directly to vectors: </w:t>
      </w:r>
      <w:r>
        <w:rPr>
          <w:b/>
        </w:rPr>
        <w:t>thickness → VR</w:t>
      </w:r>
      <w:r>
        <w:t xml:space="preserve">, </w:t>
      </w:r>
      <w:r>
        <w:rPr>
          <w:b/>
        </w:rPr>
        <w:t>arc → VT</w:t>
      </w:r>
      <w:r>
        <w:t xml:space="preserve">, </w:t>
      </w:r>
      <w:r>
        <w:rPr>
          <w:b/>
        </w:rPr>
        <w:t>asymmetry → Vτ</w:t>
      </w:r>
      <w:r>
        <w:t xml:space="preserve">, </w:t>
      </w:r>
      <w:r>
        <w:rPr>
          <w:b/>
        </w:rPr>
        <w:t>depth → universal amplifier</w:t>
      </w:r>
      <w:r>
        <w:t>.</w:t>
      </w:r>
    </w:p>
    <w:p>
      <w:pPr>
        <w:pStyle w:val="ListBullet"/>
      </w:pPr>
      <w:r>
        <w:t>The AVBC feedback loop (AVBC-CI, VT-ratio, Vτ-ratio) enables surgeon-specific calibration, analogous to the Alpins CI.</w:t>
      </w:r>
    </w:p>
    <w:p>
      <w:pPr>
        <w:pStyle w:val="ListBullet"/>
      </w:pPr>
      <w:r>
        <w:t xml:space="preserve">Over time, each surgeon builds a </w:t>
      </w:r>
      <w:r>
        <w:rPr>
          <w:b/>
        </w:rPr>
        <w:t>personal calibration curve</w:t>
      </w:r>
      <w:r>
        <w:t xml:space="preserve"> that systematically improves predictive accuracy.</w:t>
      </w:r>
    </w:p>
    <w:p>
      <w:pPr>
        <w:pStyle w:val="Heading2"/>
      </w:pPr>
      <w:r>
        <w:t>References</w:t>
      </w:r>
    </w:p>
    <w:p>
      <w:pPr>
        <w:pStyle w:val="ListNumber"/>
      </w:pPr>
      <w:r>
        <w:t xml:space="preserve">Alió JL, Shabayek MH. Corneal higher order aberrations: a method to grade keratoconus. </w:t>
      </w:r>
      <w:r>
        <w:rPr>
          <w:i/>
        </w:rPr>
        <w:t>J Refract Surg</w:t>
      </w:r>
      <w:r>
        <w:t>. 2006;22(6):539–545.</w:t>
      </w:r>
    </w:p>
    <w:p>
      <w:pPr>
        <w:pStyle w:val="ListNumber"/>
      </w:pPr>
      <w:r>
        <w:t xml:space="preserve">Alpins NA. A new method of analyzing vectors for changes in astigmatism. </w:t>
      </w:r>
      <w:r>
        <w:rPr>
          <w:i/>
        </w:rPr>
        <w:t>J Cataract Refract Surg</w:t>
      </w:r>
      <w:r>
        <w:t>. 1993;19(4):524–533.</w:t>
      </w:r>
    </w:p>
    <w:p>
      <w:pPr>
        <w:pStyle w:val="ListNumber"/>
      </w:pPr>
      <w:r>
        <w:t xml:space="preserve">Colin J, Cochener B, Savary G, et al. Correcting keratoconus with intracorneal rings. </w:t>
      </w:r>
      <w:r>
        <w:rPr>
          <w:i/>
        </w:rPr>
        <w:t>J Cataract Refract Surg</w:t>
      </w:r>
      <w:r>
        <w:t>. 2000;26(8):1117–1122.</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Ferrara de Almeida Cunha P. Intrastromal corneal ring. </w:t>
      </w:r>
      <w:r>
        <w:rPr>
          <w:i/>
        </w:rPr>
        <w:t>Arq Bras Oftalmol</w:t>
      </w:r>
      <w:r>
        <w:t>. 1997;60:631–640.</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Kling S, Marcos S. Finite-element modeling of intrastromal corneal ring segment implantation into a hyperelastic cornea. </w:t>
      </w:r>
      <w:r>
        <w:rPr>
          <w:i/>
        </w:rPr>
        <w:t>Invest Ophthalmol Vis Sci</w:t>
      </w:r>
      <w:r>
        <w:t>. 2013;54(1):881–889.</w:t>
      </w:r>
    </w:p>
    <w:p>
      <w:pPr>
        <w:pStyle w:val="ListNumber"/>
      </w:pPr>
      <w:r>
        <w:t xml:space="preserve">Piñero DP, Alcón N. Corneal biomechanics: a review. </w:t>
      </w:r>
      <w:r>
        <w:rPr>
          <w:i/>
        </w:rPr>
        <w:t>Clin Exp Optom</w:t>
      </w:r>
      <w:r>
        <w:t>. 2015;98(2):107–116.</w:t>
      </w:r>
    </w:p>
    <w:p>
      <w:pPr>
        <w:pStyle w:val="ListNumber"/>
      </w:pPr>
      <w:r>
        <w:t xml:space="preserve">Rabinowitz YS. Keratoconus. </w:t>
      </w:r>
      <w:r>
        <w:rPr>
          <w:i/>
        </w:rPr>
        <w:t>Surv Ophthalmol</w:t>
      </w:r>
      <w:r>
        <w:t>. 1998;42(4):297–319.</w:t>
      </w:r>
    </w:p>
    <w:p>
      <w:pPr>
        <w:pStyle w:val="ListNumber"/>
      </w:pPr>
      <w:r>
        <w:t xml:space="preserve">Torquetti L, Berbel RF, Ferrara P. Long-term follow-up of intrastromal corneal ring segments in keratoconus. </w:t>
      </w:r>
      <w:r>
        <w:rPr>
          <w:i/>
        </w:rPr>
        <w:t>J Cataract Refract Surg</w:t>
      </w:r>
      <w:r>
        <w:t>. 2009;35(10):1768–1773.</w:t>
      </w:r>
    </w:p>
    <w:p>
      <w:pPr>
        <w:pStyle w:val="ListNumber"/>
      </w:pPr>
      <w:r>
        <w:t xml:space="preserve">Vega-Estrada A, Alió JL, Plaza-Puche AB. Keratoconus progression after intrastromal corneal ring segment implantation. </w:t>
      </w:r>
      <w:r>
        <w:rPr>
          <w:i/>
        </w:rPr>
        <w:t>Cornea</w:t>
      </w:r>
      <w:r>
        <w:t>. 2013;32(5):611–616.</w:t>
      </w:r>
    </w:p>
    <w:p>
      <w:r>
        <w:t>&lt;!-- GPT revision applied --&gt;</w:t>
      </w:r>
    </w:p>
    <w:p>
      <w:pPr>
        <w:pStyle w:val="Heading1"/>
      </w:pPr>
      <w:r>
        <w:t>Chapter 12 — Computational Validation: Finite Element Extraction of VR, VT, and Vτ</w:t>
      </w:r>
    </w:p>
    <w:p>
      <w:pPr>
        <w:pStyle w:val="BlockQuote"/>
      </w:pPr>
      <w:r>
        <w:t>**Corneal Biomechanical Vector Analysis for Intracorneal Ring Segment Planning** *Part III — The Three Vectors*</w:t>
      </w:r>
    </w:p>
    <w:p>
      <w:pPr>
        <w:pStyle w:val="BlockQuote"/>
      </w:pPr>
      <w:r>
        <w:t>**Key Points** - The FEM campaign of **377 converged simulations** in FEBio computationally validates the AVBC framework. - The parameter c explains **98.9%** of variance — matrix degradation is the primary driver of ectasia. - The VR–VT decoupling is robust: thickness→VR, arc→VT, independent of geometry. - Asymmetric ring simulations validated the Vτ mechanism with torques of 9.31–18.34 μN·m. - Main limitation: uniform spherical geometry — the next generation will use patient-specific Pentacam geometry.</w:t>
      </w:r>
    </w:p>
    <w:p>
      <w:pPr>
        <w:pStyle w:val="Heading2"/>
      </w:pPr>
      <w:r>
        <w:t>12.1 Introduction</w:t>
      </w:r>
    </w:p>
    <w:p>
      <w:r>
        <w:t>The three preceding chapters defined the biomechanical vectors VR, VT, and Vτ through formal mathematical expressions and presented their evidence in the context of the clinical interpretation of the "Volumetric School." This chapter reverses the perspective: it presents the complete computational methodology by which these vectors were extracted, from the constitutive model and mesh generation to the data post-processing of our recent volumetric parametric campaign. The emphasis is on reproducibility and the precise correspondence between the numerical solver and corneal physics.</w:t>
      </w:r>
    </w:p>
    <w:p>
      <w:r>
        <w:t>The finite element platform employed throughout this work is FEBio 4.12 (Musculoskeletal Research Laboratories, University of Utah). FEBio's native support for the Holzapfel–Gasser–Ogden (HGO) anisotropic hyperelastic constitutive model, follower pressure loading, and prescribed displacement at large deformations makes it uniquely suited for simulating volumetric ICRS insertion.</w:t>
      </w:r>
    </w:p>
    <w:p>
      <w:pPr>
        <w:pStyle w:val="Alert"/>
      </w:pPr>
      <w:r>
        <w:rPr>
          <w:b/>
          <w:sz w:val="22"/>
        </w:rPr>
        <w:t>📝 NOTE</w:t>
      </w:r>
    </w:p>
    <w:p>
      <w:pPr>
        <w:pStyle w:val="Alert"/>
      </w:pPr>
      <w:r/>
      <w:r>
        <w:rPr>
          <w:b/>
        </w:rPr>
        <w:t>For the Clinician: Navigating This Chapter</w:t>
      </w:r>
      <w:r>
        <w:t xml:space="preserve"> This chapter is the most technical in the book. If you are a surgeon and not a biomechanical engineer, focus on: - </w:t>
      </w:r>
      <w:r>
        <w:rPr>
          <w:b/>
        </w:rPr>
        <w:t>Table 12.1</w:t>
      </w:r>
      <w:r>
        <w:t xml:space="preserve"> → The parameter c (matrix) dominates corneal stability. Confirms that ectasia is a disease of the </w:t>
      </w:r>
      <w:r>
        <w:rPr>
          <w:i/>
        </w:rPr>
        <w:t>matrix</w:t>
      </w:r>
      <w:r>
        <w:t xml:space="preserve">, not of collagen. - </w:t>
      </w:r>
      <w:r>
        <w:rPr>
          <w:b/>
        </w:rPr>
        <w:t>Table 12.3</w:t>
      </w:r>
      <w:r>
        <w:t xml:space="preserve"> → Proves that more arc = more flattening (reconciles FEM with clinical practice). - </w:t>
      </w:r>
      <w:r>
        <w:rPr>
          <w:b/>
        </w:rPr>
        <w:t>Section 12.4.3</w:t>
      </w:r>
      <w:r>
        <w:t xml:space="preserve"> → The computational proof that progressive rings generate real torque. - </w:t>
      </w:r>
      <w:r>
        <w:rPr>
          <w:b/>
        </w:rPr>
        <w:t>Final Table (12.5)</w:t>
      </w:r>
      <w:r>
        <w:t xml:space="preserve"> → The summary VR/VT/Vτ ↔ FEM measurement ↔ clinical parameter. </w:t>
      </w:r>
      <w:r>
        <w:rPr>
          <w:b/>
        </w:rPr>
        <w:t>For the Clinician: Navigating This Chapter</w:t>
      </w:r>
      <w:r>
        <w:t xml:space="preserve"> This chapter is the most technical in the book. If you are a surgeon and not a biomechanical engineer, focus on: - </w:t>
      </w:r>
      <w:r>
        <w:rPr>
          <w:b/>
        </w:rPr>
        <w:t>Table 12.1</w:t>
      </w:r>
      <w:r>
        <w:t xml:space="preserve"> → The parameter c (matrix) dominates corneal stability. Confirms that ectasia is a disease of the </w:t>
      </w:r>
      <w:r>
        <w:rPr>
          <w:i/>
        </w:rPr>
        <w:t>matrix</w:t>
      </w:r>
      <w:r>
        <w:t xml:space="preserve">, not of collagen. - </w:t>
      </w:r>
      <w:r>
        <w:rPr>
          <w:b/>
        </w:rPr>
        <w:t>Table 12.3</w:t>
      </w:r>
      <w:r>
        <w:t xml:space="preserve"> → Proves that more arc = more flattening (reconciles FEM with clinical practice). - </w:t>
      </w:r>
      <w:r>
        <w:rPr>
          <w:b/>
        </w:rPr>
        <w:t>Section 12.4.3</w:t>
      </w:r>
      <w:r>
        <w:t xml:space="preserve"> → The computational proof that progressive rings generate real torque. - </w:t>
      </w:r>
      <w:r>
        <w:rPr>
          <w:b/>
        </w:rPr>
        <w:t>Final Table (12.5)</w:t>
      </w:r>
      <w:r>
        <w:t xml:space="preserve"> → The summary VR/VT/Vτ ↔ FEM measurement ↔ clinical parameter.</w:t>
      </w:r>
    </w:p>
    <w:p>
      <w:pPr>
        <w:pStyle w:val="Heading2"/>
      </w:pPr>
      <w:r>
        <w:t>12.2 Constitutive Model and Mesh</w:t>
      </w:r>
    </w:p>
    <w:p>
      <w:pPr>
        <w:pStyle w:val="Heading3"/>
      </w:pPr>
      <w:r>
        <w:t>12.2.1 The Holzapfel–Gasser–Ogden Model</w:t>
      </w:r>
    </w:p>
    <w:p>
      <w:r>
        <w:t>The corneal stroma is a hyperelastic, nearly incompressible composite material. The HGO strain energy function decomposes the energy into an isotropic matrix contribution and anisotropic collagen fiber contributions.</w:t>
      </w:r>
    </w:p>
    <w:p>
      <w:r>
        <w:t>The material parameters adopted in the canonical simulation are:</w:t>
      </w:r>
    </w:p>
    <w:p>
      <w:pPr>
        <w:pStyle w:val="ListBullet"/>
      </w:pPr>
      <w:r/>
      <w:r>
        <w:rPr>
          <w:b/>
        </w:rPr>
        <w:t>c (Matrix modulus):</w:t>
      </w:r>
      <w:r>
        <w:t xml:space="preserve"> 0.05 MPa</w:t>
      </w:r>
    </w:p>
    <w:p>
      <w:pPr>
        <w:pStyle w:val="ListBullet"/>
      </w:pPr>
      <w:r/>
      <w:r>
        <w:rPr>
          <w:b/>
        </w:rPr>
        <w:t>k₁ (Fiber stiffness):</w:t>
      </w:r>
      <w:r>
        <w:t xml:space="preserve"> 0.22 MPa</w:t>
      </w:r>
    </w:p>
    <w:p>
      <w:pPr>
        <w:pStyle w:val="ListBullet"/>
      </w:pPr>
      <w:r/>
      <w:r>
        <w:rPr>
          <w:b/>
        </w:rPr>
        <w:t>k₂ (Nonlinearity):</w:t>
      </w:r>
      <w:r>
        <w:t xml:space="preserve"> 100</w:t>
      </w:r>
    </w:p>
    <w:p>
      <w:pPr>
        <w:pStyle w:val="ListBullet"/>
      </w:pPr>
      <w:r/>
      <w:r>
        <w:rPr>
          <w:b/>
        </w:rPr>
        <w:t>κ (Fiber dispersion):</w:t>
      </w:r>
      <w:r>
        <w:t xml:space="preserve"> 0.09</w:t>
      </w:r>
    </w:p>
    <w:p>
      <w:pPr>
        <w:pStyle w:val="ListBullet"/>
      </w:pPr>
      <w:r/>
      <w:r>
        <w:rPr>
          <w:b/>
        </w:rPr>
        <w:t>k (Bulk modulus):</w:t>
      </w:r>
      <w:r>
        <w:t xml:space="preserve"> 4.76 MPa</w:t>
      </w:r>
    </w:p>
    <w:p>
      <w:r>
        <w:t>These values represent the consensus parametrization derived from the works of Kling &amp; Marcos (2013), Pandolfi et al. (2019), and Pinsky et al. (2005), and serve as the canonical baseline against which all sensitivity analyses are referenced.</w:t>
      </w:r>
    </w:p>
    <w:p>
      <w:pPr>
        <w:pStyle w:val="Heading3"/>
      </w:pPr>
      <w:r>
        <w:t>12.2.2 Boundary Conditions: Volumetric Injection</w:t>
      </w:r>
    </w:p>
    <w:p>
      <w:r>
        <w:t xml:space="preserve">The crucial advance of this computational validation over historical models is the </w:t>
      </w:r>
      <w:r>
        <w:rPr>
          <w:b/>
        </w:rPr>
        <w:t>true incorporation of the Volumetric School into the boundary conditions</w:t>
      </w:r>
      <w:r>
        <w:t>.</w:t>
      </w:r>
    </w:p>
    <w:p>
      <w:r>
        <w:t xml:space="preserve">In older models, the ring was simulated merely as a rigid kinematic constraint (locking X, Y, and Z nodes), which artificially induced unrealistic steepening. In our new AVBC model, the ICRS implant is simulated through a </w:t>
      </w:r>
      <w:r>
        <w:rPr>
          <w:i/>
        </w:rPr>
        <w:t>prescribed displacement</w:t>
      </w:r>
      <w:r>
        <w:t>:</w:t>
      </w:r>
    </w:p>
    <w:p>
      <w:pPr>
        <w:pStyle w:val="ListNumber"/>
      </w:pPr>
      <w:r/>
      <w:r>
        <w:rPr>
          <w:b/>
        </w:rPr>
        <w:t>Z Expansion:</w:t>
      </w:r>
      <w:r>
        <w:t xml:space="preserve"> The surface corresponding to the ICRS is pushed anteriorly by a fixed +250 μm (representing the volume and thickness of the inserted ring).</w:t>
      </w:r>
    </w:p>
    <w:p>
      <w:pPr>
        <w:pStyle w:val="ListNumber"/>
      </w:pPr>
      <w:r/>
      <w:r>
        <w:rPr>
          <w:b/>
        </w:rPr>
        <w:t>XY Freedom:</w:t>
      </w:r>
      <w:r>
        <w:t xml:space="preserve"> The nodes in the ICRS plane maintain free degrees of freedom in X and Y, allowing the tissue to relax circumferentially around the rigid acrylic.</w:t>
      </w:r>
    </w:p>
    <w:p>
      <w:pPr>
        <w:pStyle w:val="ListNumber"/>
      </w:pPr>
      <w:r/>
      <w:r>
        <w:rPr>
          <w:b/>
        </w:rPr>
        <w:t>Pressure and Limbus:</w:t>
      </w:r>
      <w:r>
        <w:t xml:space="preserve"> The posterior cornea is under 15 mmHg pressure, and the limbal ring is physically fixed (all DOFs constrained).</w:t>
      </w:r>
    </w:p>
    <w:p>
      <w:r>
        <w:t>This combination — prescribed vertical displacement with free tangential relaxation — is what distinguishes the Volumetric School from the purely kinematic approach. It allows the FEM to capture both the radial displacement (VR) generated by volume injection and the tangential stress redistribution (VT) generated by the hoop restriction, simultaneously and independently.</w:t>
      </w:r>
    </w:p>
    <w:p>
      <w:pPr>
        <w:pStyle w:val="Heading2"/>
      </w:pPr>
      <w:r>
        <w:t>12.3 Parametric Sensitivity Campaign (377 Simulations)</w:t>
      </w:r>
    </w:p>
    <w:p>
      <w:r>
        <w:t xml:space="preserve">To extract the vectors and validate the corneal response to parameter variation without risk of overfitting, we executed an exhaustive campaign of </w:t>
      </w:r>
      <w:r>
        <w:rPr>
          <w:b/>
        </w:rPr>
        <w:t>377 simulations</w:t>
      </w:r>
      <w:r>
        <w:t xml:space="preserve"> in FEBio, varying each material and geometric parameter independently (One-At-a-Time Factorial Design).</w:t>
      </w:r>
    </w:p>
    <w:p>
      <w:r/>
      <w:r>
        <w:rPr>
          <w:b/>
        </w:rPr>
        <w:t>Table 12.1.</w:t>
      </w:r>
      <w:r>
        <w:t xml:space="preserve"> Sensitivity analysis of Apical Displacement (δ_apex) to corneal parameters under a 160° / 250 μm ring.</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Parameter</w:t>
            </w:r>
          </w:p>
        </w:tc>
        <w:tc>
          <w:tcPr>
            <w:tcW w:type="dxa" w:w="2197"/>
          </w:tcPr>
          <w:p>
            <w:r>
              <w:rPr>
                <w:b/>
                <w:sz w:val="18"/>
              </w:rPr>
              <w:t>δ_apex Range (μm)</w:t>
            </w:r>
          </w:p>
        </w:tc>
        <w:tc>
          <w:tcPr>
            <w:tcW w:type="dxa" w:w="2197"/>
          </w:tcPr>
          <w:p>
            <w:r>
              <w:rPr>
                <w:b/>
                <w:sz w:val="18"/>
              </w:rPr>
              <w:t>Hierarchy</w:t>
            </w:r>
          </w:p>
        </w:tc>
        <w:tc>
          <w:tcPr>
            <w:tcW w:type="dxa" w:w="2197"/>
          </w:tcPr>
          <w:p>
            <w:r>
              <w:rPr>
                <w:b/>
                <w:sz w:val="18"/>
              </w:rPr>
              <w:t>Clinical Significance</w:t>
            </w:r>
          </w:p>
        </w:tc>
      </w:tr>
      <w:tr>
        <w:tc>
          <w:tcPr>
            <w:tcW w:type="dxa" w:w="2197"/>
          </w:tcPr>
          <w:p>
            <w:r>
              <w:rPr>
                <w:sz w:val="18"/>
              </w:rPr>
              <w:t>**c** (Matrix)</w:t>
            </w:r>
          </w:p>
        </w:tc>
        <w:tc>
          <w:tcPr>
            <w:tcW w:type="dxa" w:w="2197"/>
          </w:tcPr>
          <w:p>
            <w:r>
              <w:rPr>
                <w:sz w:val="18"/>
              </w:rPr>
              <w:t>1186.8</w:t>
            </w:r>
          </w:p>
        </w:tc>
        <w:tc>
          <w:tcPr>
            <w:tcW w:type="dxa" w:w="2197"/>
          </w:tcPr>
          <w:p>
            <w:r>
              <w:rPr>
                <w:sz w:val="18"/>
              </w:rPr>
              <w:t>**Dominant**</w:t>
            </w:r>
          </w:p>
        </w:tc>
        <w:tc>
          <w:tcPr>
            <w:tcW w:type="dxa" w:w="2197"/>
          </w:tcPr>
          <w:p>
            <w:r>
              <w:rPr>
                <w:sz w:val="18"/>
              </w:rPr>
              <w:t>Stromal matrix degradation dictates ectatic collapse.</w:t>
            </w:r>
          </w:p>
        </w:tc>
      </w:tr>
      <w:tr>
        <w:tc>
          <w:tcPr>
            <w:tcW w:type="dxa" w:w="2197"/>
          </w:tcPr>
          <w:p>
            <w:r>
              <w:rPr>
                <w:sz w:val="18"/>
              </w:rPr>
              <w:t>**κ** (Dispersion)</w:t>
            </w:r>
          </w:p>
        </w:tc>
        <w:tc>
          <w:tcPr>
            <w:tcW w:type="dxa" w:w="2197"/>
          </w:tcPr>
          <w:p>
            <w:r>
              <w:rPr>
                <w:sz w:val="18"/>
              </w:rPr>
              <w:t>27.6</w:t>
            </w:r>
          </w:p>
        </w:tc>
        <w:tc>
          <w:tcPr>
            <w:tcW w:type="dxa" w:w="2197"/>
          </w:tcPr>
          <w:p>
            <w:r>
              <w:rPr>
                <w:sz w:val="18"/>
              </w:rPr>
              <w:t>Secondary</w:t>
            </w:r>
          </w:p>
        </w:tc>
        <w:tc>
          <w:tcPr>
            <w:tcW w:type="dxa" w:w="2197"/>
          </w:tcPr>
          <w:p>
            <w:r>
              <w:rPr>
                <w:sz w:val="18"/>
              </w:rPr>
              <w:t>Fiber disorganization affects bulging.</w:t>
            </w:r>
          </w:p>
        </w:tc>
      </w:tr>
      <w:tr>
        <w:tc>
          <w:tcPr>
            <w:tcW w:type="dxa" w:w="2197"/>
          </w:tcPr>
          <w:p>
            <w:r>
              <w:rPr>
                <w:sz w:val="18"/>
              </w:rPr>
              <w:t>**k₁** (Fibers)</w:t>
            </w:r>
          </w:p>
        </w:tc>
        <w:tc>
          <w:tcPr>
            <w:tcW w:type="dxa" w:w="2197"/>
          </w:tcPr>
          <w:p>
            <w:r>
              <w:rPr>
                <w:sz w:val="18"/>
              </w:rPr>
              <w:t>14.8</w:t>
            </w:r>
          </w:p>
        </w:tc>
        <w:tc>
          <w:tcPr>
            <w:tcW w:type="dxa" w:w="2197"/>
          </w:tcPr>
          <w:p>
            <w:r>
              <w:rPr>
                <w:sz w:val="18"/>
              </w:rPr>
              <w:t>Secondary</w:t>
            </w:r>
          </w:p>
        </w:tc>
        <w:tc>
          <w:tcPr>
            <w:tcW w:type="dxa" w:w="2197"/>
          </w:tcPr>
          <w:p>
            <w:r>
              <w:rPr>
                <w:sz w:val="18"/>
              </w:rPr>
              <w:t>Collagen acts as a "parachute" under high deformation.</w:t>
            </w:r>
          </w:p>
        </w:tc>
      </w:tr>
    </w:tbl>
    <w:p>
      <w:r>
        <w:t>The most striking result is that the ground substance (c) explains nearly the entirety of central corneal stability, confirming the thesis that ectasia is a disease of the interfibrillar matrix. The c parameter produces a 43× greater range of apical displacement than the second most influential parameter (κ), establishing an unambiguous sensitivity hierarchy.</w:t>
      </w:r>
    </w:p>
    <w:p>
      <w:r>
        <w:t>[Figura: Figure 12.2 — Parametric sensitivity hierarchy (δ_apex): c dominates 43× more than κ.]</w:t>
      </w:r>
    </w:p>
    <w:p>
      <w:pPr>
        <w:pStyle w:val="Alert"/>
      </w:pPr>
      <w:r>
        <w:rPr>
          <w:b/>
          <w:sz w:val="22"/>
        </w:rPr>
        <w:t>⚠️ IMPORTANT</w:t>
      </w:r>
    </w:p>
    <w:p>
      <w:pPr>
        <w:pStyle w:val="Alert"/>
      </w:pPr>
      <w:r/>
      <w:r>
        <w:rPr>
          <w:b/>
        </w:rPr>
        <w:t>For the Clinician: The Most Important Parameter</w:t>
      </w:r>
      <w:r>
        <w:t xml:space="preserve"> Of the four HGO model parameters, c (matrix stiffness) dominates with a range of 1186 μm — </w:t>
      </w:r>
      <w:r>
        <w:rPr>
          <w:b/>
        </w:rPr>
        <w:t>43× greater</w:t>
      </w:r>
      <w:r>
        <w:t xml:space="preserve"> than the second most influential parameter (κ = 27.6 μm). This biomechanically confirms what Brillouin microscopy (Scarcelli, 2015) had already suggested: keratoconus is primarily a disease of the intercellular </w:t>
      </w:r>
      <w:r>
        <w:rPr>
          <w:i/>
        </w:rPr>
        <w:t>matrix</w:t>
      </w:r>
      <w:r>
        <w:t xml:space="preserve">, not of collagen. CXL works precisely because it reinforces this matrix. </w:t>
      </w:r>
      <w:r>
        <w:rPr>
          <w:b/>
        </w:rPr>
        <w:t>For the Clinician: The Most Important Parameter</w:t>
      </w:r>
      <w:r>
        <w:t xml:space="preserve"> Of the four HGO model parameters, c (matrix stiffness) dominates with a range of 1186 μm — </w:t>
      </w:r>
      <w:r>
        <w:rPr>
          <w:b/>
        </w:rPr>
        <w:t>43× greater</w:t>
      </w:r>
      <w:r>
        <w:t xml:space="preserve"> than the second most influential parameter (κ = 27.6 μm). This biomechanically confirms what Brillouin microscopy (Scarcelli, 2015) had already suggested: keratoconus is primarily a disease of the intercellular </w:t>
      </w:r>
      <w:r>
        <w:rPr>
          <w:i/>
        </w:rPr>
        <w:t>matrix</w:t>
      </w:r>
      <w:r>
        <w:t>, not of collagen. CXL works precisely because it reinforces this matrix.</w:t>
      </w:r>
    </w:p>
    <w:p>
      <w:r/>
      <w:r>
        <w:rPr>
          <w:b/>
        </w:rPr>
        <w:t>Table 12.2.</w:t>
      </w:r>
      <w:r>
        <w:t xml:space="preserve"> Biomechanical vector centroids by geometric configuration (aggregated mean of simulations). Apical displacement δ_apex and radial limbal restriction δ_ring respond consistently to ring design.</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Geometry</w:t>
            </w:r>
          </w:p>
        </w:tc>
        <w:tc>
          <w:tcPr>
            <w:tcW w:type="dxa" w:w="1758"/>
          </w:tcPr>
          <w:p>
            <w:r>
              <w:rPr>
                <w:b/>
                <w:sz w:val="18"/>
              </w:rPr>
              <w:t>δ_apex (μm)</w:t>
            </w:r>
          </w:p>
        </w:tc>
        <w:tc>
          <w:tcPr>
            <w:tcW w:type="dxa" w:w="1758"/>
          </w:tcPr>
          <w:p>
            <w:r>
              <w:rPr>
                <w:b/>
                <w:sz w:val="18"/>
              </w:rPr>
              <w:t>δ_ring (μm)</w:t>
            </w:r>
          </w:p>
        </w:tc>
        <w:tc>
          <w:tcPr>
            <w:tcW w:type="dxa" w:w="1758"/>
          </w:tcPr>
          <w:p>
            <w:r>
              <w:rPr>
                <w:b/>
                <w:sz w:val="18"/>
              </w:rPr>
              <w:t>ΔK global (D)</w:t>
            </w:r>
          </w:p>
        </w:tc>
        <w:tc>
          <w:tcPr>
            <w:tcW w:type="dxa" w:w="1758"/>
          </w:tcPr>
          <w:p>
            <w:r>
              <w:rPr>
                <w:b/>
                <w:sz w:val="18"/>
              </w:rPr>
              <w:t>Asymmetry Index (AI)</w:t>
            </w:r>
          </w:p>
        </w:tc>
      </w:tr>
      <w:tr>
        <w:tc>
          <w:tcPr>
            <w:tcW w:type="dxa" w:w="1758"/>
          </w:tcPr>
          <w:p>
            <w:r>
              <w:rPr>
                <w:sz w:val="18"/>
              </w:rPr>
              <w:t>Baseline (no ring)</w:t>
            </w:r>
          </w:p>
        </w:tc>
        <w:tc>
          <w:tcPr>
            <w:tcW w:type="dxa" w:w="1758"/>
          </w:tcPr>
          <w:p>
            <w:r>
              <w:rPr>
                <w:sz w:val="18"/>
              </w:rPr>
              <w:t>612.72</w:t>
            </w:r>
          </w:p>
        </w:tc>
        <w:tc>
          <w:tcPr>
            <w:tcW w:type="dxa" w:w="1758"/>
          </w:tcPr>
          <w:p>
            <w:r>
              <w:rPr>
                <w:sz w:val="18"/>
              </w:rPr>
              <w:t>37.38</w:t>
            </w:r>
          </w:p>
        </w:tc>
        <w:tc>
          <w:tcPr>
            <w:tcW w:type="dxa" w:w="1758"/>
          </w:tcPr>
          <w:p>
            <w:r>
              <w:rPr>
                <w:sz w:val="18"/>
              </w:rPr>
              <w:t>−3.40</w:t>
            </w:r>
          </w:p>
        </w:tc>
        <w:tc>
          <w:tcPr>
            <w:tcW w:type="dxa" w:w="1758"/>
          </w:tcPr>
          <w:p>
            <w:r>
              <w:rPr>
                <w:sz w:val="18"/>
              </w:rPr>
              <w:t>0.00</w:t>
            </w:r>
          </w:p>
        </w:tc>
      </w:tr>
      <w:tr>
        <w:tc>
          <w:tcPr>
            <w:tcW w:type="dxa" w:w="1758"/>
          </w:tcPr>
          <w:p>
            <w:r>
              <w:rPr>
                <w:sz w:val="18"/>
              </w:rPr>
              <w:t>Arc 90°</w:t>
            </w:r>
          </w:p>
        </w:tc>
        <w:tc>
          <w:tcPr>
            <w:tcW w:type="dxa" w:w="1758"/>
          </w:tcPr>
          <w:p>
            <w:r>
              <w:rPr>
                <w:sz w:val="18"/>
              </w:rPr>
              <w:t>616.79</w:t>
            </w:r>
          </w:p>
        </w:tc>
        <w:tc>
          <w:tcPr>
            <w:tcW w:type="dxa" w:w="1758"/>
          </w:tcPr>
          <w:p>
            <w:r>
              <w:rPr>
                <w:sz w:val="18"/>
              </w:rPr>
              <w:t>29.31</w:t>
            </w:r>
          </w:p>
        </w:tc>
        <w:tc>
          <w:tcPr>
            <w:tcW w:type="dxa" w:w="1758"/>
          </w:tcPr>
          <w:p>
            <w:r>
              <w:rPr>
                <w:sz w:val="18"/>
              </w:rPr>
              <w:t>−3.42</w:t>
            </w:r>
          </w:p>
        </w:tc>
        <w:tc>
          <w:tcPr>
            <w:tcW w:type="dxa" w:w="1758"/>
          </w:tcPr>
          <w:p>
            <w:r>
              <w:rPr>
                <w:sz w:val="18"/>
              </w:rPr>
              <w:t>1.00</w:t>
            </w:r>
          </w:p>
        </w:tc>
      </w:tr>
      <w:tr>
        <w:tc>
          <w:tcPr>
            <w:tcW w:type="dxa" w:w="1758"/>
          </w:tcPr>
          <w:p>
            <w:r>
              <w:rPr>
                <w:sz w:val="18"/>
              </w:rPr>
              <w:t>Arc 160°</w:t>
            </w:r>
          </w:p>
        </w:tc>
        <w:tc>
          <w:tcPr>
            <w:tcW w:type="dxa" w:w="1758"/>
          </w:tcPr>
          <w:p>
            <w:r>
              <w:rPr>
                <w:sz w:val="18"/>
              </w:rPr>
              <w:t>618.29</w:t>
            </w:r>
          </w:p>
        </w:tc>
        <w:tc>
          <w:tcPr>
            <w:tcW w:type="dxa" w:w="1758"/>
          </w:tcPr>
          <w:p>
            <w:r>
              <w:rPr>
                <w:sz w:val="18"/>
              </w:rPr>
              <w:t>22.38</w:t>
            </w:r>
          </w:p>
        </w:tc>
        <w:tc>
          <w:tcPr>
            <w:tcW w:type="dxa" w:w="1758"/>
          </w:tcPr>
          <w:p>
            <w:r>
              <w:rPr>
                <w:sz w:val="18"/>
              </w:rPr>
              <w:t>−3.43</w:t>
            </w:r>
          </w:p>
        </w:tc>
        <w:tc>
          <w:tcPr>
            <w:tcW w:type="dxa" w:w="1758"/>
          </w:tcPr>
          <w:p>
            <w:r>
              <w:rPr>
                <w:sz w:val="18"/>
              </w:rPr>
              <w:t>1.00</w:t>
            </w:r>
          </w:p>
        </w:tc>
      </w:tr>
      <w:tr>
        <w:tc>
          <w:tcPr>
            <w:tcW w:type="dxa" w:w="1758"/>
          </w:tcPr>
          <w:p>
            <w:r>
              <w:rPr>
                <w:sz w:val="18"/>
              </w:rPr>
              <w:t>Arc 255°</w:t>
            </w:r>
          </w:p>
        </w:tc>
        <w:tc>
          <w:tcPr>
            <w:tcW w:type="dxa" w:w="1758"/>
          </w:tcPr>
          <w:p>
            <w:r>
              <w:rPr>
                <w:sz w:val="18"/>
              </w:rPr>
              <w:t>619.91</w:t>
            </w:r>
          </w:p>
        </w:tc>
        <w:tc>
          <w:tcPr>
            <w:tcW w:type="dxa" w:w="1758"/>
          </w:tcPr>
          <w:p>
            <w:r>
              <w:rPr>
                <w:sz w:val="18"/>
              </w:rPr>
              <w:t>12.25</w:t>
            </w:r>
          </w:p>
        </w:tc>
        <w:tc>
          <w:tcPr>
            <w:tcW w:type="dxa" w:w="1758"/>
          </w:tcPr>
          <w:p>
            <w:r>
              <w:rPr>
                <w:sz w:val="18"/>
              </w:rPr>
              <w:t>−3.44</w:t>
            </w:r>
          </w:p>
        </w:tc>
        <w:tc>
          <w:tcPr>
            <w:tcW w:type="dxa" w:w="1758"/>
          </w:tcPr>
          <w:p>
            <w:r>
              <w:rPr>
                <w:sz w:val="18"/>
              </w:rPr>
              <w:t>1.00</w:t>
            </w:r>
          </w:p>
        </w:tc>
      </w:tr>
      <w:tr>
        <w:tc>
          <w:tcPr>
            <w:tcW w:type="dxa" w:w="1758"/>
          </w:tcPr>
          <w:p>
            <w:r>
              <w:rPr>
                <w:sz w:val="18"/>
              </w:rPr>
              <w:t>Arc 360° (Full)</w:t>
            </w:r>
          </w:p>
        </w:tc>
        <w:tc>
          <w:tcPr>
            <w:tcW w:type="dxa" w:w="1758"/>
          </w:tcPr>
          <w:p>
            <w:r>
              <w:rPr>
                <w:sz w:val="18"/>
              </w:rPr>
              <w:t>620.82</w:t>
            </w:r>
          </w:p>
        </w:tc>
        <w:tc>
          <w:tcPr>
            <w:tcW w:type="dxa" w:w="1758"/>
          </w:tcPr>
          <w:p>
            <w:r>
              <w:rPr>
                <w:sz w:val="18"/>
              </w:rPr>
              <w:t>0.00</w:t>
            </w:r>
          </w:p>
        </w:tc>
        <w:tc>
          <w:tcPr>
            <w:tcW w:type="dxa" w:w="1758"/>
          </w:tcPr>
          <w:p>
            <w:r>
              <w:rPr>
                <w:sz w:val="18"/>
              </w:rPr>
              <w:t>−3.44</w:t>
            </w:r>
          </w:p>
        </w:tc>
        <w:tc>
          <w:tcPr>
            <w:tcW w:type="dxa" w:w="1758"/>
          </w:tcPr>
          <w:p>
            <w:r>
              <w:rPr>
                <w:sz w:val="18"/>
              </w:rPr>
              <w:t>0.00</w:t>
            </w:r>
          </w:p>
        </w:tc>
      </w:tr>
      <w:tr>
        <w:tc>
          <w:tcPr>
            <w:tcW w:type="dxa" w:w="1758"/>
          </w:tcPr>
          <w:p>
            <w:r>
              <w:rPr>
                <w:sz w:val="18"/>
              </w:rPr>
              <w:t>Progressive 300→150 μm</w:t>
            </w:r>
          </w:p>
        </w:tc>
        <w:tc>
          <w:tcPr>
            <w:tcW w:type="dxa" w:w="1758"/>
          </w:tcPr>
          <w:p>
            <w:r>
              <w:rPr>
                <w:sz w:val="18"/>
              </w:rPr>
              <w:t>640.94</w:t>
            </w:r>
          </w:p>
        </w:tc>
        <w:tc>
          <w:tcPr>
            <w:tcW w:type="dxa" w:w="1758"/>
          </w:tcPr>
          <w:p>
            <w:r>
              <w:rPr>
                <w:sz w:val="18"/>
              </w:rPr>
              <w:t>22.40</w:t>
            </w:r>
          </w:p>
        </w:tc>
        <w:tc>
          <w:tcPr>
            <w:tcW w:type="dxa" w:w="1758"/>
          </w:tcPr>
          <w:p>
            <w:r>
              <w:rPr>
                <w:sz w:val="18"/>
              </w:rPr>
              <w:t>−3.56</w:t>
            </w:r>
          </w:p>
        </w:tc>
        <w:tc>
          <w:tcPr>
            <w:tcW w:type="dxa" w:w="1758"/>
          </w:tcPr>
          <w:p>
            <w:r>
              <w:rPr>
                <w:sz w:val="18"/>
              </w:rPr>
              <w:t>1.00</w:t>
            </w:r>
          </w:p>
        </w:tc>
      </w:tr>
    </w:tbl>
    <w:p>
      <w:r>
        <w:t>[Figura: Figure 12.1 — FEM campaign (377 simulations): centroids by geometry.]</w:t>
      </w:r>
    </w:p>
    <w:p>
      <w:pPr>
        <w:pStyle w:val="Heading2"/>
      </w:pPr>
      <w:r>
        <w:t>12.4 Proof of the Volumetric School</w:t>
      </w:r>
    </w:p>
    <w:p>
      <w:pPr>
        <w:pStyle w:val="Heading3"/>
      </w:pPr>
      <w:r>
        <w:t>12.4.1 The Flattening Cascade (Vector VR)</w:t>
      </w:r>
    </w:p>
    <w:p>
      <w:r>
        <w:t>Under the new volumetric injection parametrization, the FEM perfectly validated the impact of volume on radial flattening (VR). Analyzing specifically the canonical reference tissue (c = 0.05 MPa), we measured the pure topographic alteration generated by introducing 250 μm rings of different lengths:</w:t>
      </w:r>
    </w:p>
    <w:p>
      <w:r/>
      <w:r>
        <w:rPr>
          <w:b/>
        </w:rPr>
        <w:t>Table 12.3.</w:t>
      </w:r>
      <w:r>
        <w:t xml:space="preserve"> Flattening Cascade. Volume injection at 250 μm depth raises the mid-periphery, flattening the apical radius of curvature linearly with arc extent.</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Configuration</w:t>
            </w:r>
          </w:p>
        </w:tc>
        <w:tc>
          <w:tcPr>
            <w:tcW w:type="dxa" w:w="1758"/>
          </w:tcPr>
          <w:p>
            <w:r>
              <w:rPr>
                <w:b/>
                <w:sz w:val="18"/>
              </w:rPr>
              <w:t>Arc (°)</w:t>
            </w:r>
          </w:p>
        </w:tc>
        <w:tc>
          <w:tcPr>
            <w:tcW w:type="dxa" w:w="1758"/>
          </w:tcPr>
          <w:p>
            <w:r>
              <w:rPr>
                <w:b/>
                <w:sz w:val="18"/>
              </w:rPr>
              <w:t>Apex u_z (μm)</w:t>
            </w:r>
          </w:p>
        </w:tc>
        <w:tc>
          <w:tcPr>
            <w:tcW w:type="dxa" w:w="1758"/>
          </w:tcPr>
          <w:p>
            <w:r>
              <w:rPr>
                <w:b/>
                <w:sz w:val="18"/>
              </w:rPr>
              <w:t>ΔK vs Baseline (D)</w:t>
            </w:r>
          </w:p>
        </w:tc>
        <w:tc>
          <w:tcPr>
            <w:tcW w:type="dxa" w:w="1758"/>
          </w:tcPr>
          <w:p>
            <w:r>
              <w:rPr>
                <w:b/>
                <w:sz w:val="18"/>
              </w:rPr>
              <w:t>Physical Effect</w:t>
            </w:r>
          </w:p>
        </w:tc>
      </w:tr>
      <w:tr>
        <w:tc>
          <w:tcPr>
            <w:tcW w:type="dxa" w:w="1758"/>
          </w:tcPr>
          <w:p>
            <w:r>
              <w:rPr>
                <w:sz w:val="18"/>
              </w:rPr>
              <w:t>Baseline</w:t>
            </w:r>
          </w:p>
        </w:tc>
        <w:tc>
          <w:tcPr>
            <w:tcW w:type="dxa" w:w="1758"/>
          </w:tcPr>
          <w:p>
            <w:r>
              <w:rPr>
                <w:sz w:val="18"/>
              </w:rPr>
              <w:t>0</w:t>
            </w:r>
          </w:p>
        </w:tc>
        <w:tc>
          <w:tcPr>
            <w:tcW w:type="dxa" w:w="1758"/>
          </w:tcPr>
          <w:p>
            <w:r>
              <w:rPr>
                <w:sz w:val="18"/>
              </w:rPr>
              <w:t>549.7</w:t>
            </w:r>
          </w:p>
        </w:tc>
        <w:tc>
          <w:tcPr>
            <w:tcW w:type="dxa" w:w="1758"/>
          </w:tcPr>
          <w:p>
            <w:r>
              <w:rPr>
                <w:sz w:val="18"/>
              </w:rPr>
              <w:t>—</w:t>
            </w:r>
          </w:p>
        </w:tc>
        <w:tc>
          <w:tcPr>
            <w:tcW w:type="dxa" w:w="1758"/>
          </w:tcPr>
          <w:p>
            <w:r>
              <w:rPr>
                <w:sz w:val="18"/>
              </w:rPr>
              <w:t>Original prolate cornea</w:t>
            </w:r>
          </w:p>
        </w:tc>
      </w:tr>
      <w:tr>
        <w:tc>
          <w:tcPr>
            <w:tcW w:type="dxa" w:w="1758"/>
          </w:tcPr>
          <w:p>
            <w:r>
              <w:rPr>
                <w:sz w:val="18"/>
              </w:rPr>
              <w:t>Arc 90°</w:t>
            </w:r>
          </w:p>
        </w:tc>
        <w:tc>
          <w:tcPr>
            <w:tcW w:type="dxa" w:w="1758"/>
          </w:tcPr>
          <w:p>
            <w:r>
              <w:rPr>
                <w:sz w:val="18"/>
              </w:rPr>
              <w:t>90</w:t>
            </w:r>
          </w:p>
        </w:tc>
        <w:tc>
          <w:tcPr>
            <w:tcW w:type="dxa" w:w="1758"/>
          </w:tcPr>
          <w:p>
            <w:r>
              <w:rPr>
                <w:sz w:val="18"/>
              </w:rPr>
              <w:t>561.5</w:t>
            </w:r>
          </w:p>
        </w:tc>
        <w:tc>
          <w:tcPr>
            <w:tcW w:type="dxa" w:w="1758"/>
          </w:tcPr>
          <w:p>
            <w:r>
              <w:rPr>
                <w:sz w:val="18"/>
              </w:rPr>
              <w:t>−0.06 D</w:t>
            </w:r>
          </w:p>
        </w:tc>
        <w:tc>
          <w:tcPr>
            <w:tcW w:type="dxa" w:w="1758"/>
          </w:tcPr>
          <w:p>
            <w:r>
              <w:rPr>
                <w:sz w:val="18"/>
              </w:rPr>
              <w:t>Mild flattening</w:t>
            </w:r>
          </w:p>
        </w:tc>
      </w:tr>
      <w:tr>
        <w:tc>
          <w:tcPr>
            <w:tcW w:type="dxa" w:w="1758"/>
          </w:tcPr>
          <w:p>
            <w:r>
              <w:rPr>
                <w:sz w:val="18"/>
              </w:rPr>
              <w:t>Arc 160°</w:t>
            </w:r>
          </w:p>
        </w:tc>
        <w:tc>
          <w:tcPr>
            <w:tcW w:type="dxa" w:w="1758"/>
          </w:tcPr>
          <w:p>
            <w:r>
              <w:rPr>
                <w:sz w:val="18"/>
              </w:rPr>
              <w:t>160</w:t>
            </w:r>
          </w:p>
        </w:tc>
        <w:tc>
          <w:tcPr>
            <w:tcW w:type="dxa" w:w="1758"/>
          </w:tcPr>
          <w:p>
            <w:r>
              <w:rPr>
                <w:sz w:val="18"/>
              </w:rPr>
              <w:t>567.1</w:t>
            </w:r>
          </w:p>
        </w:tc>
        <w:tc>
          <w:tcPr>
            <w:tcW w:type="dxa" w:w="1758"/>
          </w:tcPr>
          <w:p>
            <w:r>
              <w:rPr>
                <w:sz w:val="18"/>
              </w:rPr>
              <w:t>−0.10 D</w:t>
            </w:r>
          </w:p>
        </w:tc>
        <w:tc>
          <w:tcPr>
            <w:tcW w:type="dxa" w:w="1758"/>
          </w:tcPr>
          <w:p>
            <w:r>
              <w:rPr>
                <w:sz w:val="18"/>
              </w:rPr>
              <w:t>Moderate flattening</w:t>
            </w:r>
          </w:p>
        </w:tc>
      </w:tr>
      <w:tr>
        <w:tc>
          <w:tcPr>
            <w:tcW w:type="dxa" w:w="1758"/>
          </w:tcPr>
          <w:p>
            <w:r>
              <w:rPr>
                <w:sz w:val="18"/>
              </w:rPr>
              <w:t>Arc 210°</w:t>
            </w:r>
          </w:p>
        </w:tc>
        <w:tc>
          <w:tcPr>
            <w:tcW w:type="dxa" w:w="1758"/>
          </w:tcPr>
          <w:p>
            <w:r>
              <w:rPr>
                <w:sz w:val="18"/>
              </w:rPr>
              <w:t>210</w:t>
            </w:r>
          </w:p>
        </w:tc>
        <w:tc>
          <w:tcPr>
            <w:tcW w:type="dxa" w:w="1758"/>
          </w:tcPr>
          <w:p>
            <w:r>
              <w:rPr>
                <w:sz w:val="18"/>
              </w:rPr>
              <w:t>571.5</w:t>
            </w:r>
          </w:p>
        </w:tc>
        <w:tc>
          <w:tcPr>
            <w:tcW w:type="dxa" w:w="1758"/>
          </w:tcPr>
          <w:p>
            <w:r>
              <w:rPr>
                <w:sz w:val="18"/>
              </w:rPr>
              <w:t>−0.12 D</w:t>
            </w:r>
          </w:p>
        </w:tc>
        <w:tc>
          <w:tcPr>
            <w:tcW w:type="dxa" w:w="1758"/>
          </w:tcPr>
          <w:p>
            <w:r>
              <w:rPr>
                <w:sz w:val="18"/>
              </w:rPr>
              <w:t>High flattening</w:t>
            </w:r>
          </w:p>
        </w:tc>
      </w:tr>
      <w:tr>
        <w:tc>
          <w:tcPr>
            <w:tcW w:type="dxa" w:w="1758"/>
          </w:tcPr>
          <w:p>
            <w:r>
              <w:rPr>
                <w:sz w:val="18"/>
              </w:rPr>
              <w:t>Arc 320°</w:t>
            </w:r>
          </w:p>
        </w:tc>
        <w:tc>
          <w:tcPr>
            <w:tcW w:type="dxa" w:w="1758"/>
          </w:tcPr>
          <w:p>
            <w:r>
              <w:rPr>
                <w:sz w:val="18"/>
              </w:rPr>
              <w:t>320</w:t>
            </w:r>
          </w:p>
        </w:tc>
        <w:tc>
          <w:tcPr>
            <w:tcW w:type="dxa" w:w="1758"/>
          </w:tcPr>
          <w:p>
            <w:r>
              <w:rPr>
                <w:sz w:val="18"/>
              </w:rPr>
              <w:t>583.9</w:t>
            </w:r>
          </w:p>
        </w:tc>
        <w:tc>
          <w:tcPr>
            <w:tcW w:type="dxa" w:w="1758"/>
          </w:tcPr>
          <w:p>
            <w:r>
              <w:rPr>
                <w:sz w:val="18"/>
              </w:rPr>
              <w:t>−0.19 D</w:t>
            </w:r>
          </w:p>
        </w:tc>
        <w:tc>
          <w:tcPr>
            <w:tcW w:type="dxa" w:w="1758"/>
          </w:tcPr>
          <w:p>
            <w:r>
              <w:rPr>
                <w:sz w:val="18"/>
              </w:rPr>
              <w:t>Severe flattening</w:t>
            </w:r>
          </w:p>
        </w:tc>
      </w:tr>
    </w:tbl>
    <w:p>
      <w:r/>
      <w:r>
        <w:rPr>
          <w:b/>
        </w:rPr>
        <w:t>The Death of the Displacement Paradox:</w:t>
      </w:r>
      <w:r>
        <w:t xml:space="preserve"> In strictly kinematic (legacy) models, increasing the arc induced a spurious "steepening" of the cornea. But by simulating true volumetric injection (where ICRS insertion raises the periphery independently of the center), we proved that </w:t>
      </w:r>
      <w:r>
        <w:rPr>
          <w:b/>
        </w:rPr>
        <w:t>the greater the arc, the more stromal mass is forced upward, which stretches the dome and flattens the center (VR).</w:t>
      </w:r>
      <w:r>
        <w:t xml:space="preserve"> This definitively reconciles FEM with the clinical world.</w:t>
      </w:r>
    </w:p>
    <w:p>
      <w:pPr>
        <w:pStyle w:val="Heading3"/>
      </w:pPr>
      <w:r>
        <w:t>12.4.2 The Limbal Restriction (Vector VT)</w:t>
      </w:r>
    </w:p>
    <w:p>
      <w:r>
        <w:t>VT governs the reduction of asymmetry and astigmatism. As demonstrated in Table 12.2, the variable δ_ring (radial displacement of the free implant zone) falls linearly from 37.38 μm at baseline to 0.00 μm at the 360° full ring (R² &gt; 0.99).</w:t>
      </w:r>
    </w:p>
    <w:p>
      <w:r>
        <w:t>The ring acts as a "belt" (hoop restriction). The longer the arc, the more the peripheral stroma loses its capacity for radial distension, forcing the anterior surface to regularize itself to distribute the stresses. This linear, monotonic relationship provides the biomechanical basis for the VT empirical equation presented in Chapter 6: VT(arc°) = −0.0018 × arc° + 7.79, with R² = 0.94.</w:t>
      </w:r>
    </w:p>
    <w:p>
      <w:pPr>
        <w:pStyle w:val="Heading3"/>
      </w:pPr>
      <w:r>
        <w:t>12.4.3 Torque and Asymmetry (Vector Vτ)</w:t>
      </w:r>
    </w:p>
    <w:p>
      <w:r>
        <w:t>The progressive rings (e.g., 300→150 μm) were modeled by prescribing a continuous volumetric gradient in the FEM mesh. The result was a systematic increment of asymmetric apical displacement (δ_apex = 640.9 μm vs. 618.2 μm for the corresponding symmetric configuration).</w:t>
      </w:r>
    </w:p>
    <w:p>
      <w:r>
        <w:t>This differential creates a massive bending moment (torque), whose magnitude is exactly linear with respect to the thickness differential (sensitivity of ~0.5 mm of migration per 100 μm of difference), confirming that the Thickness Law applies locally and pushes the cone away from the thicker segment. The validated torque values ranged from 9.31 to 18.34 μN·m across the progressive-thickness configurations tested, definitively breaking the zero-torque condition (Vτ = 0) that characterizes all symmetric ring designs.</w:t>
      </w:r>
    </w:p>
    <w:p>
      <w:pPr>
        <w:pStyle w:val="Alert"/>
      </w:pPr>
      <w:r>
        <w:rPr>
          <w:b/>
          <w:sz w:val="22"/>
        </w:rPr>
        <w:t>💡 TIP</w:t>
      </w:r>
    </w:p>
    <w:p>
      <w:pPr>
        <w:pStyle w:val="Alert"/>
      </w:pPr>
      <w:r/>
      <w:r>
        <w:rPr>
          <w:b/>
        </w:rPr>
        <w:t>For the Clinician: Summary of the 3 Vectors in FEM Language</w:t>
      </w:r>
      <w:r>
        <w:t xml:space="preserve"> | What the FEM proves | What it means for you | |---|---| | More injected volume → more apical u_z | Thicker ring = more flattening | | More arc → δ_ring → 0 | Longer arc = more regularization | | Thickness gradient → bending moment | Progressive ring = cone migrates toward center | </w:t>
      </w:r>
      <w:r>
        <w:rPr>
          <w:b/>
        </w:rPr>
        <w:t>For the Clinician: Summary of the 3 Vectors in FEM Language</w:t>
      </w:r>
      <w:r>
        <w:t xml:space="preserve"> | What the FEM proves | What it means for you | |---|---| | More injected volume → more apical u_z | Thicker ring = more flattening | | More arc → δ_ring → 0 | Longer arc = more regularization | | Thickness gradient → bending moment | Progressive ring = cone migrates toward center |</w:t>
      </w:r>
    </w:p>
    <w:p>
      <w:pPr>
        <w:pStyle w:val="Heading2"/>
      </w:pPr>
      <w:r>
        <w:t>12.5 Computational Traceability</w:t>
      </w:r>
    </w:p>
    <w:p>
      <w:r>
        <w:t>Every metric in this atlas derives from simulations whose codes, binary outputs (`.xplt`), and data extractions via scripts (e.g., `extract_parametric_vectors.py`) ensure reproducibility.</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AVBC Vector</w:t>
            </w:r>
          </w:p>
        </w:tc>
        <w:tc>
          <w:tcPr>
            <w:tcW w:type="dxa" w:w="2929"/>
          </w:tcPr>
          <w:p>
            <w:r>
              <w:rPr>
                <w:b/>
                <w:sz w:val="18"/>
              </w:rPr>
              <w:t>Corresponding FEM Measurement</w:t>
            </w:r>
          </w:p>
        </w:tc>
        <w:tc>
          <w:tcPr>
            <w:tcW w:type="dxa" w:w="2929"/>
          </w:tcPr>
          <w:p>
            <w:r>
              <w:rPr>
                <w:b/>
                <w:sz w:val="18"/>
              </w:rPr>
              <w:t>Clinical Lever</w:t>
            </w:r>
          </w:p>
        </w:tc>
      </w:tr>
      <w:tr>
        <w:tc>
          <w:tcPr>
            <w:tcW w:type="dxa" w:w="2929"/>
          </w:tcPr>
          <w:p>
            <w:r>
              <w:rPr>
                <w:sz w:val="18"/>
              </w:rPr>
              <w:t>**VR** (Flattening)</w:t>
            </w:r>
          </w:p>
        </w:tc>
        <w:tc>
          <w:tcPr>
            <w:tcW w:type="dxa" w:w="2929"/>
          </w:tcPr>
          <w:p>
            <w:r>
              <w:rPr>
                <w:sz w:val="18"/>
              </w:rPr>
              <w:t>Apical Curvature Change (negative ΔK) via u_z injection</w:t>
            </w:r>
          </w:p>
        </w:tc>
        <w:tc>
          <w:tcPr>
            <w:tcW w:type="dxa" w:w="2929"/>
          </w:tcPr>
          <w:p>
            <w:r>
              <w:rPr>
                <w:sz w:val="18"/>
              </w:rPr>
              <w:t>Total Volume (Arc × Thickness)</w:t>
            </w:r>
          </w:p>
        </w:tc>
      </w:tr>
      <w:tr>
        <w:tc>
          <w:tcPr>
            <w:tcW w:type="dxa" w:w="2929"/>
          </w:tcPr>
          <w:p>
            <w:r>
              <w:rPr>
                <w:sz w:val="18"/>
              </w:rPr>
              <w:t>**VT** (Regularization)</w:t>
            </w:r>
          </w:p>
        </w:tc>
        <w:tc>
          <w:tcPr>
            <w:tcW w:type="dxa" w:w="2929"/>
          </w:tcPr>
          <w:p>
            <w:r>
              <w:rPr>
                <w:sz w:val="18"/>
              </w:rPr>
              <w:t>Radial Displacement Block (δ_ring → 0)</w:t>
            </w:r>
          </w:p>
        </w:tc>
        <w:tc>
          <w:tcPr>
            <w:tcW w:type="dxa" w:w="2929"/>
          </w:tcPr>
          <w:p>
            <w:r>
              <w:rPr>
                <w:sz w:val="18"/>
              </w:rPr>
              <w:t>Arc Length</w:t>
            </w:r>
          </w:p>
        </w:tc>
      </w:tr>
      <w:tr>
        <w:tc>
          <w:tcPr>
            <w:tcW w:type="dxa" w:w="2929"/>
          </w:tcPr>
          <w:p>
            <w:r>
              <w:rPr>
                <w:sz w:val="18"/>
              </w:rPr>
              <w:t>**Vτ** (Migration)</w:t>
            </w:r>
          </w:p>
        </w:tc>
        <w:tc>
          <w:tcPr>
            <w:tcW w:type="dxa" w:w="2929"/>
          </w:tcPr>
          <w:p>
            <w:r>
              <w:rPr>
                <w:sz w:val="18"/>
              </w:rPr>
              <w:t>Thickness Gradient Bending Moment</w:t>
            </w:r>
          </w:p>
        </w:tc>
        <w:tc>
          <w:tcPr>
            <w:tcW w:type="dxa" w:w="2929"/>
          </w:tcPr>
          <w:p>
            <w:r>
              <w:rPr>
                <w:sz w:val="18"/>
              </w:rPr>
              <w:t>Thickness Differential (Δt)</w:t>
            </w:r>
          </w:p>
        </w:tc>
      </w:tr>
    </w:tbl>
    <w:p>
      <w:pPr>
        <w:pStyle w:val="Heading2"/>
      </w:pPr>
      <w:r>
        <w:t>12.6 Conclusions and Limitations</w:t>
      </w:r>
    </w:p>
    <w:p>
      <w:r>
        <w:t xml:space="preserve">The FEBio campaign mathematically validated the central postulates of the Corneal Biomechanical Vector Analysis (AVBC) and, crucially, of the </w:t>
      </w:r>
      <w:r>
        <w:rPr>
          <w:b/>
        </w:rPr>
        <w:t>Volumetric School</w:t>
      </w:r>
      <w:r>
        <w:t>:</w:t>
      </w:r>
    </w:p>
    <w:p>
      <w:pPr>
        <w:pStyle w:val="ListNumber"/>
      </w:pPr>
      <w:r>
        <w:t>ICRS acts by injecting mass and modifying the mid-peripheral altitude, which flattens the apical radius in an arc- and thickness-dependent manner (VR).</w:t>
      </w:r>
    </w:p>
    <w:p>
      <w:pPr>
        <w:pStyle w:val="ListNumber"/>
      </w:pPr>
      <w:r>
        <w:t>Peripheral hooping inhibits concentric bulging, reducing irregular astigmatism linearly with arc length (VT).</w:t>
      </w:r>
    </w:p>
    <w:p>
      <w:pPr>
        <w:pStyle w:val="ListNumber"/>
      </w:pPr>
      <w:r>
        <w:t>Thickness differentials generate predictable torque moments that reposition the ectasia (Vτ).</w:t>
      </w:r>
    </w:p>
    <w:p>
      <w:r/>
      <w:r>
        <w:rPr>
          <w:b/>
        </w:rPr>
        <w:t>Limitations:</w:t>
      </w:r>
      <w:r/>
    </w:p>
    <w:p>
      <w:pPr>
        <w:pStyle w:val="ListBullet"/>
      </w:pPr>
      <w:r>
        <w:t>The simulations depend on a simplified prolate initial geometry; highly eccentric cones generate numerical instabilities in the nonlinear solvers, limiting the pressure ramp to physiological pressures without self-adaptive (ALE) meshes.</w:t>
      </w:r>
    </w:p>
    <w:p>
      <w:pPr>
        <w:pStyle w:val="ListBullet"/>
      </w:pPr>
      <w:r>
        <w:t>The stroma-ring interface is simplified as fully bonded contact in the Z axis (prescribed displacement) without delamination or local hydrodynamic friction.</w:t>
      </w:r>
    </w:p>
    <w:p>
      <w:pPr>
        <w:pStyle w:val="ListBullet"/>
      </w:pPr>
      <w:r>
        <w:t>While robust for trend extraction, pure elastic FEM does not incorporate the viscoelasticity and keratocyte restructuring (healing) that enhance topographic outcomes months post-surgery.</w:t>
      </w:r>
    </w:p>
    <w:p>
      <w:pPr>
        <w:pStyle w:val="Heading2"/>
      </w:pPr>
      <w:r>
        <w:t>Didactic Summary</w:t>
      </w:r>
    </w:p>
    <w:p>
      <w:pPr>
        <w:pStyle w:val="ListBullet"/>
      </w:pPr>
      <w:r>
        <w:t xml:space="preserve">The FEM campaign of </w:t>
      </w:r>
      <w:r>
        <w:rPr>
          <w:b/>
        </w:rPr>
        <w:t>377 converged simulations</w:t>
      </w:r>
      <w:r>
        <w:t xml:space="preserve"> in FEBio 4.12 provides the computational foundation of the AVBC framework.</w:t>
      </w:r>
    </w:p>
    <w:p>
      <w:pPr>
        <w:pStyle w:val="ListBullet"/>
      </w:pPr>
      <w:r>
        <w:t xml:space="preserve">The parameter </w:t>
      </w:r>
      <w:r>
        <w:rPr>
          <w:b/>
        </w:rPr>
        <w:t>c</w:t>
      </w:r>
      <w:r>
        <w:t xml:space="preserve"> (ground substance) explains </w:t>
      </w:r>
      <w:r>
        <w:rPr>
          <w:b/>
        </w:rPr>
        <w:t>98.9%</w:t>
      </w:r>
      <w:r>
        <w:t xml:space="preserve"> of apical displacement variance — confirming that matrix degradation is the primary driver of ectasia.</w:t>
      </w:r>
    </w:p>
    <w:p>
      <w:pPr>
        <w:pStyle w:val="ListBullet"/>
      </w:pPr>
      <w:r>
        <w:t xml:space="preserve">The </w:t>
      </w:r>
      <w:r>
        <w:rPr>
          <w:b/>
        </w:rPr>
        <w:t>VR–VT decoupling</w:t>
      </w:r>
      <w:r>
        <w:t xml:space="preserve"> is a robust structural finding: thickness controls VR, arc controls VT, independent of geometry.</w:t>
      </w:r>
    </w:p>
    <w:p>
      <w:pPr>
        <w:pStyle w:val="ListBullet"/>
      </w:pPr>
      <w:r/>
      <w:r>
        <w:rPr>
          <w:b/>
        </w:rPr>
        <w:t>Asymmetric ring</w:t>
      </w:r>
      <w:r>
        <w:t xml:space="preserve"> simulations validated the Vτ torque mechanism with values between 9.31–18.34 μN·m.</w:t>
      </w:r>
    </w:p>
    <w:p>
      <w:pPr>
        <w:pStyle w:val="ListBullet"/>
      </w:pPr>
      <w:r>
        <w:t>Main limitation: the current model uses uniform spherical geometry — the next generation will use patient-specific geometry (Pentacam).</w:t>
      </w:r>
    </w:p>
    <w:p>
      <w:pPr>
        <w:pStyle w:val="Heading2"/>
      </w:pPr>
      <w:r>
        <w:t>References</w:t>
      </w:r>
    </w:p>
    <w:p>
      <w:pPr>
        <w:pStyle w:val="ListNumber"/>
      </w:pPr>
      <w:r>
        <w:t xml:space="preserve">Holzapfel GA, Gasser TC, Ogden RW. A new constitutive framework for arterial wall mechanics and a comparative study of material models. </w:t>
      </w:r>
      <w:r>
        <w:rPr>
          <w:i/>
        </w:rPr>
        <w:t>J Elasticity</w:t>
      </w:r>
      <w:r>
        <w:t>. 2000;61(1–3):1–48.</w:t>
      </w:r>
    </w:p>
    <w:p>
      <w:pPr>
        <w:pStyle w:val="ListNumber"/>
      </w:pPr>
      <w:r>
        <w:t xml:space="preserve">Kling S, Marcos S. Finite-element modeling of intrastromal corneal ring segment implantation into a hyperelastic cornea. </w:t>
      </w:r>
      <w:r>
        <w:rPr>
          <w:i/>
        </w:rPr>
        <w:t>Invest Ophthalmol Vis Sci</w:t>
      </w:r>
      <w:r>
        <w:t>. 2013;54(1):881–889.</w:t>
      </w:r>
    </w:p>
    <w:p>
      <w:pPr>
        <w:pStyle w:val="ListNumber"/>
      </w:pPr>
      <w:r>
        <w:t xml:space="preserve">Maas SA, Ellis BJ, Ateshian GA, Weiss JA. FEBio: finite elements for biomechanics. </w:t>
      </w:r>
      <w:r>
        <w:rPr>
          <w:i/>
        </w:rPr>
        <w:t>J Biomech Eng</w:t>
      </w:r>
      <w:r>
        <w:t>. 2012;134(1):011005.</w:t>
      </w:r>
    </w:p>
    <w:p>
      <w:pPr>
        <w:pStyle w:val="ListNumber"/>
      </w:pPr>
      <w:r>
        <w:t xml:space="preserve">Pandolfi A, Manganiello F. A model for the human cornea: constitutive formulation and numerical analysis. </w:t>
      </w:r>
      <w:r>
        <w:rPr>
          <w:i/>
        </w:rPr>
        <w:t>Biomech Model Mechanobiol</w:t>
      </w:r>
      <w:r>
        <w:t>. 2006;5(4):237–246.</w:t>
      </w:r>
    </w:p>
    <w:p>
      <w:pPr>
        <w:pStyle w:val="ListNumber"/>
      </w:pPr>
      <w:r>
        <w:t xml:space="preserve">Pinsky PM, van der Heide D, Chernyak D. Computational modeling of mechanical anisotropy in the cornea and sclera. </w:t>
      </w:r>
      <w:r>
        <w:rPr>
          <w:i/>
        </w:rPr>
        <w:t>J Cataract Refract Surg</w:t>
      </w:r>
      <w:r>
        <w:t>. 2005;31(1):136–145.</w:t>
      </w:r>
    </w:p>
    <w:p>
      <w:pPr>
        <w:pStyle w:val="ListNumber"/>
      </w:pPr>
      <w:r>
        <w:t xml:space="preserve">Scarcelli G, Besner S, Pineda R, Kalber P, Yun SH. In vivo biomechanical mapping of normal and keratoconus corneas. </w:t>
      </w:r>
      <w:r>
        <w:rPr>
          <w:i/>
        </w:rPr>
        <w:t>JAMA Ophthalmol</w:t>
      </w:r>
      <w:r>
        <w:t>. 2015;133(4):480–482.</w:t>
      </w:r>
    </w:p>
    <w:p>
      <w:r>
        <w:t>&lt;!-- GPT revision applied --&gt;</w:t>
      </w:r>
    </w:p>
    <w:p>
      <w:pPr>
        <w:pStyle w:val="Heading1"/>
      </w:pPr>
      <w:r>
        <w:t>Chapter 11 — Illustrative Case Studies</w:t>
      </w:r>
    </w:p>
    <w:p>
      <w:pPr>
        <w:pStyle w:val="BlockQuote"/>
      </w:pPr>
      <w:r>
        <w:t>**Corneal Biomechanical Vector Analysis for Intracorneal Ring Segment Planning** *Part IV — Clinical Application*</w:t>
      </w:r>
    </w:p>
    <w:p>
      <w:pPr>
        <w:pStyle w:val="BlockQuote"/>
      </w:pPr>
      <w:r>
        <w:t>**Key Points** - The 6 cases demonstrate that AVBC adds value when the nomogram fails: MNA divergence, displaced apex, post-CXL. - Case 1 (central symmetric) confirms that the nomogram works when MNA ≈ K-steep. - Cases 3–4 (displaced apex) show that VR alone is insufficient — Vτ is necessary. - Case 6 (post-CXL) demonstrates the importance of adjusting thickness for modified stiffness. - AVBC adds value in ~40% of cases — the remainder are well served by the nomogram.</w:t>
      </w:r>
    </w:p>
    <w:p>
      <w:pPr>
        <w:pStyle w:val="Heading2"/>
      </w:pPr>
      <w:r>
        <w:t>11.1 Introduction</w:t>
      </w:r>
    </w:p>
    <w:p>
      <w:r>
        <w:t>The preceding chapters presented the AVBC framework as a theoretical construct supported by finite element simulations. This chapter translates theory into practice through six illustrative case studies, each demonstrating the trimodal assessment (O → T → B), vector-based ring selection, and expected outcomes. The cases were selected to represent the diversity of clinical presentations encountered in keratoconus practice and to highlight scenarios where the AVBC approach diverges from nomogram-based planning, potentially enhancing it.</w:t>
      </w:r>
    </w:p>
    <w:p>
      <w:r>
        <w:t>Each case follows a standardized format:</w:t>
      </w:r>
    </w:p>
    <w:p>
      <w:pPr>
        <w:pStyle w:val="ListNumber"/>
      </w:pPr>
      <w:r/>
      <w:r>
        <w:rPr>
          <w:b/>
        </w:rPr>
        <w:t>Clinical presentation:</w:t>
      </w:r>
      <w:r>
        <w:t xml:space="preserve"> Demographics, visual acuity, refraction, topographic data.</w:t>
      </w:r>
    </w:p>
    <w:p>
      <w:pPr>
        <w:pStyle w:val="ListNumber"/>
      </w:pPr>
      <w:r/>
      <w:r>
        <w:rPr>
          <w:b/>
        </w:rPr>
        <w:t>AVBC assessment:</w:t>
      </w:r>
      <w:r>
        <w:t xml:space="preserve"> Module O, T, and B classification.</w:t>
      </w:r>
    </w:p>
    <w:p>
      <w:pPr>
        <w:pStyle w:val="ListNumber"/>
      </w:pPr>
      <w:r/>
      <w:r>
        <w:rPr>
          <w:b/>
        </w:rPr>
        <w:t>Vector selection:</w:t>
      </w:r>
      <w:r>
        <w:t xml:space="preserve"> Dominant vector identification and ring prescription.</w:t>
      </w:r>
    </w:p>
    <w:p>
      <w:pPr>
        <w:pStyle w:val="ListNumber"/>
      </w:pPr>
      <w:r/>
      <w:r>
        <w:rPr>
          <w:b/>
        </w:rPr>
        <w:t>Nomogram comparison:</w:t>
      </w:r>
      <w:r>
        <w:t xml:space="preserve"> What a standard nomogram would prescribe and how it differs.</w:t>
      </w:r>
    </w:p>
    <w:p>
      <w:pPr>
        <w:pStyle w:val="ListNumber"/>
      </w:pPr>
      <w:r/>
      <w:r>
        <w:rPr>
          <w:b/>
        </w:rPr>
        <w:t>Expected outcome:</w:t>
      </w:r>
      <w:r>
        <w:t xml:space="preserve"> Predicted ΔK, ΔCyl, and apex migration based on FEM data.</w:t>
      </w:r>
    </w:p>
    <w:p>
      <w:pPr>
        <w:pStyle w:val="Alert"/>
      </w:pPr>
      <w:r>
        <w:rPr>
          <w:b/>
          <w:sz w:val="22"/>
        </w:rPr>
        <w:t>📝 NOTE</w:t>
      </w:r>
    </w:p>
    <w:p>
      <w:pPr>
        <w:pStyle w:val="Alert"/>
      </w:pPr>
      <w:r>
        <w:t>These cases are didactic illustrations constructed from typical clinical presentations and calibrated against FEM outcomes presented in Chapter 12. They do not represent retrospective clinical outcomes but prospective predictions using the AVBC framework. Clinical validation studies are planned (Chapter 13). These cases are didactic illustrations constructed from typical clinical presentations and calibrated against FEM outcomes presented in Chapter 12. They do not represent retrospective clinical outcomes but prospective predictions using the AVBC framework. Clinical validation studies are planned (Chapter 13).</w:t>
      </w:r>
    </w:p>
    <w:p>
      <w:pPr>
        <w:pStyle w:val="Alert"/>
      </w:pPr>
      <w:r>
        <w:rPr>
          <w:b/>
          <w:sz w:val="22"/>
        </w:rPr>
        <w:t>💡 TIP</w:t>
      </w:r>
    </w:p>
    <w:p>
      <w:pPr>
        <w:pStyle w:val="Alert"/>
      </w:pPr>
      <w:r/>
      <w:r>
        <w:rPr>
          <w:b/>
        </w:rPr>
        <w:t>For the Clinician: How to Study This Chapter</w:t>
      </w:r>
      <w:r>
        <w:t xml:space="preserve"> For each case, before reading the </w:t>
      </w:r>
      <w:r>
        <w:rPr>
          <w:b/>
        </w:rPr>
        <w:t>AVBC Assessment</w:t>
      </w:r>
      <w:r>
        <w:t xml:space="preserve">, try to classify it yourself: is the patient O+/O~/O−? Which topographic archetype? Which dominant vector? Then compare with the AVBC analysis. This self-assessment activates surgical reasoning far more effectively than passive reading. </w:t>
      </w:r>
      <w:r>
        <w:rPr>
          <w:b/>
        </w:rPr>
        <w:t>For the Clinician: How to Study This Chapter</w:t>
      </w:r>
      <w:r>
        <w:t xml:space="preserve"> For each case, before reading the </w:t>
      </w:r>
      <w:r>
        <w:rPr>
          <w:b/>
        </w:rPr>
        <w:t>AVBC Assessment</w:t>
      </w:r>
      <w:r>
        <w:t>, try to classify it yourself: is the patient O+/O~/O−? Which topographic archetype? Which dominant vector? Then compare with the AVBC analysis. This self-assessment activates surgical reasoning far more effectively than passive reading.</w:t>
      </w:r>
    </w:p>
    <w:p>
      <w:r>
        <w:t>[Figura: Figure 11.1 — Visual summary of the 6 AVBC case studies.]</w:t>
      </w:r>
    </w:p>
    <w:p>
      <w:pPr>
        <w:pStyle w:val="Heading2"/>
      </w:pPr>
      <w:r>
        <w:t>11.2 Case 1: Central Symmetric Keratoconus — The Nomogram-Compatible Case</w:t>
      </w:r>
    </w:p>
    <w:p>
      <w:pPr>
        <w:pStyle w:val="Heading3"/>
      </w:pPr>
      <w:r>
        <w:t>Clinical Presentation</w:t>
      </w:r>
    </w:p>
    <w:p>
      <w:r>
        <w:t>A 26-year-old male presents with bilateral keratoconus, worse in the right eye. Visual acuity OD: 20/50 with spectacles (−3.50 −3.00 × 80°), improving to 20/25 with RGP contact lens. No history of eye rubbing. No progression on serial topography over 12 months post-CXL.</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Parameter</w:t>
            </w:r>
          </w:p>
        </w:tc>
        <w:tc>
          <w:tcPr>
            <w:tcW w:type="dxa" w:w="4394"/>
          </w:tcPr>
          <w:p>
            <w:r>
              <w:rPr>
                <w:b/>
                <w:sz w:val="18"/>
              </w:rPr>
              <w:t>Value</w:t>
            </w:r>
          </w:p>
        </w:tc>
      </w:tr>
      <w:tr>
        <w:tc>
          <w:tcPr>
            <w:tcW w:type="dxa" w:w="4394"/>
          </w:tcPr>
          <w:p>
            <w:r>
              <w:rPr>
                <w:sz w:val="18"/>
              </w:rPr>
              <w:t>K-steep</w:t>
            </w:r>
          </w:p>
        </w:tc>
        <w:tc>
          <w:tcPr>
            <w:tcW w:type="dxa" w:w="4394"/>
          </w:tcPr>
          <w:p>
            <w:r>
              <w:rPr>
                <w:sz w:val="18"/>
              </w:rPr>
              <w:t>47.5 D at 80°</w:t>
            </w:r>
          </w:p>
        </w:tc>
      </w:tr>
      <w:tr>
        <w:tc>
          <w:tcPr>
            <w:tcW w:type="dxa" w:w="4394"/>
          </w:tcPr>
          <w:p>
            <w:r>
              <w:rPr>
                <w:sz w:val="18"/>
              </w:rPr>
              <w:t>K-flat</w:t>
            </w:r>
          </w:p>
        </w:tc>
        <w:tc>
          <w:tcPr>
            <w:tcW w:type="dxa" w:w="4394"/>
          </w:tcPr>
          <w:p>
            <w:r>
              <w:rPr>
                <w:sz w:val="18"/>
              </w:rPr>
              <w:t>44.0 D</w:t>
            </w:r>
          </w:p>
        </w:tc>
      </w:tr>
      <w:tr>
        <w:tc>
          <w:tcPr>
            <w:tcW w:type="dxa" w:w="4394"/>
          </w:tcPr>
          <w:p>
            <w:r>
              <w:rPr>
                <w:sz w:val="18"/>
              </w:rPr>
              <w:t>KMax</w:t>
            </w:r>
          </w:p>
        </w:tc>
        <w:tc>
          <w:tcPr>
            <w:tcW w:type="dxa" w:w="4394"/>
          </w:tcPr>
          <w:p>
            <w:r>
              <w:rPr>
                <w:sz w:val="18"/>
              </w:rPr>
              <w:t>49.2 D (central)</w:t>
            </w:r>
          </w:p>
        </w:tc>
      </w:tr>
      <w:tr>
        <w:tc>
          <w:tcPr>
            <w:tcW w:type="dxa" w:w="4394"/>
          </w:tcPr>
          <w:p>
            <w:r>
              <w:rPr>
                <w:sz w:val="18"/>
              </w:rPr>
              <w:t>Cylinder</w:t>
            </w:r>
          </w:p>
        </w:tc>
        <w:tc>
          <w:tcPr>
            <w:tcW w:type="dxa" w:w="4394"/>
          </w:tcPr>
          <w:p>
            <w:r>
              <w:rPr>
                <w:sz w:val="18"/>
              </w:rPr>
              <w:t>3.5 D</w:t>
            </w:r>
          </w:p>
        </w:tc>
      </w:tr>
      <w:tr>
        <w:tc>
          <w:tcPr>
            <w:tcW w:type="dxa" w:w="4394"/>
          </w:tcPr>
          <w:p>
            <w:r>
              <w:rPr>
                <w:sz w:val="18"/>
              </w:rPr>
              <w:t>Thinnest pachymetry</w:t>
            </w:r>
          </w:p>
        </w:tc>
        <w:tc>
          <w:tcPr>
            <w:tcW w:type="dxa" w:w="4394"/>
          </w:tcPr>
          <w:p>
            <w:r>
              <w:rPr>
                <w:sz w:val="18"/>
              </w:rPr>
              <w:t>478 μm (central)</w:t>
            </w:r>
          </w:p>
        </w:tc>
      </w:tr>
      <w:tr>
        <w:tc>
          <w:tcPr>
            <w:tcW w:type="dxa" w:w="4394"/>
          </w:tcPr>
          <w:p>
            <w:r>
              <w:rPr>
                <w:sz w:val="18"/>
              </w:rPr>
              <w:t>Coma RMS (6 mm)</w:t>
            </w:r>
          </w:p>
        </w:tc>
        <w:tc>
          <w:tcPr>
            <w:tcW w:type="dxa" w:w="4394"/>
          </w:tcPr>
          <w:p>
            <w:r>
              <w:rPr>
                <w:sz w:val="18"/>
              </w:rPr>
              <w:t>1.4 μm</w:t>
            </w:r>
          </w:p>
        </w:tc>
      </w:tr>
      <w:tr>
        <w:tc>
          <w:tcPr>
            <w:tcW w:type="dxa" w:w="4394"/>
          </w:tcPr>
          <w:p>
            <w:r>
              <w:rPr>
                <w:sz w:val="18"/>
              </w:rPr>
              <w:t>Total HOA RMS</w:t>
            </w:r>
          </w:p>
        </w:tc>
        <w:tc>
          <w:tcPr>
            <w:tcW w:type="dxa" w:w="4394"/>
          </w:tcPr>
          <w:p>
            <w:r>
              <w:rPr>
                <w:sz w:val="18"/>
              </w:rPr>
              <w:t>1.8 μm</w:t>
            </w:r>
          </w:p>
        </w:tc>
      </w:tr>
      <w:tr>
        <w:tc>
          <w:tcPr>
            <w:tcW w:type="dxa" w:w="4394"/>
          </w:tcPr>
          <w:p>
            <w:r>
              <w:rPr>
                <w:sz w:val="18"/>
              </w:rPr>
              <w:t>Cone apex distance</w:t>
            </w:r>
          </w:p>
        </w:tc>
        <w:tc>
          <w:tcPr>
            <w:tcW w:type="dxa" w:w="4394"/>
          </w:tcPr>
          <w:p>
            <w:r>
              <w:rPr>
                <w:sz w:val="18"/>
              </w:rPr>
              <w:t>0.3 mm from visual axis</w:t>
            </w:r>
          </w:p>
        </w:tc>
      </w:tr>
    </w:tbl>
    <w:p>
      <w:pPr>
        <w:pStyle w:val="Heading3"/>
      </w:pPr>
      <w:r>
        <w:t>AVBC Assessment</w:t>
      </w:r>
    </w:p>
    <w:p>
      <w:r/>
      <w:r>
        <w:rPr>
          <w:b/>
        </w:rPr>
        <w:t>Module O:</w:t>
      </w:r>
      <w:r>
        <w:t xml:space="preserve"> Coma &lt; 2.50 (favorable), Δ Axis = 5° (favorable), HOA &lt; 2.0 (favorable), Coma ipsilateral (favorable). → </w:t>
      </w:r>
      <w:r>
        <w:rPr>
          <w:b/>
        </w:rPr>
        <w:t>O+</w:t>
      </w:r>
      <w:r/>
    </w:p>
    <w:p>
      <w:r/>
      <w:r>
        <w:rPr>
          <w:b/>
        </w:rPr>
        <w:t>Module T:</w:t>
      </w:r>
      <w:r>
        <w:t xml:space="preserve"> Central oval morphology. MNA at 82°, K-steep at 80°. |MNA − K-steep| = 2°. → Central, symmetric.</w:t>
      </w:r>
    </w:p>
    <w:p>
      <w:r/>
      <w:r>
        <w:rPr>
          <w:b/>
        </w:rPr>
        <w:t>Module B:</w:t>
      </w:r>
      <w:r>
        <w:t xml:space="preserve"> The primary need is moderate flattening. Astigmatism is regular and aligned. The apex is nearly centered. → </w:t>
      </w:r>
      <w:r>
        <w:rPr>
          <w:b/>
        </w:rPr>
        <w:t>VR dominant</w:t>
      </w:r>
      <w:r>
        <w:t>.</w:t>
      </w:r>
    </w:p>
    <w:p>
      <w:pPr>
        <w:pStyle w:val="Heading3"/>
      </w:pPr>
      <w:r>
        <w:t>Ring Prescription</w:t>
      </w:r>
    </w:p>
    <w:p>
      <w:r>
        <w:t>Symmetric ring, 200 μm thickness, 150° arc, 75% depth (tunnel at 358 μm), meridian at 80°.</w:t>
      </w:r>
    </w:p>
    <w:p>
      <w:pPr>
        <w:pStyle w:val="Heading3"/>
      </w:pPr>
      <w:r>
        <w:t>Nomogram Comparison</w:t>
      </w:r>
    </w:p>
    <w:p>
      <w:r>
        <w:t xml:space="preserve">A standard Ferrara nomogram would prescribe a 200 μm ring at 160° for this K-steep and Q value — essentially the same configuration. </w:t>
      </w:r>
      <w:r>
        <w:rPr>
          <w:b/>
        </w:rPr>
        <w:t>This is the case where the nomogram works well</w:t>
      </w:r>
      <w:r>
        <w:t xml:space="preserve"> because MNA ≈ K-steep, the morphology is central, and the dominant need (flattening) aligns with the single mechanism the nomogram captures.</w:t>
      </w:r>
    </w:p>
    <w:p>
      <w:pPr>
        <w:pStyle w:val="Heading3"/>
      </w:pPr>
      <w:r>
        <w:t>Expected Outcome</w:t>
      </w:r>
    </w:p>
    <w:p>
      <w:r>
        <w:t>ΔK ≈ 2.0–2.5 D (based on VR data for 200 μm ring); modest ΔCyl; no apex migration (symmetric ring, Vτ = 0).</w:t>
      </w:r>
    </w:p>
    <w:p>
      <w:r/>
      <w:r>
        <w:rPr>
          <w:b/>
        </w:rPr>
        <w:t>Teaching point:</w:t>
      </w:r>
      <w:r>
        <w:t xml:space="preserve"> The AVBC framework is not necessary for every case. When ectasia is central, symmetric, with aligned astigmatism and MNA ≈ K-steep, the nomogram is adequate. AVBC adds value in the ~40% of cases where these conditions are not met.</w:t>
      </w:r>
    </w:p>
    <w:p>
      <w:pPr>
        <w:pStyle w:val="Alert"/>
      </w:pPr>
      <w:r>
        <w:rPr>
          <w:b/>
          <w:sz w:val="22"/>
        </w:rPr>
        <w:t>⚠️ IMPORTANT</w:t>
      </w:r>
    </w:p>
    <w:p>
      <w:pPr>
        <w:pStyle w:val="Alert"/>
      </w:pPr>
      <w:r/>
      <w:r>
        <w:rPr>
          <w:b/>
        </w:rPr>
        <w:t>For the Clinician: When the Nomogram is Sufficient</w:t>
      </w:r>
      <w:r>
        <w:t xml:space="preserve"> If all these conditions are met simultaneously, the nomogram works well and you don't need AVBC: 1. MNA diverges less than 15° from K-steep 2. Central oval morphology 3. Aligned astigmatism (Cylinder axis vs K-steep &lt; 15°) 4. Ipsilateral coma &lt; 2.5 μm  Outside these conditions, you are in AVBC territory. </w:t>
      </w:r>
      <w:r>
        <w:rPr>
          <w:b/>
        </w:rPr>
        <w:t>For the Clinician: When the Nomogram is Sufficient</w:t>
      </w:r>
      <w:r>
        <w:t xml:space="preserve"> If all these conditions are met simultaneously, the nomogram works well and you don't need AVBC: 1. MNA diverges less than 15° from K-steep 2. Central oval morphology 3. Aligned astigmatism (Cylinder axis vs K-steep &lt; 15°) 4. Ipsilateral coma &lt; 2.5 μm  Outside these conditions, you are in AVBC territory.</w:t>
      </w:r>
    </w:p>
    <w:p>
      <w:pPr>
        <w:pStyle w:val="Heading2"/>
      </w:pPr>
      <w:r>
        <w:t>11.3 Case 2: Paracentral Keratoconus with MNA Divergence — VT Dominant</w:t>
      </w:r>
    </w:p>
    <w:p>
      <w:pPr>
        <w:pStyle w:val="Heading3"/>
      </w:pPr>
      <w:r>
        <w:t>Clinical Presentation</w:t>
      </w:r>
    </w:p>
    <w:p>
      <w:r>
        <w:t>A 30-year-old female. BCVA OS: 20/60 with spectacles (−2.00 −5.50 × 100°), improving to 20/30 with RGP.</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Parameter</w:t>
            </w:r>
          </w:p>
        </w:tc>
        <w:tc>
          <w:tcPr>
            <w:tcW w:type="dxa" w:w="4394"/>
          </w:tcPr>
          <w:p>
            <w:r>
              <w:rPr>
                <w:b/>
                <w:sz w:val="18"/>
              </w:rPr>
              <w:t>Value</w:t>
            </w:r>
          </w:p>
        </w:tc>
      </w:tr>
      <w:tr>
        <w:tc>
          <w:tcPr>
            <w:tcW w:type="dxa" w:w="4394"/>
          </w:tcPr>
          <w:p>
            <w:r>
              <w:rPr>
                <w:sz w:val="18"/>
              </w:rPr>
              <w:t>K-steep</w:t>
            </w:r>
          </w:p>
        </w:tc>
        <w:tc>
          <w:tcPr>
            <w:tcW w:type="dxa" w:w="4394"/>
          </w:tcPr>
          <w:p>
            <w:r>
              <w:rPr>
                <w:sz w:val="18"/>
              </w:rPr>
              <w:t>50.0 D at 100°</w:t>
            </w:r>
          </w:p>
        </w:tc>
      </w:tr>
      <w:tr>
        <w:tc>
          <w:tcPr>
            <w:tcW w:type="dxa" w:w="4394"/>
          </w:tcPr>
          <w:p>
            <w:r>
              <w:rPr>
                <w:sz w:val="18"/>
              </w:rPr>
              <w:t>K-flat</w:t>
            </w:r>
          </w:p>
        </w:tc>
        <w:tc>
          <w:tcPr>
            <w:tcW w:type="dxa" w:w="4394"/>
          </w:tcPr>
          <w:p>
            <w:r>
              <w:rPr>
                <w:sz w:val="18"/>
              </w:rPr>
              <w:t>44.5 D</w:t>
            </w:r>
          </w:p>
        </w:tc>
      </w:tr>
      <w:tr>
        <w:tc>
          <w:tcPr>
            <w:tcW w:type="dxa" w:w="4394"/>
          </w:tcPr>
          <w:p>
            <w:r>
              <w:rPr>
                <w:sz w:val="18"/>
              </w:rPr>
              <w:t>KMax</w:t>
            </w:r>
          </w:p>
        </w:tc>
        <w:tc>
          <w:tcPr>
            <w:tcW w:type="dxa" w:w="4394"/>
          </w:tcPr>
          <w:p>
            <w:r>
              <w:rPr>
                <w:sz w:val="18"/>
              </w:rPr>
              <w:t>54.3 D (1.2 mm inferior from axis)</w:t>
            </w:r>
          </w:p>
        </w:tc>
      </w:tr>
      <w:tr>
        <w:tc>
          <w:tcPr>
            <w:tcW w:type="dxa" w:w="4394"/>
          </w:tcPr>
          <w:p>
            <w:r>
              <w:rPr>
                <w:sz w:val="18"/>
              </w:rPr>
              <w:t>Cylinder</w:t>
            </w:r>
          </w:p>
        </w:tc>
        <w:tc>
          <w:tcPr>
            <w:tcW w:type="dxa" w:w="4394"/>
          </w:tcPr>
          <w:p>
            <w:r>
              <w:rPr>
                <w:sz w:val="18"/>
              </w:rPr>
              <w:t>5.5 D (irregular component &gt; 2.0 D)</w:t>
            </w:r>
          </w:p>
        </w:tc>
      </w:tr>
      <w:tr>
        <w:tc>
          <w:tcPr>
            <w:tcW w:type="dxa" w:w="4394"/>
          </w:tcPr>
          <w:p>
            <w:r>
              <w:rPr>
                <w:sz w:val="18"/>
              </w:rPr>
              <w:t>Thinnest pachymetry</w:t>
            </w:r>
          </w:p>
        </w:tc>
        <w:tc>
          <w:tcPr>
            <w:tcW w:type="dxa" w:w="4394"/>
          </w:tcPr>
          <w:p>
            <w:r>
              <w:rPr>
                <w:sz w:val="18"/>
              </w:rPr>
              <w:t>445 μm</w:t>
            </w:r>
          </w:p>
        </w:tc>
      </w:tr>
      <w:tr>
        <w:tc>
          <w:tcPr>
            <w:tcW w:type="dxa" w:w="4394"/>
          </w:tcPr>
          <w:p>
            <w:r>
              <w:rPr>
                <w:sz w:val="18"/>
              </w:rPr>
              <w:t>Coma RMS (6 mm)</w:t>
            </w:r>
          </w:p>
        </w:tc>
        <w:tc>
          <w:tcPr>
            <w:tcW w:type="dxa" w:w="4394"/>
          </w:tcPr>
          <w:p>
            <w:r>
              <w:rPr>
                <w:sz w:val="18"/>
              </w:rPr>
              <w:t>2.8 μm</w:t>
            </w:r>
          </w:p>
        </w:tc>
      </w:tr>
      <w:tr>
        <w:tc>
          <w:tcPr>
            <w:tcW w:type="dxa" w:w="4394"/>
          </w:tcPr>
          <w:p>
            <w:r>
              <w:rPr>
                <w:sz w:val="18"/>
              </w:rPr>
              <w:t>Total HOA RMS</w:t>
            </w:r>
          </w:p>
        </w:tc>
        <w:tc>
          <w:tcPr>
            <w:tcW w:type="dxa" w:w="4394"/>
          </w:tcPr>
          <w:p>
            <w:r>
              <w:rPr>
                <w:sz w:val="18"/>
              </w:rPr>
              <w:t>3.2 μm</w:t>
            </w:r>
          </w:p>
        </w:tc>
      </w:tr>
      <w:tr>
        <w:tc>
          <w:tcPr>
            <w:tcW w:type="dxa" w:w="4394"/>
          </w:tcPr>
          <w:p>
            <w:r>
              <w:rPr>
                <w:sz w:val="18"/>
              </w:rPr>
              <w:t>MNA</w:t>
            </w:r>
          </w:p>
        </w:tc>
        <w:tc>
          <w:tcPr>
            <w:tcW w:type="dxa" w:w="4394"/>
          </w:tcPr>
          <w:p>
            <w:r>
              <w:rPr>
                <w:sz w:val="18"/>
              </w:rPr>
              <w:t>135°</w:t>
            </w:r>
          </w:p>
        </w:tc>
      </w:tr>
    </w:tbl>
    <w:p>
      <w:pPr>
        <w:pStyle w:val="Heading3"/>
      </w:pPr>
      <w:r>
        <w:t>AVBC Assessment</w:t>
      </w:r>
    </w:p>
    <w:p>
      <w:r/>
      <w:r>
        <w:rPr>
          <w:b/>
        </w:rPr>
        <w:t>Module O:</w:t>
      </w:r>
      <w:r>
        <w:t xml:space="preserve"> Coma 2.8 (intermediate), Δ Axis = 22° (intermediate), HOA 3.2 (intermediate), Coma ambiguous. → </w:t>
      </w:r>
      <w:r>
        <w:rPr>
          <w:b/>
        </w:rPr>
        <w:t>O~</w:t>
      </w:r>
      <w:r/>
    </w:p>
    <w:p>
      <w:r/>
      <w:r>
        <w:rPr>
          <w:b/>
        </w:rPr>
        <w:t>Module T:</w:t>
      </w:r>
      <w:r>
        <w:t xml:space="preserve"> Paracentral crescent. MNA at 135°, K-steep at 100°. |MNA − K-steep| = </w:t>
      </w:r>
      <w:r>
        <w:rPr>
          <w:b/>
        </w:rPr>
        <w:t>35°</w:t>
      </w:r>
      <w:r>
        <w:t>. This is in the 15°–45° divergence zone — nomograms may underperform.</w:t>
      </w:r>
    </w:p>
    <w:p>
      <w:r/>
      <w:r>
        <w:rPr>
          <w:b/>
        </w:rPr>
        <w:t>Module B:</w:t>
      </w:r>
      <w:r>
        <w:t xml:space="preserve"> The dominant clinical problem is irregular astigmatism (5.5 D total, irregular component &gt; 2.0 D). The MNA divergence of 35° indicates the mechanical deformation axis does not coincide with the steepest keratometry. Positioning the ring along K-steep would miss the axis of maximum posterior deformation. → </w:t>
      </w:r>
      <w:r>
        <w:rPr>
          <w:b/>
        </w:rPr>
        <w:t>VT dominant</w:t>
      </w:r>
      <w:r>
        <w:t>, with ring oriented toward the MNA.</w:t>
      </w:r>
    </w:p>
    <w:p>
      <w:pPr>
        <w:pStyle w:val="Heading3"/>
      </w:pPr>
      <w:r>
        <w:t>Ring Prescription</w:t>
      </w:r>
    </w:p>
    <w:p>
      <w:r>
        <w:t xml:space="preserve">Symmetric ring, 200 μm thickness, </w:t>
      </w:r>
      <w:r>
        <w:rPr>
          <w:b/>
        </w:rPr>
        <w:t>255° arc</w:t>
      </w:r>
      <w:r>
        <w:t xml:space="preserve"> (long arc for maximum VT), 70% depth (tunnel at 312 μm), meridian at </w:t>
      </w:r>
      <w:r>
        <w:rPr>
          <w:b/>
        </w:rPr>
        <w:t>135°</w:t>
      </w:r>
      <w:r>
        <w:t xml:space="preserve"> (MNA, not K-steep).</w:t>
      </w:r>
    </w:p>
    <w:p>
      <w:pPr>
        <w:pStyle w:val="Heading3"/>
      </w:pPr>
      <w:r>
        <w:t>Nomogram Comparison</w:t>
      </w:r>
    </w:p>
    <w:p>
      <w:r>
        <w:t>A standard nomogram would prescribe a thicker ring (250 μm) at the K-steep axis (100°), with a shorter arc (160°). The AVBC prescription differs in three ways: (1) thinner ring (VR is secondary), (2) longer arc (VT is dominant), and (3) different meridian (MNA, not K-steep). The 35° difference in positioning axis is the most clinically significant divergence.</w:t>
      </w:r>
    </w:p>
    <w:p>
      <w:pPr>
        <w:pStyle w:val="Heading3"/>
      </w:pPr>
      <w:r>
        <w:t>Expected Outcome</w:t>
      </w:r>
    </w:p>
    <w:p>
      <w:r>
        <w:t>Regularization with ΔCyl ≈ 2.0–3.0 D; ΔK ≈ 1.0–1.5 D (moderate, VR secondary). VT at 255° = 7.33 kPa (−5.8% from baseline), indicating significant stress redistribution.</w:t>
      </w:r>
    </w:p>
    <w:p>
      <w:r/>
      <w:r>
        <w:rPr>
          <w:b/>
        </w:rPr>
        <w:t>Teaching point:</w:t>
      </w:r>
      <w:r>
        <w:t xml:space="preserve"> When the MNA diverges from K-steep by &gt; 15°, the ring meridian should follow the MNA. This is the single most actionable clinical recommendation from the AVBC framework that nomograms cannot provide.</w:t>
      </w:r>
    </w:p>
    <w:p>
      <w:pPr>
        <w:pStyle w:val="Alert"/>
      </w:pPr>
      <w:r>
        <w:rPr>
          <w:b/>
          <w:sz w:val="22"/>
        </w:rPr>
        <w:t>⚡ WARNING</w:t>
      </w:r>
    </w:p>
    <w:p>
      <w:pPr>
        <w:pStyle w:val="Alert"/>
      </w:pPr>
      <w:r/>
      <w:r>
        <w:rPr>
          <w:b/>
        </w:rPr>
        <w:t>For the Clinician: The 35° Error</w:t>
      </w:r>
      <w:r>
        <w:t xml:space="preserve"> In this case, the nomogram would say: "implant at K-steep axis = 100°." AVBC says: "implant at MNA = 135°." A 35° difference. In a patient with a paracentral crescent, this axis error means the ring intercepts the deformed stroma at an incorrect position, losing ~35% of stress redistribution capacity. Always check the MNA before marking the implant axis! </w:t>
      </w:r>
      <w:r>
        <w:rPr>
          <w:b/>
        </w:rPr>
        <w:t>For the Clinician: The 35° Error</w:t>
      </w:r>
      <w:r>
        <w:t xml:space="preserve"> In this case, the nomogram would say: "implant at K-steep axis = 100°." AVBC says: "implant at MNA = 135°." A 35° difference. In a patient with a paracentral crescent, this axis error means the ring intercepts the deformed stroma at an incorrect position, losing ~35% of stress redistribution capacity. Always check the MNA before marking the implant axis!</w:t>
      </w:r>
    </w:p>
    <w:p>
      <w:pPr>
        <w:pStyle w:val="Heading2"/>
      </w:pPr>
      <w:r>
        <w:t>11.4 Case 3: Displaced-Apex Keratoconus — Vτ Dominant</w:t>
      </w:r>
    </w:p>
    <w:p>
      <w:pPr>
        <w:pStyle w:val="Heading3"/>
      </w:pPr>
      <w:r>
        <w:t>Clinical Presentation</w:t>
      </w:r>
    </w:p>
    <w:p>
      <w:r>
        <w:t>A 24-year-old male. BCVA OD: 20/80. Unable to tolerate contact lenses.</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Parameter</w:t>
            </w:r>
          </w:p>
        </w:tc>
        <w:tc>
          <w:tcPr>
            <w:tcW w:type="dxa" w:w="4394"/>
          </w:tcPr>
          <w:p>
            <w:r>
              <w:rPr>
                <w:b/>
                <w:sz w:val="18"/>
              </w:rPr>
              <w:t>Value</w:t>
            </w:r>
          </w:p>
        </w:tc>
      </w:tr>
      <w:tr>
        <w:tc>
          <w:tcPr>
            <w:tcW w:type="dxa" w:w="4394"/>
          </w:tcPr>
          <w:p>
            <w:r>
              <w:rPr>
                <w:sz w:val="18"/>
              </w:rPr>
              <w:t>K-steep</w:t>
            </w:r>
          </w:p>
        </w:tc>
        <w:tc>
          <w:tcPr>
            <w:tcW w:type="dxa" w:w="4394"/>
          </w:tcPr>
          <w:p>
            <w:r>
              <w:rPr>
                <w:sz w:val="18"/>
              </w:rPr>
              <w:t>48.5 D at 90°</w:t>
            </w:r>
          </w:p>
        </w:tc>
      </w:tr>
      <w:tr>
        <w:tc>
          <w:tcPr>
            <w:tcW w:type="dxa" w:w="4394"/>
          </w:tcPr>
          <w:p>
            <w:r>
              <w:rPr>
                <w:sz w:val="18"/>
              </w:rPr>
              <w:t>K-flat</w:t>
            </w:r>
          </w:p>
        </w:tc>
        <w:tc>
          <w:tcPr>
            <w:tcW w:type="dxa" w:w="4394"/>
          </w:tcPr>
          <w:p>
            <w:r>
              <w:rPr>
                <w:sz w:val="18"/>
              </w:rPr>
              <w:t>44.0 D</w:t>
            </w:r>
          </w:p>
        </w:tc>
      </w:tr>
      <w:tr>
        <w:tc>
          <w:tcPr>
            <w:tcW w:type="dxa" w:w="4394"/>
          </w:tcPr>
          <w:p>
            <w:r>
              <w:rPr>
                <w:sz w:val="18"/>
              </w:rPr>
              <w:t>KMax</w:t>
            </w:r>
          </w:p>
        </w:tc>
        <w:tc>
          <w:tcPr>
            <w:tcW w:type="dxa" w:w="4394"/>
          </w:tcPr>
          <w:p>
            <w:r>
              <w:rPr>
                <w:sz w:val="18"/>
              </w:rPr>
              <w:t>56.0 D (2.0 mm inferonasal from axis)</w:t>
            </w:r>
          </w:p>
        </w:tc>
      </w:tr>
      <w:tr>
        <w:tc>
          <w:tcPr>
            <w:tcW w:type="dxa" w:w="4394"/>
          </w:tcPr>
          <w:p>
            <w:r>
              <w:rPr>
                <w:sz w:val="18"/>
              </w:rPr>
              <w:t>Cylinder</w:t>
            </w:r>
          </w:p>
        </w:tc>
        <w:tc>
          <w:tcPr>
            <w:tcW w:type="dxa" w:w="4394"/>
          </w:tcPr>
          <w:p>
            <w:r>
              <w:rPr>
                <w:sz w:val="18"/>
              </w:rPr>
              <w:t>4.5 D</w:t>
            </w:r>
          </w:p>
        </w:tc>
      </w:tr>
      <w:tr>
        <w:tc>
          <w:tcPr>
            <w:tcW w:type="dxa" w:w="4394"/>
          </w:tcPr>
          <w:p>
            <w:r>
              <w:rPr>
                <w:sz w:val="18"/>
              </w:rPr>
              <w:t>Thinnest pachymetry</w:t>
            </w:r>
          </w:p>
        </w:tc>
        <w:tc>
          <w:tcPr>
            <w:tcW w:type="dxa" w:w="4394"/>
          </w:tcPr>
          <w:p>
            <w:r>
              <w:rPr>
                <w:sz w:val="18"/>
              </w:rPr>
              <w:t>430 μm</w:t>
            </w:r>
          </w:p>
        </w:tc>
      </w:tr>
      <w:tr>
        <w:tc>
          <w:tcPr>
            <w:tcW w:type="dxa" w:w="4394"/>
          </w:tcPr>
          <w:p>
            <w:r>
              <w:rPr>
                <w:sz w:val="18"/>
              </w:rPr>
              <w:t>Coma RMS (6 mm)</w:t>
            </w:r>
          </w:p>
        </w:tc>
        <w:tc>
          <w:tcPr>
            <w:tcW w:type="dxa" w:w="4394"/>
          </w:tcPr>
          <w:p>
            <w:r>
              <w:rPr>
                <w:sz w:val="18"/>
              </w:rPr>
              <w:t>4.2 μm</w:t>
            </w:r>
          </w:p>
        </w:tc>
      </w:tr>
      <w:tr>
        <w:tc>
          <w:tcPr>
            <w:tcW w:type="dxa" w:w="4394"/>
          </w:tcPr>
          <w:p>
            <w:r>
              <w:rPr>
                <w:sz w:val="18"/>
              </w:rPr>
              <w:t>Total HOA RMS</w:t>
            </w:r>
          </w:p>
        </w:tc>
        <w:tc>
          <w:tcPr>
            <w:tcW w:type="dxa" w:w="4394"/>
          </w:tcPr>
          <w:p>
            <w:r>
              <w:rPr>
                <w:sz w:val="18"/>
              </w:rPr>
              <w:t>5.1 μm</w:t>
            </w:r>
          </w:p>
        </w:tc>
      </w:tr>
      <w:tr>
        <w:tc>
          <w:tcPr>
            <w:tcW w:type="dxa" w:w="4394"/>
          </w:tcPr>
          <w:p>
            <w:r>
              <w:rPr>
                <w:sz w:val="18"/>
              </w:rPr>
              <w:t>Cone apex distance</w:t>
            </w:r>
          </w:p>
        </w:tc>
        <w:tc>
          <w:tcPr>
            <w:tcW w:type="dxa" w:w="4394"/>
          </w:tcPr>
          <w:p>
            <w:r>
              <w:rPr>
                <w:sz w:val="18"/>
              </w:rPr>
              <w:t>2.0 mm from visual axis</w:t>
            </w:r>
          </w:p>
        </w:tc>
      </w:tr>
      <w:tr>
        <w:tc>
          <w:tcPr>
            <w:tcW w:type="dxa" w:w="4394"/>
          </w:tcPr>
          <w:p>
            <w:r>
              <w:rPr>
                <w:sz w:val="18"/>
              </w:rPr>
              <w:t>MNA</w:t>
            </w:r>
          </w:p>
        </w:tc>
        <w:tc>
          <w:tcPr>
            <w:tcW w:type="dxa" w:w="4394"/>
          </w:tcPr>
          <w:p>
            <w:r>
              <w:rPr>
                <w:sz w:val="18"/>
              </w:rPr>
              <w:t>220°</w:t>
            </w:r>
          </w:p>
        </w:tc>
      </w:tr>
    </w:tbl>
    <w:p>
      <w:pPr>
        <w:pStyle w:val="Heading3"/>
      </w:pPr>
      <w:r>
        <w:t>AVBC Assessment</w:t>
      </w:r>
    </w:p>
    <w:p>
      <w:r/>
      <w:r>
        <w:rPr>
          <w:b/>
        </w:rPr>
        <w:t>Module O:</w:t>
      </w:r>
      <w:r>
        <w:t xml:space="preserve"> Coma &gt; 3.50 (unfavorable), Δ Axis = 35° (unfavorable), HOA &gt; 4.0 (unfavorable), Coma contralateral (unfavorable). → </w:t>
      </w:r>
      <w:r>
        <w:rPr>
          <w:b/>
        </w:rPr>
        <w:t>O−</w:t>
      </w:r>
      <w:r/>
    </w:p>
    <w:p>
      <w:r/>
      <w:r>
        <w:rPr>
          <w:b/>
        </w:rPr>
        <w:t>Module T:</w:t>
      </w:r>
      <w:r>
        <w:t xml:space="preserve"> Inferior nipple with significant displacement. KMax 56.0 D, but not &gt; 60 D (not globus → ICRS still considered). MNA at 220°.</w:t>
      </w:r>
    </w:p>
    <w:p>
      <w:r/>
      <w:r>
        <w:rPr>
          <w:b/>
        </w:rPr>
        <w:t>Module B:</w:t>
      </w:r>
      <w:r>
        <w:t xml:space="preserve"> The dominant problem is the displaced apex — 2.0 mm from the visual axis, generating 4.2 μm of coma. Flattening alone will not center the optics. The patient requires </w:t>
      </w:r>
      <w:r>
        <w:rPr>
          <w:b/>
        </w:rPr>
        <w:t>apex repositioning</w:t>
      </w:r>
      <w:r>
        <w:t xml:space="preserve">. → </w:t>
      </w:r>
      <w:r>
        <w:rPr>
          <w:b/>
        </w:rPr>
        <w:t>Vτ dominant</w:t>
      </w:r>
      <w:r>
        <w:t>.</w:t>
      </w:r>
    </w:p>
    <w:p>
      <w:pPr>
        <w:pStyle w:val="Heading3"/>
      </w:pPr>
      <w:r>
        <w:t>Ring Prescription</w:t>
      </w:r>
    </w:p>
    <w:p>
      <w:r>
        <w:t>Progressive asymmetric ring, 300→150 μm, 180° arc, 80% depth (tunnel at 344 μm), meridian at 220° (MNA). Thicker end placed at 220° (cone side); thin end at 40° (toward visual axis). The resulting force couple should direct the apex toward 40° — toward the visual axis.</w:t>
      </w:r>
    </w:p>
    <w:p>
      <w:pPr>
        <w:pStyle w:val="Heading3"/>
      </w:pPr>
      <w:r>
        <w:t>Nomogram Comparison</w:t>
      </w:r>
    </w:p>
    <w:p>
      <w:r>
        <w:t>No standard nomogram addresses apex position. A Ferrara nomogram would prescribe based on K-steep and Q value — likely a symmetric 250 μm ring at 90° — which flattens the cornea without repositioning the apex. The patient might obtain ΔK of 3 D but would retain &gt; 3 μm of coma and 20/60 vision.</w:t>
      </w:r>
    </w:p>
    <w:p>
      <w:pPr>
        <w:pStyle w:val="Heading3"/>
      </w:pPr>
      <w:r>
        <w:t>Expected Outcome</w:t>
      </w:r>
    </w:p>
    <w:p>
      <w:r>
        <w:t>Validated Vτ = 9.31 μN·m (linear progressive, from Table 12.2a). Expected apex migration ≈ 0.3–0.5 mm toward the visual axis. Combined with moderate flattening (ΔK ≈ 1.5–2.0 D). Given the O− classification, the patient should understand that BCVA improvement may be modest even with successful apex repositioning.</w:t>
      </w:r>
    </w:p>
    <w:p>
      <w:r/>
      <w:r>
        <w:rPr>
          <w:b/>
        </w:rPr>
        <w:t>Teaching point:</w:t>
      </w:r>
      <w:r>
        <w:t xml:space="preserve"> Vτ addresses a clinical need that no existing nomogram recognizes. When the apex is displaced &gt; 1 mm and coma exceeds 3.5 μm, apex repositioning should be the primary surgical goal, not flattening.</w:t>
      </w:r>
    </w:p>
    <w:p>
      <w:pPr>
        <w:pStyle w:val="Alert"/>
      </w:pPr>
      <w:r>
        <w:rPr>
          <w:b/>
          <w:sz w:val="22"/>
        </w:rPr>
        <w:t>💡 TIP</w:t>
      </w:r>
    </w:p>
    <w:p>
      <w:pPr>
        <w:pStyle w:val="Alert"/>
      </w:pPr>
      <w:r/>
      <w:r>
        <w:rPr>
          <w:b/>
        </w:rPr>
        <w:t>For the Clinician: The Coma Test for Vτ Indication</w:t>
      </w:r>
      <w:r>
        <w:t xml:space="preserve"> If the patient has Coma &gt; 3.5 μm and apex distance from the visual axis &gt; 1 mm, ask yourself: "Will a symmetric ring (Vτ = 0) solve the main problem?" The answer is </w:t>
      </w:r>
      <w:r>
        <w:rPr>
          <w:b/>
        </w:rPr>
        <w:t>no</w:t>
      </w:r>
      <w:r>
        <w:t xml:space="preserve">. Flattening without repositioning will leave the cone displaced and the aberrometry unchanged. The patient will remain at 20/80 despite a beautiful topographic map. Always indicate a progressive ring (Vτ) when displaced cone + elevated coma. </w:t>
      </w:r>
      <w:r>
        <w:rPr>
          <w:b/>
        </w:rPr>
        <w:t>For the Clinician: The Coma Test for Vτ Indication</w:t>
      </w:r>
      <w:r>
        <w:t xml:space="preserve"> If the patient has Coma &gt; 3.5 μm and apex distance from the visual axis &gt; 1 mm, ask yourself: "Will a symmetric ring (Vτ = 0) solve the main problem?" The answer is </w:t>
      </w:r>
      <w:r>
        <w:rPr>
          <w:b/>
        </w:rPr>
        <w:t>no</w:t>
      </w:r>
      <w:r>
        <w:t>. Flattening without repositioning will leave the cone displaced and the aberrometry unchanged. The patient will remain at 20/80 despite a beautiful topographic map. Always indicate a progressive ring (Vτ) when displaced cone + elevated coma.</w:t>
      </w:r>
    </w:p>
    <w:p>
      <w:pPr>
        <w:pStyle w:val="Heading2"/>
      </w:pPr>
      <w:r>
        <w:t>11.5 Case 4: Extreme Ectasia (Globus) — Structural Stabilization and CL Tolerance Restoration</w:t>
      </w:r>
    </w:p>
    <w:p>
      <w:pPr>
        <w:pStyle w:val="Heading3"/>
      </w:pPr>
      <w:r>
        <w:t>Clinical Presentation</w:t>
      </w:r>
    </w:p>
    <w:p>
      <w:r>
        <w:t>A 35-year-old male presents with extreme corneal ectasia (Globus pattern). BCVA OS: 20/200 with spectacles, but unable to tolerate rigid gas-permeable (RGP) or scleral contact lenses due to severe apical clearance instability and lens edge lift. Slit-lamp examination shows diffuse corneal thinning without deep apical scarring or hydrops.</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Parameter</w:t>
            </w:r>
          </w:p>
        </w:tc>
        <w:tc>
          <w:tcPr>
            <w:tcW w:type="dxa" w:w="4394"/>
          </w:tcPr>
          <w:p>
            <w:r>
              <w:rPr>
                <w:b/>
                <w:sz w:val="18"/>
              </w:rPr>
              <w:t>Value</w:t>
            </w:r>
          </w:p>
        </w:tc>
      </w:tr>
      <w:tr>
        <w:tc>
          <w:tcPr>
            <w:tcW w:type="dxa" w:w="4394"/>
          </w:tcPr>
          <w:p>
            <w:r>
              <w:rPr>
                <w:sz w:val="18"/>
              </w:rPr>
              <w:t>K-steep</w:t>
            </w:r>
          </w:p>
        </w:tc>
        <w:tc>
          <w:tcPr>
            <w:tcW w:type="dxa" w:w="4394"/>
          </w:tcPr>
          <w:p>
            <w:r>
              <w:rPr>
                <w:sz w:val="18"/>
              </w:rPr>
              <w:t>68.0 D</w:t>
            </w:r>
          </w:p>
        </w:tc>
      </w:tr>
      <w:tr>
        <w:tc>
          <w:tcPr>
            <w:tcW w:type="dxa" w:w="4394"/>
          </w:tcPr>
          <w:p>
            <w:r>
              <w:rPr>
                <w:sz w:val="18"/>
              </w:rPr>
              <w:t>KMax</w:t>
            </w:r>
          </w:p>
        </w:tc>
        <w:tc>
          <w:tcPr>
            <w:tcW w:type="dxa" w:w="4394"/>
          </w:tcPr>
          <w:p>
            <w:r>
              <w:rPr>
                <w:sz w:val="18"/>
              </w:rPr>
              <w:t>76.5 D (diffuse, reaching up to 85.0 D in local zones)</w:t>
            </w:r>
          </w:p>
        </w:tc>
      </w:tr>
      <w:tr>
        <w:tc>
          <w:tcPr>
            <w:tcW w:type="dxa" w:w="4394"/>
          </w:tcPr>
          <w:p>
            <w:r>
              <w:rPr>
                <w:sz w:val="18"/>
              </w:rPr>
              <w:t>Thinnest pachymetry</w:t>
            </w:r>
          </w:p>
        </w:tc>
        <w:tc>
          <w:tcPr>
            <w:tcW w:type="dxa" w:w="4394"/>
          </w:tcPr>
          <w:p>
            <w:r>
              <w:rPr>
                <w:sz w:val="18"/>
              </w:rPr>
              <w:t>360 μm</w:t>
            </w:r>
          </w:p>
        </w:tc>
      </w:tr>
      <w:tr>
        <w:tc>
          <w:tcPr>
            <w:tcW w:type="dxa" w:w="4394"/>
          </w:tcPr>
          <w:p>
            <w:r>
              <w:rPr>
                <w:sz w:val="18"/>
              </w:rPr>
              <w:t>Coma RMS</w:t>
            </w:r>
          </w:p>
        </w:tc>
        <w:tc>
          <w:tcPr>
            <w:tcW w:type="dxa" w:w="4394"/>
          </w:tcPr>
          <w:p>
            <w:r>
              <w:rPr>
                <w:sz w:val="18"/>
              </w:rPr>
              <w:t>5.8 μm</w:t>
            </w:r>
          </w:p>
        </w:tc>
      </w:tr>
    </w:tbl>
    <w:p>
      <w:pPr>
        <w:pStyle w:val="Heading3"/>
      </w:pPr>
      <w:r>
        <w:t>AVBC Assessment</w:t>
      </w:r>
    </w:p>
    <w:p>
      <w:r/>
      <w:r>
        <w:rPr>
          <w:b/>
        </w:rPr>
        <w:t>Module O:</w:t>
      </w:r>
      <w:r>
        <w:t xml:space="preserve"> All optical optimization parameters fall in the Unfavorable column. Classification is </w:t>
      </w:r>
      <w:r>
        <w:rPr>
          <w:b/>
        </w:rPr>
        <w:t>O−</w:t>
      </w:r>
      <w:r>
        <w:t xml:space="preserve"> for optical regularization, meaning standard vision rehabilitation through topography-guided ring implantation is highly unlikely to achieve corrected vision of 20/20.</w:t>
      </w:r>
    </w:p>
    <w:p>
      <w:r/>
      <w:r>
        <w:rPr>
          <w:b/>
        </w:rPr>
        <w:t>Module T:</w:t>
      </w:r>
      <w:r>
        <w:t xml:space="preserve"> Globus pattern (KMax &gt; 60 D, diffuse thinning). The Mechanical Neutral Axis (MNA) cannot be identified as a single localized buckling zone because the entire corneal dome has undergone generalized structural and mechanical destabilization.</w:t>
      </w:r>
    </w:p>
    <w:p>
      <w:r/>
      <w:r>
        <w:rPr>
          <w:b/>
        </w:rPr>
        <w:t>Module B:</w:t>
      </w:r>
      <w:r>
        <w:t xml:space="preserve"> Classified as a </w:t>
      </w:r>
      <w:r>
        <w:rPr>
          <w:b/>
        </w:rPr>
        <w:t>structural VT/B configuration</w:t>
      </w:r>
      <w:r>
        <w:t xml:space="preserve">. The therapeutic goal shifts completely from optical correction (aberration reduction) to </w:t>
      </w:r>
      <w:r>
        <w:rPr>
          <w:b/>
        </w:rPr>
        <w:t>structural stabilization</w:t>
      </w:r>
      <w:r>
        <w:t xml:space="preserve"> and </w:t>
      </w:r>
      <w:r>
        <w:rPr>
          <w:b/>
        </w:rPr>
        <w:t>contact lens tolerance restoration</w:t>
      </w:r>
      <w:r>
        <w:t>. The mechanical target is to maximize the stress-shunting effect (VT) to redistribute excessive circumferential hoop stress and prevent progressive ectatic collapse.</w:t>
      </w:r>
    </w:p>
    <w:p>
      <w:pPr>
        <w:pStyle w:val="Heading3"/>
      </w:pPr>
      <w:r>
        <w:t>Computational Solver Limits vs. Clinical Reality</w:t>
      </w:r>
    </w:p>
    <w:p>
      <w:r>
        <w:t>It is essential to address a crucial discrepancy between mathematical modeling and clinical practice. When constructing patient-specific finite element models for extreme cases (such as patients P5 and P9 in our cohort, with KMax &gt; 53 D), the FEBio nonlinear solver frequently fails to converge. This non-convergence is caused by severe mesh element distortion (generating negative Jacobians), extreme localized deformation gradients, and mesh contact instabilities under high strain gradients.</w:t>
      </w:r>
    </w:p>
    <w:p>
      <w:r>
        <w:t xml:space="preserve">Crucially, </w:t>
      </w:r>
      <w:r>
        <w:rPr>
          <w:b/>
        </w:rPr>
        <w:t>non-convergence is a numerical solver limitation, not a clinical or biological contraindication</w:t>
      </w:r>
      <w:r>
        <w:t>.</w:t>
      </w:r>
    </w:p>
    <w:p>
      <w:r>
        <w:t>In physical reality, collagen lamellae behave as a robust, self-stabilizing traction network. Clinical practice demonstrates that ICRS implantation in these extreme corneas (up to 85 D) regularizes anterior curvature sufficiently to restore scleral contact lens fitting and stabilize the stromal matrix, preventing or delaying deep anterior lamellar keratoplasty (DALK).</w:t>
      </w:r>
    </w:p>
    <w:p>
      <w:pPr>
        <w:pStyle w:val="Heading3"/>
      </w:pPr>
      <w:r>
        <w:t>Ring Prescription and Outcome</w:t>
      </w:r>
    </w:p>
    <w:p>
      <w:r>
        <w:t>A symmetric dual-segment configuration (Ferrara type, symmetric 320 μm thickness, 160°/160° arc) is selected to provide maximum structural support and uniform flattening.</w:t>
      </w:r>
    </w:p>
    <w:p>
      <w:r>
        <w:t>Following implantation at 75% depth:</w:t>
      </w:r>
    </w:p>
    <w:p>
      <w:pPr>
        <w:pStyle w:val="ListNumber"/>
      </w:pPr>
      <w:r/>
      <w:r>
        <w:rPr>
          <w:b/>
        </w:rPr>
        <w:t>Topographic Flattening:</w:t>
      </w:r>
      <w:r>
        <w:t xml:space="preserve"> KMax was reduced by 9.4 D to 67.1 D, regularizing the corneal topography to a stable oblate shape.</w:t>
      </w:r>
    </w:p>
    <w:p>
      <w:pPr>
        <w:pStyle w:val="ListNumber"/>
      </w:pPr>
      <w:r/>
      <w:r>
        <w:rPr>
          <w:b/>
        </w:rPr>
        <w:t>Contact Lens Fitting:</w:t>
      </w:r>
      <w:r>
        <w:t xml:space="preserve"> Scleral contact lens fitting was performed successfully, achieving stable vault and restoring BCVA to 20/30.</w:t>
      </w:r>
    </w:p>
    <w:p>
      <w:pPr>
        <w:pStyle w:val="ListNumber"/>
      </w:pPr>
      <w:r/>
      <w:r>
        <w:rPr>
          <w:b/>
        </w:rPr>
        <w:t>Biomechanical Stability:</w:t>
      </w:r>
      <w:r>
        <w:t xml:space="preserve"> Visually confirmed stromal stabilization was maintained over a 24-month follow-up period, with zero signs of progressive ectatic displacement.</w:t>
      </w:r>
    </w:p>
    <w:p>
      <w:r/>
      <w:r>
        <w:rPr>
          <w:b/>
        </w:rPr>
        <w:t>Teaching point:</w:t>
      </w:r>
      <w:r>
        <w:t xml:space="preserve"> Non-convergence of finite element solvers in advanced ectasia represents a mesh-grade mathematical limitation and should never be interpreted as a biological contraindication. For extreme ectasias (even up to 85 D) without central scarring, the primary clinical indication for ICRS is structural stabilization and contact lens tolerance restoration, which acts as a successful bridge, delaying or avoiding corneal transplantation.</w:t>
      </w:r>
    </w:p>
    <w:p>
      <w:pPr>
        <w:pStyle w:val="Heading2"/>
      </w:pPr>
      <w:r>
        <w:t>11.6 Case 5: Bilateral Asymmetric Keratoconus — Differential Strategy</w:t>
      </w:r>
    </w:p>
    <w:p>
      <w:pPr>
        <w:pStyle w:val="Heading3"/>
      </w:pPr>
      <w:r>
        <w:t>Clinical Presentation</w:t>
      </w:r>
    </w:p>
    <w:p>
      <w:r>
        <w:t>A 28-year-old female with asymmetric keratoconus:</w:t>
      </w:r>
    </w:p>
    <w:p>
      <w:pPr>
        <w:pStyle w:val="ListBullet"/>
      </w:pPr>
      <w:r/>
      <w:r>
        <w:rPr>
          <w:b/>
        </w:rPr>
        <w:t>OD:</w:t>
      </w:r>
      <w:r>
        <w:t xml:space="preserve"> K-steep 46.5 D, KMax 48.0 D, central oval, pachymetry 490 μm, Coma 1.2 μm → Mild</w:t>
      </w:r>
    </w:p>
    <w:p>
      <w:pPr>
        <w:pStyle w:val="ListBullet"/>
      </w:pPr>
      <w:r/>
      <w:r>
        <w:rPr>
          <w:b/>
        </w:rPr>
        <w:t>OS:</w:t>
      </w:r>
      <w:r>
        <w:t xml:space="preserve"> K-steep 52.0 D, KMax 58.0 D, inferior nipple, pachymetry 418 μm, Coma 3.8 μm → Moderate-severe</w:t>
      </w:r>
    </w:p>
    <w:p>
      <w:pPr>
        <w:pStyle w:val="Heading3"/>
      </w:pPr>
      <w:r>
        <w:t>AVBC Assessment — Right Eye</w:t>
      </w:r>
    </w:p>
    <w:p>
      <w:r/>
      <w:r>
        <w:rPr>
          <w:b/>
        </w:rPr>
        <w:t>O+</w:t>
      </w:r>
      <w:r>
        <w:t xml:space="preserve"> / Central oval / VR dominant → Standard symmetric ring, 200 μm, 150° arc, K-steep axis.</w:t>
      </w:r>
    </w:p>
    <w:p>
      <w:pPr>
        <w:pStyle w:val="Heading3"/>
      </w:pPr>
      <w:r>
        <w:t>AVBC Assessment — Left Eye</w:t>
      </w:r>
    </w:p>
    <w:p>
      <w:r/>
      <w:r>
        <w:rPr>
          <w:b/>
        </w:rPr>
        <w:t>O~</w:t>
      </w:r>
      <w:r>
        <w:t xml:space="preserve"> / Inferior nipple, MNA at 260°, K-steep at 265° (|divergence| = 5°) / Combined VT + VR need → Moderate thickness ring (250 μm), longer arc (210°), MNA axis.</w:t>
      </w:r>
    </w:p>
    <w:p>
      <w:pPr>
        <w:pStyle w:val="Heading3"/>
      </w:pPr>
      <w:r>
        <w:t>Teaching Point</w:t>
      </w:r>
    </w:p>
    <w:p>
      <w:r>
        <w:t>The same patient receives different ring prescriptions for each eye — not because the nomogram uses different lookup values, but because AVBC identifies different dominant biomechanical mechanisms for each eye. This differential strategy is precisely what the framework enables.</w:t>
      </w:r>
    </w:p>
    <w:p>
      <w:pPr>
        <w:pStyle w:val="Heading2"/>
      </w:pPr>
      <w:r>
        <w:t>11.7 Case 6: Post-CXL Keratoconus — Modified Biomechanics</w:t>
      </w:r>
    </w:p>
    <w:p>
      <w:pPr>
        <w:pStyle w:val="Heading3"/>
      </w:pPr>
      <w:r>
        <w:t>Clinical Presentation</w:t>
      </w:r>
    </w:p>
    <w:p>
      <w:r>
        <w:t>A 32-year-old male, 18 months post-CXL in the left eye. Keratoconus stabilized, but visual acuity remains at 20/50.</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Parameter</w:t>
            </w:r>
          </w:p>
        </w:tc>
        <w:tc>
          <w:tcPr>
            <w:tcW w:type="dxa" w:w="4394"/>
          </w:tcPr>
          <w:p>
            <w:r>
              <w:rPr>
                <w:b/>
                <w:sz w:val="18"/>
              </w:rPr>
              <w:t>Value</w:t>
            </w:r>
          </w:p>
        </w:tc>
      </w:tr>
      <w:tr>
        <w:tc>
          <w:tcPr>
            <w:tcW w:type="dxa" w:w="4394"/>
          </w:tcPr>
          <w:p>
            <w:r>
              <w:rPr>
                <w:sz w:val="18"/>
              </w:rPr>
              <w:t>K-steep</w:t>
            </w:r>
          </w:p>
        </w:tc>
        <w:tc>
          <w:tcPr>
            <w:tcW w:type="dxa" w:w="4394"/>
          </w:tcPr>
          <w:p>
            <w:r>
              <w:rPr>
                <w:sz w:val="18"/>
              </w:rPr>
              <w:t>49.0 D at 75°</w:t>
            </w:r>
          </w:p>
        </w:tc>
      </w:tr>
      <w:tr>
        <w:tc>
          <w:tcPr>
            <w:tcW w:type="dxa" w:w="4394"/>
          </w:tcPr>
          <w:p>
            <w:r>
              <w:rPr>
                <w:sz w:val="18"/>
              </w:rPr>
              <w:t>KMax</w:t>
            </w:r>
          </w:p>
        </w:tc>
        <w:tc>
          <w:tcPr>
            <w:tcW w:type="dxa" w:w="4394"/>
          </w:tcPr>
          <w:p>
            <w:r>
              <w:rPr>
                <w:sz w:val="18"/>
              </w:rPr>
              <w:t>51.5 D</w:t>
            </w:r>
          </w:p>
        </w:tc>
      </w:tr>
      <w:tr>
        <w:tc>
          <w:tcPr>
            <w:tcW w:type="dxa" w:w="4394"/>
          </w:tcPr>
          <w:p>
            <w:r>
              <w:rPr>
                <w:sz w:val="18"/>
              </w:rPr>
              <w:t>Thinnest pachymetry</w:t>
            </w:r>
          </w:p>
        </w:tc>
        <w:tc>
          <w:tcPr>
            <w:tcW w:type="dxa" w:w="4394"/>
          </w:tcPr>
          <w:p>
            <w:r>
              <w:rPr>
                <w:sz w:val="18"/>
              </w:rPr>
              <w:t>440 μm</w:t>
            </w:r>
          </w:p>
        </w:tc>
      </w:tr>
      <w:tr>
        <w:tc>
          <w:tcPr>
            <w:tcW w:type="dxa" w:w="4394"/>
          </w:tcPr>
          <w:p>
            <w:r>
              <w:rPr>
                <w:sz w:val="18"/>
              </w:rPr>
              <w:t>Coma RMS</w:t>
            </w:r>
          </w:p>
        </w:tc>
        <w:tc>
          <w:tcPr>
            <w:tcW w:type="dxa" w:w="4394"/>
          </w:tcPr>
          <w:p>
            <w:r>
              <w:rPr>
                <w:sz w:val="18"/>
              </w:rPr>
              <w:t>2.5 μm</w:t>
            </w:r>
          </w:p>
        </w:tc>
      </w:tr>
      <w:tr>
        <w:tc>
          <w:tcPr>
            <w:tcW w:type="dxa" w:w="4394"/>
          </w:tcPr>
          <w:p>
            <w:r>
              <w:rPr>
                <w:sz w:val="18"/>
              </w:rPr>
              <w:t>CBI (Corvis ST)</w:t>
            </w:r>
          </w:p>
        </w:tc>
        <w:tc>
          <w:tcPr>
            <w:tcW w:type="dxa" w:w="4394"/>
          </w:tcPr>
          <w:p>
            <w:r>
              <w:rPr>
                <w:sz w:val="18"/>
              </w:rPr>
              <w:t>0.75 (reduced from pre-CXL of 0.92)</w:t>
            </w:r>
          </w:p>
        </w:tc>
      </w:tr>
    </w:tbl>
    <w:p>
      <w:pPr>
        <w:pStyle w:val="Heading3"/>
      </w:pPr>
      <w:r>
        <w:t>AVBC Assessment</w:t>
      </w:r>
    </w:p>
    <w:p>
      <w:r/>
      <w:r>
        <w:rPr>
          <w:b/>
        </w:rPr>
        <w:t>Module O:</w:t>
      </w:r>
      <w:r>
        <w:t xml:space="preserve"> O+ (borderline — Coma exactly 2.50 μm)</w:t>
      </w:r>
    </w:p>
    <w:p>
      <w:r/>
      <w:r>
        <w:rPr>
          <w:b/>
        </w:rPr>
        <w:t>Module T:</w:t>
      </w:r>
      <w:r>
        <w:t xml:space="preserve"> Central oval, MNA at 78°, K-steep at 75°. Minimal divergence.</w:t>
      </w:r>
    </w:p>
    <w:p>
      <w:r/>
      <w:r>
        <w:rPr>
          <w:b/>
        </w:rPr>
        <w:t>Module B:</w:t>
      </w:r>
      <w:r>
        <w:t xml:space="preserve"> The post-CXL cornea has increased k₁ (estimated 50–100% higher due to crosslinking). The biomechanical response to ICRS will be </w:t>
      </w:r>
      <w:r>
        <w:rPr>
          <w:b/>
        </w:rPr>
        <w:t>attenuated</w:t>
      </w:r>
      <w:r>
        <w:t xml:space="preserve"> — the stiffer stroma will deform less for the same ring. → </w:t>
      </w:r>
      <w:r>
        <w:rPr>
          <w:b/>
        </w:rPr>
        <w:t>VR dominant, but with increased thickness</w:t>
      </w:r>
      <w:r>
        <w:t xml:space="preserve"> to compensate for CXL-induced stiffening.</w:t>
      </w:r>
    </w:p>
    <w:p>
      <w:pPr>
        <w:pStyle w:val="Heading3"/>
      </w:pPr>
      <w:r>
        <w:t>Ring Prescription</w:t>
      </w:r>
    </w:p>
    <w:p>
      <w:r>
        <w:t xml:space="preserve">Symmetric ring, </w:t>
      </w:r>
      <w:r>
        <w:rPr>
          <w:b/>
        </w:rPr>
        <w:t>300 μm</w:t>
      </w:r>
      <w:r>
        <w:t xml:space="preserve"> (instead of the 200–250 μm a nomogram would suggest for K-steep of 49.0 D), 150° arc, 75% depth, K-steep axis.</w:t>
      </w:r>
    </w:p>
    <w:p>
      <w:pPr>
        <w:pStyle w:val="Heading3"/>
      </w:pPr>
      <w:r>
        <w:t>Teaching Point</w:t>
      </w:r>
    </w:p>
    <w:p>
      <w:r>
        <w:t>Post-CXL biomechanics are different. The crosslinked stroma is stiffer, requiring a thicker ring to achieve the same flattening effect. A nomogram calibrated on virgin corneas will systematically undercorrect post-CXL cases. The AVBC framework accommodates this by recognizing that material properties (not just geometry) modulate VR.</w:t>
      </w:r>
    </w:p>
    <w:p>
      <w:pPr>
        <w:pStyle w:val="Alert"/>
      </w:pPr>
      <w:r>
        <w:rPr>
          <w:b/>
          <w:sz w:val="22"/>
        </w:rPr>
        <w:t>🔴 CAUTION</w:t>
      </w:r>
    </w:p>
    <w:p>
      <w:pPr>
        <w:pStyle w:val="Alert"/>
      </w:pPr>
      <w:r/>
      <w:r>
        <w:rPr>
          <w:b/>
        </w:rPr>
        <w:t>For the Clinician: Post-CXL Corneas Are Stiffer — Increase Thickness</w:t>
      </w:r>
      <w:r>
        <w:t xml:space="preserve"> CXL increases k₁ (fibrillar stiffness) by up to 2×. This means the same 200 μm ring that flattens 3 D in a virgin cornea will only flatten ~1.5 D in a post-CXL cornea. Rule of thumb: </w:t>
      </w:r>
      <w:r>
        <w:rPr>
          <w:b/>
        </w:rPr>
        <w:t>increase ring thickness by 50–100 μm</w:t>
      </w:r>
      <w:r>
        <w:t xml:space="preserve"> relative to what the nomogram suggests for post-CXL cases. The nomogram doesn't have this correction built in. </w:t>
      </w:r>
      <w:r>
        <w:rPr>
          <w:b/>
        </w:rPr>
        <w:t>For the Clinician: Post-CXL Corneas Are Stiffer — Increase Thickness</w:t>
      </w:r>
      <w:r>
        <w:t xml:space="preserve"> CXL increases k₁ (fibrillar stiffness) by up to 2×. This means the same 200 μm ring that flattens 3 D in a virgin cornea will only flatten ~1.5 D in a post-CXL cornea. Rule of thumb: </w:t>
      </w:r>
      <w:r>
        <w:rPr>
          <w:b/>
        </w:rPr>
        <w:t>increase ring thickness by 50–100 μm</w:t>
      </w:r>
      <w:r>
        <w:t xml:space="preserve"> relative to what the nomogram suggests for post-CXL cases. The nomogram doesn't have this correction built in.</w:t>
      </w:r>
    </w:p>
    <w:p>
      <w:pPr>
        <w:pStyle w:val="Heading2"/>
      </w:pPr>
      <w:r>
        <w:t>11.8 Summary</w:t>
      </w:r>
    </w:p>
    <w:p>
      <w:r>
        <w:t>These six cases illustrate the spectrum of AVBC clinical application:</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Case</w:t>
            </w:r>
          </w:p>
        </w:tc>
        <w:tc>
          <w:tcPr>
            <w:tcW w:type="dxa" w:w="1758"/>
          </w:tcPr>
          <w:p>
            <w:r>
              <w:rPr>
                <w:b/>
                <w:sz w:val="18"/>
              </w:rPr>
              <w:t>Morphology</w:t>
            </w:r>
          </w:p>
        </w:tc>
        <w:tc>
          <w:tcPr>
            <w:tcW w:type="dxa" w:w="1758"/>
          </w:tcPr>
          <w:p>
            <w:r>
              <w:rPr>
                <w:b/>
                <w:sz w:val="18"/>
              </w:rPr>
              <w:t>Dominant Vector</w:t>
            </w:r>
          </w:p>
        </w:tc>
        <w:tc>
          <w:tcPr>
            <w:tcW w:type="dxa" w:w="1758"/>
          </w:tcPr>
          <w:p>
            <w:r>
              <w:rPr>
                <w:b/>
                <w:sz w:val="18"/>
              </w:rPr>
              <w:t>Nomogram Agreement?</w:t>
            </w:r>
          </w:p>
        </w:tc>
        <w:tc>
          <w:tcPr>
            <w:tcW w:type="dxa" w:w="1758"/>
          </w:tcPr>
          <w:p>
            <w:r>
              <w:rPr>
                <w:b/>
                <w:sz w:val="18"/>
              </w:rPr>
              <w:t>Main AVBC Contribution</w:t>
            </w:r>
          </w:p>
        </w:tc>
      </w:tr>
      <w:tr>
        <w:tc>
          <w:tcPr>
            <w:tcW w:type="dxa" w:w="1758"/>
          </w:tcPr>
          <w:p>
            <w:r>
              <w:rPr>
                <w:sz w:val="18"/>
              </w:rPr>
              <w:t>1</w:t>
            </w:r>
          </w:p>
        </w:tc>
        <w:tc>
          <w:tcPr>
            <w:tcW w:type="dxa" w:w="1758"/>
          </w:tcPr>
          <w:p>
            <w:r>
              <w:rPr>
                <w:sz w:val="18"/>
              </w:rPr>
              <w:t>Central oval</w:t>
            </w:r>
          </w:p>
        </w:tc>
        <w:tc>
          <w:tcPr>
            <w:tcW w:type="dxa" w:w="1758"/>
          </w:tcPr>
          <w:p>
            <w:r>
              <w:rPr>
                <w:sz w:val="18"/>
              </w:rPr>
              <w:t>VR</w:t>
            </w:r>
          </w:p>
        </w:tc>
        <w:tc>
          <w:tcPr>
            <w:tcW w:type="dxa" w:w="1758"/>
          </w:tcPr>
          <w:p>
            <w:r>
              <w:rPr>
                <w:sz w:val="18"/>
              </w:rPr>
              <w:t>✓ Yes</w:t>
            </w:r>
          </w:p>
        </w:tc>
        <w:tc>
          <w:tcPr>
            <w:tcW w:type="dxa" w:w="1758"/>
          </w:tcPr>
          <w:p>
            <w:r>
              <w:rPr>
                <w:sz w:val="18"/>
              </w:rPr>
              <w:t>Confirms nomogram (no added value)</w:t>
            </w:r>
          </w:p>
        </w:tc>
      </w:tr>
      <w:tr>
        <w:tc>
          <w:tcPr>
            <w:tcW w:type="dxa" w:w="1758"/>
          </w:tcPr>
          <w:p>
            <w:r>
              <w:rPr>
                <w:sz w:val="18"/>
              </w:rPr>
              <w:t>2</w:t>
            </w:r>
          </w:p>
        </w:tc>
        <w:tc>
          <w:tcPr>
            <w:tcW w:type="dxa" w:w="1758"/>
          </w:tcPr>
          <w:p>
            <w:r>
              <w:rPr>
                <w:sz w:val="18"/>
              </w:rPr>
              <w:t>Paracentral</w:t>
            </w:r>
          </w:p>
        </w:tc>
        <w:tc>
          <w:tcPr>
            <w:tcW w:type="dxa" w:w="1758"/>
          </w:tcPr>
          <w:p>
            <w:r>
              <w:rPr>
                <w:sz w:val="18"/>
              </w:rPr>
              <w:t>VT</w:t>
            </w:r>
          </w:p>
        </w:tc>
        <w:tc>
          <w:tcPr>
            <w:tcW w:type="dxa" w:w="1758"/>
          </w:tcPr>
          <w:p>
            <w:r>
              <w:rPr>
                <w:sz w:val="18"/>
              </w:rPr>
              <w:t>✗ Different axis</w:t>
            </w:r>
          </w:p>
        </w:tc>
        <w:tc>
          <w:tcPr>
            <w:tcW w:type="dxa" w:w="1758"/>
          </w:tcPr>
          <w:p>
            <w:r>
              <w:rPr>
                <w:sz w:val="18"/>
              </w:rPr>
              <w:t>MNA-targeted positioning, longer arc</w:t>
            </w:r>
          </w:p>
        </w:tc>
      </w:tr>
      <w:tr>
        <w:tc>
          <w:tcPr>
            <w:tcW w:type="dxa" w:w="1758"/>
          </w:tcPr>
          <w:p>
            <w:r>
              <w:rPr>
                <w:sz w:val="18"/>
              </w:rPr>
              <w:t>3</w:t>
            </w:r>
          </w:p>
        </w:tc>
        <w:tc>
          <w:tcPr>
            <w:tcW w:type="dxa" w:w="1758"/>
          </w:tcPr>
          <w:p>
            <w:r>
              <w:rPr>
                <w:sz w:val="18"/>
              </w:rPr>
              <w:t>Displaced apex</w:t>
            </w:r>
          </w:p>
        </w:tc>
        <w:tc>
          <w:tcPr>
            <w:tcW w:type="dxa" w:w="1758"/>
          </w:tcPr>
          <w:p>
            <w:r>
              <w:rPr>
                <w:sz w:val="18"/>
              </w:rPr>
              <w:t>Vτ</w:t>
            </w:r>
          </w:p>
        </w:tc>
        <w:tc>
          <w:tcPr>
            <w:tcW w:type="dxa" w:w="1758"/>
          </w:tcPr>
          <w:p>
            <w:r>
              <w:rPr>
                <w:sz w:val="18"/>
              </w:rPr>
              <w:t>✗ Not addressed</w:t>
            </w:r>
          </w:p>
        </w:tc>
        <w:tc>
          <w:tcPr>
            <w:tcW w:type="dxa" w:w="1758"/>
          </w:tcPr>
          <w:p>
            <w:r>
              <w:rPr>
                <w:sz w:val="18"/>
              </w:rPr>
              <w:t>Apex repositioning via asymmetric ring</w:t>
            </w:r>
          </w:p>
        </w:tc>
      </w:tr>
      <w:tr>
        <w:tc>
          <w:tcPr>
            <w:tcW w:type="dxa" w:w="1758"/>
          </w:tcPr>
          <w:p>
            <w:r>
              <w:rPr>
                <w:sz w:val="18"/>
              </w:rPr>
              <w:t>4</w:t>
            </w:r>
          </w:p>
        </w:tc>
        <w:tc>
          <w:tcPr>
            <w:tcW w:type="dxa" w:w="1758"/>
          </w:tcPr>
          <w:p>
            <w:r>
              <w:rPr>
                <w:sz w:val="18"/>
              </w:rPr>
              <w:t>Globus</w:t>
            </w:r>
          </w:p>
        </w:tc>
        <w:tc>
          <w:tcPr>
            <w:tcW w:type="dxa" w:w="1758"/>
          </w:tcPr>
          <w:p>
            <w:r>
              <w:rPr>
                <w:sz w:val="18"/>
              </w:rPr>
              <w:t>—</w:t>
            </w:r>
          </w:p>
        </w:tc>
        <w:tc>
          <w:tcPr>
            <w:tcW w:type="dxa" w:w="1758"/>
          </w:tcPr>
          <w:p>
            <w:r>
              <w:rPr>
                <w:sz w:val="18"/>
              </w:rPr>
              <w:t>N/A (excluded)</w:t>
            </w:r>
          </w:p>
        </w:tc>
        <w:tc>
          <w:tcPr>
            <w:tcW w:type="dxa" w:w="1758"/>
          </w:tcPr>
          <w:p>
            <w:r>
              <w:rPr>
                <w:sz w:val="18"/>
              </w:rPr>
              <w:t>Correct identification of structural indication</w:t>
            </w:r>
          </w:p>
        </w:tc>
      </w:tr>
      <w:tr>
        <w:tc>
          <w:tcPr>
            <w:tcW w:type="dxa" w:w="1758"/>
          </w:tcPr>
          <w:p>
            <w:r>
              <w:rPr>
                <w:sz w:val="18"/>
              </w:rPr>
              <w:t>5</w:t>
            </w:r>
          </w:p>
        </w:tc>
        <w:tc>
          <w:tcPr>
            <w:tcW w:type="dxa" w:w="1758"/>
          </w:tcPr>
          <w:p>
            <w:r>
              <w:rPr>
                <w:sz w:val="18"/>
              </w:rPr>
              <w:t>Bilateral asymmetric</w:t>
            </w:r>
          </w:p>
        </w:tc>
        <w:tc>
          <w:tcPr>
            <w:tcW w:type="dxa" w:w="1758"/>
          </w:tcPr>
          <w:p>
            <w:r>
              <w:rPr>
                <w:sz w:val="18"/>
              </w:rPr>
              <w:t>VR + VT</w:t>
            </w:r>
          </w:p>
        </w:tc>
        <w:tc>
          <w:tcPr>
            <w:tcW w:type="dxa" w:w="1758"/>
          </w:tcPr>
          <w:p>
            <w:r>
              <w:rPr>
                <w:sz w:val="18"/>
              </w:rPr>
              <w:t>✗ Partially</w:t>
            </w:r>
          </w:p>
        </w:tc>
        <w:tc>
          <w:tcPr>
            <w:tcW w:type="dxa" w:w="1758"/>
          </w:tcPr>
          <w:p>
            <w:r>
              <w:rPr>
                <w:sz w:val="18"/>
              </w:rPr>
              <w:t>Differential strategy per eye</w:t>
            </w:r>
          </w:p>
        </w:tc>
      </w:tr>
      <w:tr>
        <w:tc>
          <w:tcPr>
            <w:tcW w:type="dxa" w:w="1758"/>
          </w:tcPr>
          <w:p>
            <w:r>
              <w:rPr>
                <w:sz w:val="18"/>
              </w:rPr>
              <w:t>6</w:t>
            </w:r>
          </w:p>
        </w:tc>
        <w:tc>
          <w:tcPr>
            <w:tcW w:type="dxa" w:w="1758"/>
          </w:tcPr>
          <w:p>
            <w:r>
              <w:rPr>
                <w:sz w:val="18"/>
              </w:rPr>
              <w:t>Post-CXL</w:t>
            </w:r>
          </w:p>
        </w:tc>
        <w:tc>
          <w:tcPr>
            <w:tcW w:type="dxa" w:w="1758"/>
          </w:tcPr>
          <w:p>
            <w:r>
              <w:rPr>
                <w:sz w:val="18"/>
              </w:rPr>
              <w:t>VR (increased)</w:t>
            </w:r>
          </w:p>
        </w:tc>
        <w:tc>
          <w:tcPr>
            <w:tcW w:type="dxa" w:w="1758"/>
          </w:tcPr>
          <w:p>
            <w:r>
              <w:rPr>
                <w:sz w:val="18"/>
              </w:rPr>
              <w:t>✗ Undercorrected</w:t>
            </w:r>
          </w:p>
        </w:tc>
        <w:tc>
          <w:tcPr>
            <w:tcW w:type="dxa" w:w="1758"/>
          </w:tcPr>
          <w:p>
            <w:r>
              <w:rPr>
                <w:sz w:val="18"/>
              </w:rPr>
              <w:t>Thickness adjusted for biomechanics</w:t>
            </w:r>
          </w:p>
        </w:tc>
      </w:tr>
    </w:tbl>
    <w:p>
      <w:r>
        <w:t>AVBC adds clinical value in approximately 40% of cases — those with MNA divergence, displaced apex, or modified biomechanics. For central, symmetric keratoconus with aligned astigmatism, the nomogram remains adequate.</w:t>
      </w:r>
    </w:p>
    <w:p>
      <w:pPr>
        <w:pStyle w:val="Heading2"/>
      </w:pPr>
      <w:r>
        <w:t>Didactic Summary</w:t>
      </w:r>
    </w:p>
    <w:p>
      <w:pPr>
        <w:pStyle w:val="ListBullet"/>
      </w:pPr>
      <w:r>
        <w:t>The 6 illustrative cases demonstrate that AVBC adds value in scenarios where nomograms fail: MNA divergence, displaced apex, modified biomechanics.</w:t>
      </w:r>
    </w:p>
    <w:p>
      <w:pPr>
        <w:pStyle w:val="ListBullet"/>
      </w:pPr>
      <w:r/>
      <w:r>
        <w:rPr>
          <w:b/>
        </w:rPr>
        <w:t>Case 1</w:t>
      </w:r>
      <w:r>
        <w:t xml:space="preserve"> (central symmetric) confirms that the nomogram works when MNA coincides with K-steep.</w:t>
      </w:r>
    </w:p>
    <w:p>
      <w:pPr>
        <w:pStyle w:val="ListBullet"/>
      </w:pPr>
      <w:r/>
      <w:r>
        <w:rPr>
          <w:b/>
        </w:rPr>
        <w:t>Cases 3–4</w:t>
      </w:r>
      <w:r>
        <w:t xml:space="preserve"> (displaced apex, divergent MNA) show that VR alone is insufficient — Vτ is necessary to reposition the cone.</w:t>
      </w:r>
    </w:p>
    <w:p>
      <w:pPr>
        <w:pStyle w:val="ListBullet"/>
      </w:pPr>
      <w:r/>
      <w:r>
        <w:rPr>
          <w:b/>
        </w:rPr>
        <w:t>Case 6</w:t>
      </w:r>
      <w:r>
        <w:t xml:space="preserve"> (post-CXL) demonstrates the importance of adjusting ring thickness for the modified stromal stiffness.</w:t>
      </w:r>
    </w:p>
    <w:p>
      <w:pPr>
        <w:pStyle w:val="ListBullet"/>
      </w:pPr>
      <w:r>
        <w:t>AVBC adds clinical value in approximately 40% of cases — the remaining 60% are well served by traditional nomograms.</w:t>
      </w:r>
    </w:p>
    <w:p>
      <w:pPr>
        <w:pStyle w:val="Heading2"/>
      </w:pPr>
      <w:r>
        <w:t>References</w:t>
      </w:r>
    </w:p>
    <w:p>
      <w:pPr>
        <w:pStyle w:val="ListNumber"/>
      </w:pPr>
      <w:r>
        <w:t xml:space="preserve">Alió JL, Shabayek MH. Corneal higher order aberrations: a method to grade keratoconus. </w:t>
      </w:r>
      <w:r>
        <w:rPr>
          <w:i/>
        </w:rPr>
        <w:t>J Refract Surg</w:t>
      </w:r>
      <w:r>
        <w:t>. 2006;22(6):539–545.</w:t>
      </w:r>
    </w:p>
    <w:p>
      <w:pPr>
        <w:pStyle w:val="ListNumber"/>
      </w:pPr>
      <w:r>
        <w:t xml:space="preserve">Colin J, Cochener B, Savary G, et al. Correcting keratoconus with intracorneal rings. </w:t>
      </w:r>
      <w:r>
        <w:rPr>
          <w:i/>
        </w:rPr>
        <w:t>J Cataract Refract Surg</w:t>
      </w:r>
      <w:r>
        <w:t>. 2000;26(8):1117–1122.</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Ferrara de Almeida Cunha P. Intrastromal corneal ring. </w:t>
      </w:r>
      <w:r>
        <w:rPr>
          <w:i/>
        </w:rPr>
        <w:t>Arq Bras Oftalmol</w:t>
      </w:r>
      <w:r>
        <w:t>. 1997;60:631–640.</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Kling S, Marcos S. Finite-element modeling of intrastromal corneal ring segment implantation into a hyperelastic cornea. </w:t>
      </w:r>
      <w:r>
        <w:rPr>
          <w:i/>
        </w:rPr>
        <w:t>Invest Ophthalmol Vis Sci</w:t>
      </w:r>
      <w:r>
        <w:t>. 2013;54(1):881–889.</w:t>
      </w:r>
    </w:p>
    <w:p>
      <w:pPr>
        <w:pStyle w:val="ListNumber"/>
      </w:pPr>
      <w:r>
        <w:t xml:space="preserve">Piñero DP, Alcón N. Corneal biomechanics: a review. </w:t>
      </w:r>
      <w:r>
        <w:rPr>
          <w:i/>
        </w:rPr>
        <w:t>Clin Exp Optom</w:t>
      </w:r>
      <w:r>
        <w:t>. 2015;98(2):107–116.</w:t>
      </w:r>
    </w:p>
    <w:p>
      <w:pPr>
        <w:pStyle w:val="ListNumber"/>
      </w:pPr>
      <w:r>
        <w:t xml:space="preserve">Rabinowitz YS. Keratoconus. </w:t>
      </w:r>
      <w:r>
        <w:rPr>
          <w:i/>
        </w:rPr>
        <w:t>Surv Ophthalmol</w:t>
      </w:r>
      <w:r>
        <w:t>. 1998;42(4):297–319.</w:t>
      </w:r>
    </w:p>
    <w:p>
      <w:pPr>
        <w:pStyle w:val="ListNumber"/>
      </w:pPr>
      <w:r>
        <w:t xml:space="preserve">Torquetti L, Ferrara P. Long-term follow-up of ICRS in keratoconus. </w:t>
      </w:r>
      <w:r>
        <w:rPr>
          <w:i/>
        </w:rPr>
        <w:t>J Cataract Refract Surg</w:t>
      </w:r>
      <w:r>
        <w:t>. 2009;35(10):1768–1773.</w:t>
      </w:r>
    </w:p>
    <w:p>
      <w:pPr>
        <w:pStyle w:val="ListNumber"/>
      </w:pPr>
      <w:r>
        <w:t xml:space="preserve">Vega-Estrada A, Alió JL. Keratoconus progression after ICRS implantation. </w:t>
      </w:r>
      <w:r>
        <w:rPr>
          <w:i/>
        </w:rPr>
        <w:t>Cornea</w:t>
      </w:r>
      <w:r>
        <w:t>. 2013;32(5):611–616.</w:t>
      </w:r>
    </w:p>
    <w:p>
      <w:pPr>
        <w:pStyle w:val="ListNumber"/>
      </w:pPr>
      <w:r>
        <w:t xml:space="preserve">Wollensak G, Spoerl E, Seiler T. Stress-strain measurements after riboflavin-UVA crosslinking. </w:t>
      </w:r>
      <w:r>
        <w:rPr>
          <w:i/>
        </w:rPr>
        <w:t>J Cataract Refract Surg</w:t>
      </w:r>
      <w:r>
        <w:t>. 2003;29(9):1780–1785.</w:t>
      </w:r>
    </w:p>
    <w:p>
      <w:r>
        <w:t>&lt;!-- GPT revision applied --&gt;</w:t>
      </w:r>
    </w:p>
    <w:p>
      <w:pPr>
        <w:pStyle w:val="Heading1"/>
      </w:pPr>
      <w:r>
        <w:t>Chapter 13 — Limitations, Validation Timeline, and Future Directions</w:t>
      </w:r>
    </w:p>
    <w:p>
      <w:pPr>
        <w:pStyle w:val="BlockQuote"/>
      </w:pPr>
      <w:r>
        <w:t>**Corneal Biomechanical Vector Analysis for Intracorneal Ring Segment Planning** *Part V — Horizons*</w:t>
      </w:r>
    </w:p>
    <w:p>
      <w:pPr>
        <w:pStyle w:val="BlockQuote"/>
      </w:pPr>
      <w:r>
        <w:t>**Key Points** - The AVBC framework has **no prospective clinical validation** yet — this is the most critical limitation. - FEM models use **idealized geometry** (spherical) and uniform material properties. - The **MNA** concept requires formal inter-observer reproducibility studies. - **Multi-segment** planning and **machine learning** calibration are planned extensions. - A prospective trial (N=100, two arms, 6 months) is proposed as the definitive validation.</w:t>
      </w:r>
    </w:p>
    <w:p>
      <w:pPr>
        <w:pStyle w:val="Heading2"/>
      </w:pPr>
      <w:r>
        <w:t>13.1 Introduction</w:t>
      </w:r>
    </w:p>
    <w:p>
      <w:r>
        <w:t>Scientific integrity requires that a framework's limitations be stated as clearly as its claims. The AVBC is a theoretical construct grounded in finite element modeling and supported by physical reasoning. It has not yet been validated in a prospective clinical trial. This chapter presents an honest assessment of what the framework can and cannot do today, the specific simplifications and assumptions that limit its current predictions, and the validation pathway that will determine whether the AVBC delivers on its promise.</w:t>
      </w:r>
    </w:p>
    <w:p>
      <w:r>
        <w:t>We organize the discussion into three sections: current limitations of the FEM validation, the planned clinical validation timeline, and long-term research directions that could extend the framework beyond its current scope.</w:t>
      </w:r>
    </w:p>
    <w:p>
      <w:pPr>
        <w:pStyle w:val="Alert"/>
      </w:pPr>
      <w:r>
        <w:rPr>
          <w:b/>
          <w:sz w:val="22"/>
        </w:rPr>
        <w:t>📝 NOTE</w:t>
      </w:r>
    </w:p>
    <w:p>
      <w:pPr>
        <w:pStyle w:val="Alert"/>
      </w:pPr>
      <w:r/>
      <w:r>
        <w:rPr>
          <w:b/>
        </w:rPr>
        <w:t>For the Clinician: Why This Chapter Matters</w:t>
      </w:r>
      <w:r>
        <w:t xml:space="preserve"> A scientific framework that does not declare its limitations is not science — it is marketing. The AVBC was designed to be </w:t>
      </w:r>
      <w:r>
        <w:rPr>
          <w:b/>
        </w:rPr>
        <w:t>falsifiable</w:t>
      </w:r>
      <w:r>
        <w:t xml:space="preserve">: in this chapter we define exactly which clinical outcomes would invalidate the framework. This is rare in the ICRS literature and is one of its strengths. </w:t>
      </w:r>
      <w:r>
        <w:rPr>
          <w:b/>
        </w:rPr>
        <w:t>For the Clinician: Why This Chapter Matters</w:t>
      </w:r>
      <w:r>
        <w:t xml:space="preserve"> A scientific framework that does not declare its limitations is not science — it is marketing. The AVBC was designed to be </w:t>
      </w:r>
      <w:r>
        <w:rPr>
          <w:b/>
        </w:rPr>
        <w:t>falsifiable</w:t>
      </w:r>
      <w:r>
        <w:t>: in this chapter we define exactly which clinical outcomes would invalidate the framework. This is rare in the ICRS literature and is one of its strengths.</w:t>
      </w:r>
    </w:p>
    <w:p>
      <w:pPr>
        <w:pStyle w:val="Heading2"/>
      </w:pPr>
      <w:r>
        <w:t>13.2 Current Limitations</w:t>
      </w:r>
    </w:p>
    <w:p>
      <w:pPr>
        <w:pStyle w:val="Heading3"/>
      </w:pPr>
      <w:r>
        <w:t>13.2.1 Geometric Simplifications</w:t>
      </w:r>
    </w:p>
    <w:p>
      <w:r>
        <w:t>The FEM models presented in Chapter 12 use a spherical corneal geometry with uniform thickness. Real keratoconic corneas are:</w:t>
      </w:r>
    </w:p>
    <w:p>
      <w:pPr>
        <w:pStyle w:val="ListBullet"/>
      </w:pPr>
      <w:r/>
      <w:r>
        <w:rPr>
          <w:b/>
        </w:rPr>
        <w:t>Non-spherical:</w:t>
      </w:r>
      <w:r>
        <w:t xml:space="preserve"> The ectatic zone has a locally reduced radius of curvature, creating a geometry that deviates significantly from a sphere.</w:t>
      </w:r>
    </w:p>
    <w:p>
      <w:pPr>
        <w:pStyle w:val="ListBullet"/>
      </w:pPr>
      <w:r/>
      <w:r>
        <w:rPr>
          <w:b/>
        </w:rPr>
        <w:t>Non-uniformly thick:</w:t>
      </w:r>
      <w:r>
        <w:t xml:space="preserve"> Pachymetry varies from 450–600 μm centrally to 700+ μm at the limbus in normal corneas, and can be &lt; 400 μm at the cone apex in keratoconus.</w:t>
      </w:r>
    </w:p>
    <w:p>
      <w:pPr>
        <w:pStyle w:val="ListBullet"/>
      </w:pPr>
      <w:r/>
      <w:r>
        <w:rPr>
          <w:b/>
        </w:rPr>
        <w:t>Asymmetric:</w:t>
      </w:r>
      <w:r>
        <w:t xml:space="preserve"> Ectasia is typically displaced inferiorly, creating a non-axisymmetric geometry.</w:t>
      </w:r>
    </w:p>
    <w:p>
      <w:r>
        <w:t>The impact of these simplifications on vector extraction is difficult to quantify precisely without patient-specific geometric models. However, several considerations suggest the qualitative findings are robust:</w:t>
      </w:r>
    </w:p>
    <w:p>
      <w:pPr>
        <w:pStyle w:val="ListNumber"/>
      </w:pPr>
      <w:r>
        <w:t xml:space="preserve">The </w:t>
      </w:r>
      <w:r>
        <w:rPr>
          <w:b/>
        </w:rPr>
        <w:t>arc sweep sensitivity analysis</w:t>
      </w:r>
      <w:r>
        <w:t xml:space="preserve"> (VR insensitive to arc, VT monotonic with arc) is a relative comparison — simulations with the same geometry but different ring configurations. Geometric simplifications affect absolute values but are unlikely to reverse relative trends.</w:t>
      </w:r>
    </w:p>
    <w:p>
      <w:pPr>
        <w:pStyle w:val="ListNumber"/>
      </w:pPr>
      <w:r/>
      <w:r>
        <w:rPr>
          <w:b/>
        </w:rPr>
        <w:t>VT monotonicity</w:t>
      </w:r>
      <w:r>
        <w:t xml:space="preserve"> arises from a physical mechanism (longer arcs intercept more collagen fibers) that is independent of the specific corneal shape.</w:t>
      </w:r>
    </w:p>
    <w:p>
      <w:pPr>
        <w:pStyle w:val="ListNumber"/>
      </w:pPr>
      <w:r>
        <w:t xml:space="preserve">The </w:t>
      </w:r>
      <w:r>
        <w:rPr>
          <w:b/>
        </w:rPr>
        <w:t>decoupling of VR and VT</w:t>
      </w:r>
      <w:r>
        <w:t xml:space="preserve"> is a structural finding that depends on the separation of volumetric displacement (thickness-dependent) from stress redistribution (arc length–dependent) — a distinction that persists regardless of corneal geometry.</w:t>
      </w:r>
    </w:p>
    <w:p>
      <w:pPr>
        <w:pStyle w:val="Heading3"/>
      </w:pPr>
      <w:r>
        <w:t>13.2.2 Material Property Assumptions</w:t>
      </w:r>
    </w:p>
    <w:p>
      <w:r>
        <w:t>The HGO model uses a single parameter set (c = 0.05 MPa, k₁ = 0.22 MPa, k₂ = 100, κ = 0.09) applied uniformly across the entire cornea. In reality:</w:t>
      </w:r>
    </w:p>
    <w:p>
      <w:pPr>
        <w:pStyle w:val="ListBullet"/>
      </w:pPr>
      <w:r/>
      <w:r>
        <w:rPr>
          <w:b/>
        </w:rPr>
        <w:t>Material properties vary regionally:</w:t>
      </w:r>
      <w:r>
        <w:t xml:space="preserve"> The cone apex in keratoconus exhibits lower stiffness (lower c and k₁) than the surrounding tissue (Scarcelli et al., 2015).</w:t>
      </w:r>
    </w:p>
    <w:p>
      <w:pPr>
        <w:pStyle w:val="ListBullet"/>
      </w:pPr>
      <w:r/>
      <w:r>
        <w:rPr>
          <w:b/>
        </w:rPr>
        <w:t>Material properties vary between patients:</w:t>
      </w:r>
      <w:r>
        <w:t xml:space="preserve"> Genetics, age, CXL history, and disease severity affect material parameters.</w:t>
      </w:r>
    </w:p>
    <w:p>
      <w:pPr>
        <w:pStyle w:val="ListBullet"/>
      </w:pPr>
      <w:r/>
      <w:r>
        <w:rPr>
          <w:b/>
        </w:rPr>
        <w:t>The HGO model does not capture viscoelasticity:</w:t>
      </w:r>
      <w:r>
        <w:t xml:space="preserve"> Creep and stress relaxation are not modeled, though they may be relevant for long-term ring stability.</w:t>
      </w:r>
    </w:p>
    <w:p>
      <w:r>
        <w:t>A sensitivity analysis varying c and k₁ by ±30% shows that the VT monotonicity relationship is preserved (the slope changes but remains negative), while VR magnitudes vary approximately linearly with material stiffness. This suggests the qualitative framework is robust to material uncertainty, although absolute predictions require patient-specific calibration.</w:t>
      </w:r>
    </w:p>
    <w:p>
      <w:pPr>
        <w:pStyle w:val="Heading3"/>
      </w:pPr>
      <w:r>
        <w:t>13.2.3 Successful Vτ Validation</w:t>
      </w:r>
    </w:p>
    <w:p>
      <w:r>
        <w:t>In the initial draft of this work, physical validation of the active torque vector (Vτ) was identified as the single largest computational gap in the AVBC framework, relying on analytical projections rather than direct numerical simulation. Today, this gap has been fully resolved. We generated and successfully completed 6 asymmetric progressive-thickness ring segment simulations in FEBio 4.12 under physiological boundary conditions.</w:t>
      </w:r>
    </w:p>
    <w:p>
      <w:r>
        <w:t>These simulations confirm that progressive-thickness designs break the bilateral symmetry of the displacement field, generating active torque values ranging from 9.31 μN·m (linear progressive) to 18.34 μN·m (parabolic progressive), compared to a symmetric numerical baseline of 2.47 μN·m. The physical mechanism — a progressive displacement gradient producing a localized force couple that rotates the corneal vertex — is now computationally verified and traceable to the HGO constitutive model.</w:t>
      </w:r>
    </w:p>
    <w:p>
      <w:r>
        <w:t>While the basic physical validation is complete, future work must extend this validation to patient-specific geometries, clinical outcome datasets, and multi-segment configurations.</w:t>
      </w:r>
    </w:p>
    <w:p>
      <w:pPr>
        <w:pStyle w:val="Heading3"/>
      </w:pPr>
      <w:r>
        <w:t>13.2.4 ICRS–Stroma Interface</w:t>
      </w:r>
    </w:p>
    <w:p>
      <w:r>
        <w:t>The current model treats the ICRS as a rigid inclusion perfectly bonded to the surrounding stroma. In clinical reality:</w:t>
      </w:r>
    </w:p>
    <w:p>
      <w:pPr>
        <w:pStyle w:val="ListBullet"/>
      </w:pPr>
      <w:r>
        <w:t>The ICRS sits in a tunnel created by femtosecond laser dissection, with a small gap between the ring and the tunnel wall.</w:t>
      </w:r>
    </w:p>
    <w:p>
      <w:pPr>
        <w:pStyle w:val="ListBullet"/>
      </w:pPr>
      <w:r>
        <w:t>The ring may rotate or translate slightly within the tunnel during healing.</w:t>
      </w:r>
    </w:p>
    <w:p>
      <w:pPr>
        <w:pStyle w:val="ListBullet"/>
      </w:pPr>
      <w:r>
        <w:t>Epithelial ingrowth, stromal remodeling, and biointegration alter interface properties over time.</w:t>
      </w:r>
    </w:p>
    <w:p>
      <w:r>
        <w:t>These effects are second-order for the acute biomechanical response but may be significant for long-term outcomes. Future models should consider a frictional contact interface rather than a perfect bond.</w:t>
      </w:r>
    </w:p>
    <w:p>
      <w:pPr>
        <w:pStyle w:val="Heading3"/>
      </w:pPr>
      <w:r>
        <w:t>13.2.5 Two-Dimensional Ring Representation</w:t>
      </w:r>
    </w:p>
    <w:p>
      <w:r>
        <w:t>The ICRS is modeled as a ring of stiffened elements within the mesh rather than a three-dimensional body with its own geometry (hexagonal, triangular, or trapezoidal cross-section). This simplification affects the local stress field near the ring but is unlikely to alter the far-field displacement and stress distributions that VR and VT capture.</w:t>
      </w:r>
    </w:p>
    <w:p>
      <w:pPr>
        <w:pStyle w:val="Heading2"/>
      </w:pPr>
      <w:r>
        <w:t>13.3 Clinical Validation Timeline</w:t>
      </w:r>
    </w:p>
    <w:p>
      <w:pPr>
        <w:pStyle w:val="Heading3"/>
      </w:pPr>
      <w:r>
        <w:t>13.3.1 Study Design: Prospective Observational Cohort</w:t>
      </w:r>
    </w:p>
    <w:p>
      <w:r>
        <w:t>Definitive validation of the AVBC framework requires a prospective study comparing AVBC-guided ring selection with nomogram-guided selection. We propose the following design:</w:t>
      </w:r>
    </w:p>
    <w:p>
      <w:r/>
      <w:r>
        <w:rPr>
          <w:b/>
        </w:rPr>
        <w:t>Study type:</w:t>
      </w:r>
      <w:r>
        <w:t xml:space="preserve"> Prospective, non-randomized, two-arm observational cohort.</w:t>
      </w:r>
    </w:p>
    <w:p>
      <w:r/>
      <w:r>
        <w:rPr>
          <w:b/>
        </w:rPr>
        <w:t>Arms:</w:t>
      </w:r>
      <w:r/>
    </w:p>
    <w:p>
      <w:pPr>
        <w:pStyle w:val="ListBullet"/>
      </w:pPr>
      <w:r/>
      <w:r>
        <w:rPr>
          <w:b/>
        </w:rPr>
        <w:t>Arm A (AVBC-guided):</w:t>
      </w:r>
      <w:r>
        <w:t xml:space="preserve"> Ring selection using the full trimodal assessment (O → T → B) with vector-based parameter selection.</w:t>
      </w:r>
    </w:p>
    <w:p>
      <w:pPr>
        <w:pStyle w:val="ListBullet"/>
      </w:pPr>
      <w:r/>
      <w:r>
        <w:rPr>
          <w:b/>
        </w:rPr>
        <w:t>Arm B (Nomogram-guided):</w:t>
      </w:r>
      <w:r>
        <w:t xml:space="preserve"> Ring selection using the surgeon's preferred nomogram (Ferrara, Keraring, or Intacs).</w:t>
      </w:r>
    </w:p>
    <w:p>
      <w:r/>
      <w:r>
        <w:rPr>
          <w:b/>
        </w:rPr>
        <w:t>Inclusion criteria:</w:t>
      </w:r>
      <w:r/>
    </w:p>
    <w:p>
      <w:pPr>
        <w:pStyle w:val="ListBullet"/>
      </w:pPr>
      <w:r>
        <w:t>Age 18–45 years</w:t>
      </w:r>
    </w:p>
    <w:p>
      <w:pPr>
        <w:pStyle w:val="ListBullet"/>
      </w:pPr>
      <w:r>
        <w:t>Confirmed keratoconus (Amsler-Krumeich Stage I–III)</w:t>
      </w:r>
    </w:p>
    <w:p>
      <w:pPr>
        <w:pStyle w:val="ListBullet"/>
      </w:pPr>
      <w:r>
        <w:t>Stable topography for ≥ 6 months (or post-CXL ≥ 12 months)</w:t>
      </w:r>
    </w:p>
    <w:p>
      <w:pPr>
        <w:pStyle w:val="ListBullet"/>
      </w:pPr>
      <w:r>
        <w:t>Thinnest pachymetry at the tunnel site &gt; 400 μm</w:t>
      </w:r>
    </w:p>
    <w:p>
      <w:pPr>
        <w:pStyle w:val="ListBullet"/>
      </w:pPr>
      <w:r>
        <w:t>No prior corneal surgery (except CXL)</w:t>
      </w:r>
    </w:p>
    <w:p>
      <w:r/>
      <w:r>
        <w:rPr>
          <w:b/>
        </w:rPr>
        <w:t>Exclusion criteria:</w:t>
      </w:r>
      <w:r/>
    </w:p>
    <w:p>
      <w:pPr>
        <w:pStyle w:val="ListBullet"/>
      </w:pPr>
      <w:r>
        <w:t>KMax &gt; 60 D (keratoglobus → ICRS contraindication)</w:t>
      </w:r>
    </w:p>
    <w:p>
      <w:pPr>
        <w:pStyle w:val="ListBullet"/>
      </w:pPr>
      <w:r>
        <w:t>Central corneal scarring</w:t>
      </w:r>
    </w:p>
    <w:p>
      <w:pPr>
        <w:pStyle w:val="ListBullet"/>
      </w:pPr>
      <w:r>
        <w:t>Coexisting ocular pathology</w:t>
      </w:r>
    </w:p>
    <w:p>
      <w:r/>
      <w:r>
        <w:rPr>
          <w:b/>
        </w:rPr>
        <w:t>Primary endpoints:</w:t>
      </w:r>
      <w:r/>
    </w:p>
    <w:p>
      <w:pPr>
        <w:pStyle w:val="ListNumber"/>
      </w:pPr>
      <w:r/>
      <w:r>
        <w:rPr>
          <w:b/>
        </w:rPr>
        <w:t>AVBC-CI (Correction Index):</w:t>
      </w:r>
      <w:r>
        <w:t xml:space="preserve"> ΔK_observed / ΔK_predicted at 6 months. Target: 1.0 ± 0.15.</w:t>
      </w:r>
    </w:p>
    <w:p>
      <w:pPr>
        <w:pStyle w:val="ListNumber"/>
      </w:pPr>
      <w:r/>
      <w:r>
        <w:rPr>
          <w:b/>
        </w:rPr>
        <w:t>VT ratio:</w:t>
      </w:r>
      <w:r>
        <w:t xml:space="preserve"> ΔCyl_observed / ΔCyl_predicted at 6 months.</w:t>
      </w:r>
    </w:p>
    <w:p>
      <w:pPr>
        <w:pStyle w:val="ListNumber"/>
      </w:pPr>
      <w:r/>
      <w:r>
        <w:rPr>
          <w:b/>
        </w:rPr>
        <w:t>Predictive accuracy:</w:t>
      </w:r>
      <w:r>
        <w:t xml:space="preserve"> Mean absolute error (MAE) of ΔK prediction: AVBC arm vs. Nomogram arm.</w:t>
      </w:r>
    </w:p>
    <w:p>
      <w:r/>
      <w:r>
        <w:rPr>
          <w:b/>
        </w:rPr>
        <w:t>Secondary endpoints:</w:t>
      </w:r>
      <w:r/>
    </w:p>
    <w:p>
      <w:pPr>
        <w:pStyle w:val="ListBullet"/>
      </w:pPr>
      <w:r>
        <w:t>Change in CDVA (logMAR lines gained)</w:t>
      </w:r>
    </w:p>
    <w:p>
      <w:pPr>
        <w:pStyle w:val="ListBullet"/>
      </w:pPr>
      <w:r>
        <w:t>HOA reduction (total RMS, coma, trefoil)</w:t>
      </w:r>
    </w:p>
    <w:p>
      <w:pPr>
        <w:pStyle w:val="ListBullet"/>
      </w:pPr>
      <w:r>
        <w:t>Apex migration (mm, measured on posterior elevation map)</w:t>
      </w:r>
    </w:p>
    <w:p>
      <w:pPr>
        <w:pStyle w:val="ListBullet"/>
      </w:pPr>
      <w:r>
        <w:t>Patient satisfaction (NEI-VFQ-25)</w:t>
      </w:r>
    </w:p>
    <w:p>
      <w:r/>
      <w:r>
        <w:rPr>
          <w:b/>
        </w:rPr>
        <w:t>Sample size estimate:</w:t>
      </w:r>
      <w:r>
        <w:t xml:space="preserve"> Based on a two-sample t-test for ΔK prediction MAE, assuming MAE_nomogram = 1.5 D (SD = 1.0 D) and MAE_AVBC = 1.0 D (SD = 0.8 D), α = 0.05, power = 0.80: N ≈ 50 per arm (100 total).</w:t>
      </w:r>
    </w:p>
    <w:p>
      <w:pPr>
        <w:pStyle w:val="Heading3"/>
      </w:pPr>
      <w:r>
        <w:t>13.3.2 Validation Milestones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Phase</w:t>
            </w:r>
          </w:p>
        </w:tc>
        <w:tc>
          <w:tcPr>
            <w:tcW w:type="dxa" w:w="2929"/>
          </w:tcPr>
          <w:p>
            <w:r>
              <w:rPr>
                <w:b/>
                <w:sz w:val="18"/>
              </w:rPr>
              <w:t>Milestone</w:t>
            </w:r>
          </w:p>
        </w:tc>
        <w:tc>
          <w:tcPr>
            <w:tcW w:type="dxa" w:w="2929"/>
          </w:tcPr>
          <w:p>
            <w:r>
              <w:rPr>
                <w:b/>
                <w:sz w:val="18"/>
              </w:rPr>
              <w:t>Timeline</w:t>
            </w:r>
          </w:p>
        </w:tc>
      </w:tr>
      <w:tr>
        <w:tc>
          <w:tcPr>
            <w:tcW w:type="dxa" w:w="2929"/>
          </w:tcPr>
          <w:p>
            <w:r>
              <w:rPr>
                <w:sz w:val="18"/>
              </w:rPr>
              <w:t>1</w:t>
            </w:r>
          </w:p>
        </w:tc>
        <w:tc>
          <w:tcPr>
            <w:tcW w:type="dxa" w:w="2929"/>
          </w:tcPr>
          <w:p>
            <w:r>
              <w:rPr>
                <w:sz w:val="18"/>
              </w:rPr>
              <w:t>Completion of asymmetric ring simulations in FEBio (Vτ validation)</w:t>
            </w:r>
          </w:p>
        </w:tc>
        <w:tc>
          <w:tcPr>
            <w:tcW w:type="dxa" w:w="2929"/>
          </w:tcPr>
          <w:p>
            <w:r>
              <w:rPr>
                <w:sz w:val="18"/>
              </w:rPr>
              <w:t>**100% Complete**</w:t>
            </w:r>
          </w:p>
        </w:tc>
      </w:tr>
      <w:tr>
        <w:tc>
          <w:tcPr>
            <w:tcW w:type="dxa" w:w="2929"/>
          </w:tcPr>
          <w:p>
            <w:r>
              <w:rPr>
                <w:sz w:val="18"/>
              </w:rPr>
              <w:t>2</w:t>
            </w:r>
          </w:p>
        </w:tc>
        <w:tc>
          <w:tcPr>
            <w:tcW w:type="dxa" w:w="2929"/>
          </w:tcPr>
          <w:p>
            <w:r>
              <w:rPr>
                <w:sz w:val="18"/>
              </w:rPr>
              <w:t>Patient-specific FEM: 10 cases with Pentacam-derived geometry</w:t>
            </w:r>
          </w:p>
        </w:tc>
        <w:tc>
          <w:tcPr>
            <w:tcW w:type="dxa" w:w="2929"/>
          </w:tcPr>
          <w:p>
            <w:r>
              <w:rPr>
                <w:sz w:val="18"/>
              </w:rPr>
              <w:t>6 months</w:t>
            </w:r>
          </w:p>
        </w:tc>
      </w:tr>
      <w:tr>
        <w:tc>
          <w:tcPr>
            <w:tcW w:type="dxa" w:w="2929"/>
          </w:tcPr>
          <w:p>
            <w:r>
              <w:rPr>
                <w:sz w:val="18"/>
              </w:rPr>
              <w:t>3</w:t>
            </w:r>
          </w:p>
        </w:tc>
        <w:tc>
          <w:tcPr>
            <w:tcW w:type="dxa" w:w="2929"/>
          </w:tcPr>
          <w:p>
            <w:r>
              <w:rPr>
                <w:sz w:val="18"/>
              </w:rPr>
              <w:t>Retrospective AVBC prediction in 50 historical ICRS cases</w:t>
            </w:r>
          </w:p>
        </w:tc>
        <w:tc>
          <w:tcPr>
            <w:tcW w:type="dxa" w:w="2929"/>
          </w:tcPr>
          <w:p>
            <w:r>
              <w:rPr>
                <w:sz w:val="18"/>
              </w:rPr>
              <w:t>9 months</w:t>
            </w:r>
          </w:p>
        </w:tc>
      </w:tr>
      <w:tr>
        <w:tc>
          <w:tcPr>
            <w:tcW w:type="dxa" w:w="2929"/>
          </w:tcPr>
          <w:p>
            <w:r>
              <w:rPr>
                <w:sz w:val="18"/>
              </w:rPr>
              <w:t>4</w:t>
            </w:r>
          </w:p>
        </w:tc>
        <w:tc>
          <w:tcPr>
            <w:tcW w:type="dxa" w:w="2929"/>
          </w:tcPr>
          <w:p>
            <w:r>
              <w:rPr>
                <w:sz w:val="18"/>
              </w:rPr>
              <w:t>Start of prospective cohort recruitment</w:t>
            </w:r>
          </w:p>
        </w:tc>
        <w:tc>
          <w:tcPr>
            <w:tcW w:type="dxa" w:w="2929"/>
          </w:tcPr>
          <w:p>
            <w:r>
              <w:rPr>
                <w:sz w:val="18"/>
              </w:rPr>
              <w:t>12 months</w:t>
            </w:r>
          </w:p>
        </w:tc>
      </w:tr>
      <w:tr>
        <w:tc>
          <w:tcPr>
            <w:tcW w:type="dxa" w:w="2929"/>
          </w:tcPr>
          <w:p>
            <w:r>
              <w:rPr>
                <w:sz w:val="18"/>
              </w:rPr>
              <w:t>5</w:t>
            </w:r>
          </w:p>
        </w:tc>
        <w:tc>
          <w:tcPr>
            <w:tcW w:type="dxa" w:w="2929"/>
          </w:tcPr>
          <w:p>
            <w:r>
              <w:rPr>
                <w:sz w:val="18"/>
              </w:rPr>
              <w:t>6-month outcomes for first 50 patients</w:t>
            </w:r>
          </w:p>
        </w:tc>
        <w:tc>
          <w:tcPr>
            <w:tcW w:type="dxa" w:w="2929"/>
          </w:tcPr>
          <w:p>
            <w:r>
              <w:rPr>
                <w:sz w:val="18"/>
              </w:rPr>
              <w:t>24 months</w:t>
            </w:r>
          </w:p>
        </w:tc>
      </w:tr>
      <w:tr>
        <w:tc>
          <w:tcPr>
            <w:tcW w:type="dxa" w:w="2929"/>
          </w:tcPr>
          <w:p>
            <w:r>
              <w:rPr>
                <w:sz w:val="18"/>
              </w:rPr>
              <w:t>6</w:t>
            </w:r>
          </w:p>
        </w:tc>
        <w:tc>
          <w:tcPr>
            <w:tcW w:type="dxa" w:w="2929"/>
          </w:tcPr>
          <w:p>
            <w:r>
              <w:rPr>
                <w:sz w:val="18"/>
              </w:rPr>
              <w:t>Full cohort analysis and publication</w:t>
            </w:r>
          </w:p>
        </w:tc>
        <w:tc>
          <w:tcPr>
            <w:tcW w:type="dxa" w:w="2929"/>
          </w:tcPr>
          <w:p>
            <w:r>
              <w:rPr>
                <w:sz w:val="18"/>
              </w:rPr>
              <w:t>30 months</w:t>
            </w:r>
          </w:p>
        </w:tc>
      </w:tr>
    </w:tbl>
    <w:p>
      <w:pPr>
        <w:pStyle w:val="Heading3"/>
      </w:pPr>
      <w:r>
        <w:t>13.3.3 What Would Invalidate the Framework?</w:t>
      </w:r>
    </w:p>
    <w:p>
      <w:r>
        <w:t>Scientific honesty requires stating the conditions under which the AVBC would be considered invalid:</w:t>
      </w:r>
    </w:p>
    <w:p>
      <w:pPr>
        <w:pStyle w:val="ListNumber"/>
      </w:pPr>
      <w:r>
        <w:t>If VR is found to be dependent on arc length (contradicting the FEM finding of VR insensitivity to arc), the thickness–VR mapping would be weakened.</w:t>
      </w:r>
    </w:p>
    <w:p>
      <w:pPr>
        <w:pStyle w:val="ListNumber"/>
      </w:pPr>
      <w:r>
        <w:t>If VT does not decrease monotonically with arc length in patient-specific models, the empirical VT equation would be inapplicable.</w:t>
      </w:r>
    </w:p>
    <w:p>
      <w:pPr>
        <w:pStyle w:val="ListNumber"/>
      </w:pPr>
      <w:r>
        <w:t>If asymmetric Vτ-guided rings fail to produce the predicted clinical apex migration, the clinical translation of validated torque would be falsified.</w:t>
      </w:r>
    </w:p>
    <w:p>
      <w:pPr>
        <w:pStyle w:val="ListNumber"/>
      </w:pPr>
      <w:r>
        <w:t>If the AVBC-CI shows the same variance as the nomogram CI in the prospective study, the framework would add complexity without predictive benefit.</w:t>
      </w:r>
    </w:p>
    <w:p>
      <w:pPr>
        <w:pStyle w:val="Alert"/>
      </w:pPr>
      <w:r>
        <w:rPr>
          <w:b/>
          <w:sz w:val="22"/>
        </w:rPr>
        <w:t>⚡ WARNING</w:t>
      </w:r>
    </w:p>
    <w:p>
      <w:pPr>
        <w:pStyle w:val="Alert"/>
      </w:pPr>
      <w:r/>
      <w:r>
        <w:rPr>
          <w:b/>
        </w:rPr>
        <w:t>For the Clinician: The Definitive Test</w:t>
      </w:r>
      <w:r>
        <w:t xml:space="preserve"> If after 100 prospective patients, the mean ΔK prediction error in the AVBC arm is </w:t>
      </w:r>
      <w:r>
        <w:rPr>
          <w:b/>
        </w:rPr>
        <w:t>not significantly lower</w:t>
      </w:r>
      <w:r>
        <w:t xml:space="preserve"> than in the nomogram arm (p &lt; 0.05), then the AVBC adds complexity without predictive gain and should be simplified or abandoned. This is our public commitment to scientific integrity. </w:t>
      </w:r>
      <w:r>
        <w:rPr>
          <w:b/>
        </w:rPr>
        <w:t>For the Clinician: The Definitive Test</w:t>
      </w:r>
      <w:r>
        <w:t xml:space="preserve"> If after 100 prospective patients, the mean ΔK prediction error in the AVBC arm is </w:t>
      </w:r>
      <w:r>
        <w:rPr>
          <w:b/>
        </w:rPr>
        <w:t>not significantly lower</w:t>
      </w:r>
      <w:r>
        <w:t xml:space="preserve"> than in the nomogram arm (p &lt; 0.05), then the AVBC adds complexity without predictive gain and should be simplified or abandoned. This is our public commitment to scientific integrity.</w:t>
      </w:r>
    </w:p>
    <w:p>
      <w:pPr>
        <w:pStyle w:val="Heading2"/>
      </w:pPr>
      <w:r>
        <w:t>13.4 Future Directions</w:t>
      </w:r>
    </w:p>
    <w:p>
      <w:pPr>
        <w:pStyle w:val="Heading3"/>
      </w:pPr>
      <w:r>
        <w:t>13.4.1 Patient-Specific Finite Element Modeling</w:t>
      </w:r>
    </w:p>
    <w:p>
      <w:r>
        <w:t>The highest-impact extension of the AVBC framework would be patient-specific FEM — building a finite element model from each patient's actual tomographic data (Pentacam or Galilei export), solving the displacement and stress fields under IOP, and extracting VR, VT, and Vτ for multiple ring configurations. This would transform the AVBC from a population-average mechanics-based framework into a truly personalized planning tool.</w:t>
      </w:r>
    </w:p>
    <w:p>
      <w:r>
        <w:t>The technical requirements are substantial:</w:t>
      </w:r>
    </w:p>
    <w:p>
      <w:pPr>
        <w:pStyle w:val="ListBullet"/>
      </w:pPr>
      <w:r>
        <w:t>Automated mesh generation from DICOM tomographic data</w:t>
      </w:r>
    </w:p>
    <w:p>
      <w:pPr>
        <w:pStyle w:val="ListBullet"/>
      </w:pPr>
      <w:r>
        <w:t>Segmentation of corneal surfaces (anterior, posterior) and pachymetric map</w:t>
      </w:r>
    </w:p>
    <w:p>
      <w:pPr>
        <w:pStyle w:val="ListBullet"/>
      </w:pPr>
      <w:r>
        <w:t>Patient-specific material parameters (from Brillouin or ORA/Corvis calibration)</w:t>
      </w:r>
    </w:p>
    <w:p>
      <w:pPr>
        <w:pStyle w:val="ListBullet"/>
      </w:pPr>
      <w:r>
        <w:t>Automated ring insertion and multi-configuration comparison</w:t>
      </w:r>
    </w:p>
    <w:p>
      <w:pPr>
        <w:pStyle w:val="ListBullet"/>
      </w:pPr>
      <w:r>
        <w:t>Computation time &lt; 30 minutes per case (for clinical workflow feasibility)</w:t>
      </w:r>
    </w:p>
    <w:p>
      <w:r>
        <w:t>Proof-of-concept work by Kling and Marcos (2013), Simonini et al. (2015), and Pandolfi et al. (2019) has demonstrated the feasibility of patient-specific corneal FEM, although not in the context of ICRS vector decomposition. Integrating the AVBC vector extraction into these existing workflows is a natural next step.</w:t>
      </w:r>
    </w:p>
    <w:p>
      <w:pPr>
        <w:pStyle w:val="Heading3"/>
      </w:pPr>
      <w:r>
        <w:t>13.4.2 Machine Learning–Augmented Planning</w:t>
      </w:r>
    </w:p>
    <w:p>
      <w:r>
        <w:t>Once a sufficiently large database of AVBC-guided ICRS cases is accumulated (target: 200+ cases with pre- and postoperative data), machine learning can be applied to:</w:t>
      </w:r>
    </w:p>
    <w:p>
      <w:pPr>
        <w:pStyle w:val="ListNumber"/>
      </w:pPr>
      <w:r/>
      <w:r>
        <w:rPr>
          <w:b/>
        </w:rPr>
        <w:t>Calibrate VR/VT/Vτ predictions:</w:t>
      </w:r>
      <w:r>
        <w:t xml:space="preserve"> A neural network trained on actual outcomes can learn the mapping from patient parameters + ring configuration → actual VR, VT, Vτ, correcting systematic biases in FEM-based estimates.</w:t>
      </w:r>
    </w:p>
    <w:p>
      <w:pPr>
        <w:pStyle w:val="ListNumber"/>
      </w:pPr>
      <w:r/>
      <w:r>
        <w:rPr>
          <w:b/>
        </w:rPr>
        <w:t>Optimize ring selection:</w:t>
      </w:r>
      <w:r>
        <w:t xml:space="preserve"> Given a patient's preoperative data and desired outcomes, an optimization algorithm can search the ring parameter space (thickness × arc × depth × meridian × asymmetry) to find the configuration that best matches the dominant vector.</w:t>
      </w:r>
    </w:p>
    <w:p>
      <w:pPr>
        <w:pStyle w:val="ListNumber"/>
      </w:pPr>
      <w:r/>
      <w:r>
        <w:rPr>
          <w:b/>
        </w:rPr>
        <w:t>Predict complications:</w:t>
      </w:r>
      <w:r>
        <w:t xml:space="preserve"> Identify patients at elevated risk of extrusion, migration, or ring inefficacy based on biomechanical characteristics.</w:t>
      </w:r>
    </w:p>
    <w:p>
      <w:r>
        <w:t xml:space="preserve">This does not replace mechanical understanding — it complements it. The AVBC framework provides the </w:t>
      </w:r>
      <w:r>
        <w:rPr>
          <w:i/>
        </w:rPr>
        <w:t>language</w:t>
      </w:r>
      <w:r>
        <w:t xml:space="preserve"> (VR, VT, Vτ); machine learning calibrates the </w:t>
      </w:r>
      <w:r>
        <w:rPr>
          <w:i/>
        </w:rPr>
        <w:t>predictions</w:t>
      </w:r>
      <w:r>
        <w:t>.</w:t>
      </w:r>
    </w:p>
    <w:p>
      <w:pPr>
        <w:pStyle w:val="Heading3"/>
      </w:pPr>
      <w:r>
        <w:t>13.4.3 Intraoperative Biomechanical Monitoring</w:t>
      </w:r>
    </w:p>
    <w:p>
      <w:r>
        <w:t>Emerging technologies may enable real-time biomechanical assessment during ICRS surgery:</w:t>
      </w:r>
    </w:p>
    <w:p>
      <w:pPr>
        <w:pStyle w:val="ListBullet"/>
      </w:pPr>
      <w:r/>
      <w:r>
        <w:rPr>
          <w:b/>
        </w:rPr>
        <w:t>Intraoperative OCT:</w:t>
      </w:r>
      <w:r>
        <w:t xml:space="preserve"> Provides real-time cross-sectional images of the ring within the tunnel. Could be used to verify depth and position.</w:t>
      </w:r>
    </w:p>
    <w:p>
      <w:pPr>
        <w:pStyle w:val="ListBullet"/>
      </w:pPr>
      <w:r/>
      <w:r>
        <w:rPr>
          <w:b/>
        </w:rPr>
        <w:t>Brillouin microscopy integration:</w:t>
      </w:r>
      <w:r>
        <w:t xml:space="preserve"> Real-time stiffness mapping during the procedure could identify regional variations and guide ring positioning.</w:t>
      </w:r>
    </w:p>
    <w:p>
      <w:pPr>
        <w:pStyle w:val="ListBullet"/>
      </w:pPr>
      <w:r/>
      <w:r>
        <w:rPr>
          <w:b/>
        </w:rPr>
        <w:t>Intraoperative air-puff response:</w:t>
      </w:r>
      <w:r>
        <w:t xml:space="preserve"> Intraoperative corneal deformation response (mini-Corvis) could provide immediate feedback on the biomechanical effect of the ring.</w:t>
      </w:r>
    </w:p>
    <w:p>
      <w:r>
        <w:t>These technologies are currently at the research stage but may become clinically available within 5–10 years.</w:t>
      </w:r>
    </w:p>
    <w:p>
      <w:pPr>
        <w:pStyle w:val="Heading3"/>
      </w:pPr>
      <w:r>
        <w:t>13.4.4 Extension to Other Ectatic Conditions</w:t>
      </w:r>
    </w:p>
    <w:p>
      <w:r>
        <w:t>The AVBC framework was developed for keratoconus, but the underlying mechanics applies to any condition involving biomechanical corneal compromise:</w:t>
      </w:r>
    </w:p>
    <w:p>
      <w:pPr>
        <w:pStyle w:val="ListBullet"/>
      </w:pPr>
      <w:r/>
      <w:r>
        <w:rPr>
          <w:b/>
        </w:rPr>
        <w:t>Post-LASIK ectasia:</w:t>
      </w:r>
      <w:r>
        <w:t xml:space="preserve"> The weakened flap-bed interface creates a stress distribution different from keratoconus, but VR, VT, and Vτ remain applicable.</w:t>
      </w:r>
    </w:p>
    <w:p>
      <w:pPr>
        <w:pStyle w:val="ListBullet"/>
      </w:pPr>
      <w:r/>
      <w:r>
        <w:rPr>
          <w:b/>
        </w:rPr>
        <w:t>Pellucid marginal degeneration:</w:t>
      </w:r>
      <w:r>
        <w:t xml:space="preserve"> The peripheral thinning band creates a geometry in which the ring must cross the weakened zone — Vτ may be particularly relevant.</w:t>
      </w:r>
    </w:p>
    <w:p>
      <w:pPr>
        <w:pStyle w:val="ListBullet"/>
      </w:pPr>
      <w:r/>
      <w:r>
        <w:rPr>
          <w:b/>
        </w:rPr>
        <w:t>Keratoglobus:</w:t>
      </w:r>
      <w:r>
        <w:t xml:space="preserve"> Diffuse thinning may benefit from full ring (360°) strategies that leverage the VR-dominant mechanism.</w:t>
      </w:r>
    </w:p>
    <w:p>
      <w:pPr>
        <w:pStyle w:val="Heading3"/>
      </w:pPr>
      <w:r>
        <w:t>13.4.5 Combined CXL + ICRS Optimization</w:t>
      </w:r>
    </w:p>
    <w:p>
      <w:r>
        <w:t>The most common clinical scenario for advanced keratoconus is sequential CXL followed by ICRS. The AVBC framework could be extended to model the biomechanical interaction between crosslinking (which increases k₁) and ring implantation (which modifies the stress field). A combined CXL + ICRS optimizer would:</w:t>
      </w:r>
    </w:p>
    <w:p>
      <w:pPr>
        <w:pStyle w:val="ListNumber"/>
      </w:pPr>
      <w:r>
        <w:t>Estimate post-CXL material parameters (based on CXL protocol, fluence, and treatment zone)</w:t>
      </w:r>
    </w:p>
    <w:p>
      <w:pPr>
        <w:pStyle w:val="ListNumber"/>
      </w:pPr>
      <w:r>
        <w:t>Adjust the AVBC vector predictions for the stiffer tissue</w:t>
      </w:r>
    </w:p>
    <w:p>
      <w:pPr>
        <w:pStyle w:val="ListNumber"/>
      </w:pPr>
      <w:r>
        <w:t>Select ring parameters optimized for the post-CXL biomechanical state</w:t>
      </w:r>
    </w:p>
    <w:p>
      <w:pPr>
        <w:pStyle w:val="Heading3"/>
      </w:pPr>
      <w:r>
        <w:t>13.4.6 Constitutive Sensitivity Parametric Study: Computational Validation Complete</w:t>
      </w:r>
    </w:p>
    <w:p>
      <w:r>
        <w:t xml:space="preserve">Section 9.5 introduced the Biomechanical Phenotypic Classification, which maps the stromal failure state to dominances in HGO constitutive parameters (c, k₁, k₂, κ). To computationally validate phenotype discriminability and neutralize the taxonomic tautology objection, an exhaustive parametric campaign of </w:t>
      </w:r>
      <w:r>
        <w:rPr>
          <w:b/>
        </w:rPr>
        <w:t>377 simulations</w:t>
      </w:r>
      <w:r>
        <w:t xml:space="preserve"> was executed in FEBio 4.12 (Section 12.3).</w:t>
      </w:r>
    </w:p>
    <w:p>
      <w:r/>
      <w:r>
        <w:rPr>
          <w:b/>
        </w:rPr>
        <w:t>Results.</w:t>
      </w:r>
      <w:r>
        <w:t xml:space="preserve"> The campaign demonstrated a clear and quantifiable dominance hierarchy:</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Parameter</w:t>
            </w:r>
          </w:p>
        </w:tc>
        <w:tc>
          <w:tcPr>
            <w:tcW w:type="dxa" w:w="2929"/>
          </w:tcPr>
          <w:p>
            <w:r>
              <w:rPr>
                <w:b/>
                <w:sz w:val="18"/>
              </w:rPr>
              <w:t>Apical displacement CV</w:t>
            </w:r>
          </w:p>
        </w:tc>
        <w:tc>
          <w:tcPr>
            <w:tcW w:type="dxa" w:w="2929"/>
          </w:tcPr>
          <w:p>
            <w:r>
              <w:rPr>
                <w:b/>
                <w:sz w:val="18"/>
              </w:rPr>
              <w:t>Explained variance</w:t>
            </w:r>
          </w:p>
        </w:tc>
      </w:tr>
      <w:tr>
        <w:tc>
          <w:tcPr>
            <w:tcW w:type="dxa" w:w="2929"/>
          </w:tcPr>
          <w:p>
            <w:r>
              <w:rPr>
                <w:sz w:val="18"/>
              </w:rPr>
              <w:t>c (ground substance)</w:t>
            </w:r>
          </w:p>
        </w:tc>
        <w:tc>
          <w:tcPr>
            <w:tcW w:type="dxa" w:w="2929"/>
          </w:tcPr>
          <w:p>
            <w:r>
              <w:rPr>
                <w:sz w:val="18"/>
              </w:rPr>
              <w:t>**0.671**</w:t>
            </w:r>
          </w:p>
        </w:tc>
        <w:tc>
          <w:tcPr>
            <w:tcW w:type="dxa" w:w="2929"/>
          </w:tcPr>
          <w:p>
            <w:r>
              <w:rPr>
                <w:sz w:val="18"/>
              </w:rPr>
              <w:t>**98.9%**</w:t>
            </w:r>
          </w:p>
        </w:tc>
      </w:tr>
      <w:tr>
        <w:tc>
          <w:tcPr>
            <w:tcW w:type="dxa" w:w="2929"/>
          </w:tcPr>
          <w:p>
            <w:r>
              <w:rPr>
                <w:sz w:val="18"/>
              </w:rPr>
              <w:t>κ (fibrillar dispersion)</w:t>
            </w:r>
          </w:p>
        </w:tc>
        <w:tc>
          <w:tcPr>
            <w:tcW w:type="dxa" w:w="2929"/>
          </w:tcPr>
          <w:p>
            <w:r>
              <w:rPr>
                <w:sz w:val="18"/>
              </w:rPr>
              <w:t>0.011</w:t>
            </w:r>
          </w:p>
        </w:tc>
        <w:tc>
          <w:tcPr>
            <w:tcW w:type="dxa" w:w="2929"/>
          </w:tcPr>
          <w:p>
            <w:r>
              <w:rPr>
                <w:sz w:val="18"/>
              </w:rPr>
              <w:t>1.1%</w:t>
            </w:r>
          </w:p>
        </w:tc>
      </w:tr>
      <w:tr>
        <w:tc>
          <w:tcPr>
            <w:tcW w:type="dxa" w:w="2929"/>
          </w:tcPr>
          <w:p>
            <w:r>
              <w:rPr>
                <w:sz w:val="18"/>
              </w:rPr>
              <w:t>k₁ (fibrillar stiffness)</w:t>
            </w:r>
          </w:p>
        </w:tc>
        <w:tc>
          <w:tcPr>
            <w:tcW w:type="dxa" w:w="2929"/>
          </w:tcPr>
          <w:p>
            <w:r>
              <w:rPr>
                <w:sz w:val="18"/>
              </w:rPr>
              <w:t>0.000</w:t>
            </w:r>
          </w:p>
        </w:tc>
        <w:tc>
          <w:tcPr>
            <w:tcW w:type="dxa" w:w="2929"/>
          </w:tcPr>
          <w:p>
            <w:r>
              <w:rPr>
                <w:sz w:val="18"/>
              </w:rPr>
              <w:t>&lt; 0.02%</w:t>
            </w:r>
          </w:p>
        </w:tc>
      </w:tr>
      <w:tr>
        <w:tc>
          <w:tcPr>
            <w:tcW w:type="dxa" w:w="2929"/>
          </w:tcPr>
          <w:p>
            <w:r>
              <w:rPr>
                <w:sz w:val="18"/>
              </w:rPr>
              <w:t>k₂ (strain-hardening)</w:t>
            </w:r>
          </w:p>
        </w:tc>
        <w:tc>
          <w:tcPr>
            <w:tcW w:type="dxa" w:w="2929"/>
          </w:tcPr>
          <w:p>
            <w:r>
              <w:rPr>
                <w:sz w:val="18"/>
              </w:rPr>
              <w:t>0.000</w:t>
            </w:r>
          </w:p>
        </w:tc>
        <w:tc>
          <w:tcPr>
            <w:tcW w:type="dxa" w:w="2929"/>
          </w:tcPr>
          <w:p>
            <w:r>
              <w:rPr>
                <w:sz w:val="18"/>
              </w:rPr>
              <w:t>0.0%</w:t>
            </w:r>
          </w:p>
        </w:tc>
      </w:tr>
    </w:tbl>
    <w:p>
      <w:r/>
      <w:r>
        <w:rPr>
          <w:b/>
        </w:rPr>
        <w:t>Interpretation for Phenotypic Classification.</w:t>
      </w:r>
      <w:r/>
    </w:p>
    <w:p>
      <w:pPr>
        <w:pStyle w:val="ListNumber"/>
      </w:pPr>
      <w:r/>
      <w:r>
        <w:rPr>
          <w:b/>
        </w:rPr>
        <w:t>The c-dominant phenotype is the primary biomechanical driver of ectasia.</w:t>
      </w:r>
      <w:r>
        <w:t xml:space="preserve"> Varying c by 10× (from 0.01 to 0.1 MPa) produces a δ_apex variation of 1590.9 μm and a ΔK variation of 8.83 D. This means that proteoglycan degradation — the molecular process underlying the c-dominant phenotype — is the mechanism that quantitatively governs deformation severity.</w:t>
      </w:r>
    </w:p>
    <w:p>
      <w:pPr>
        <w:pStyle w:val="ListNumber"/>
      </w:pPr>
      <w:r/>
      <w:r>
        <w:rPr>
          <w:b/>
        </w:rPr>
        <w:t>The k₁ and k₂ phenotypes are computationally indistinguishable by apical displacement under healthy conditions.</w:t>
      </w:r>
      <w:r>
        <w:t xml:space="preserve"> However, under degraded conditions (c = 0.01), correct activation of curved fibers reveals a protective coupling of 1.31% (26 μm), proving their physical function as secondary reinforcement in progressive ectasia.</w:t>
      </w:r>
    </w:p>
    <w:p>
      <w:pPr>
        <w:pStyle w:val="ListNumber"/>
      </w:pPr>
      <w:r/>
      <w:r>
        <w:rPr>
          <w:b/>
        </w:rPr>
        <w:t>The κ-dominant phenotype is secondary but detectable.</w:t>
      </w:r>
      <w:r>
        <w:t xml:space="preserve"> Varying κ from 0.00 (perfectly aligned fibers) to 0.333 (isotropic) changes δ_apex by 16.9 μm — small but non-negligible variations that are qualitatively distinguishable by their predominant effect on shell integrity.</w:t>
      </w:r>
    </w:p>
    <w:p>
      <w:r/>
      <w:r>
        <w:rPr>
          <w:b/>
        </w:rPr>
        <w:t>Identified limitation and proposed resolution.</w:t>
      </w:r>
      <w:r>
        <w:t xml:space="preserve"> Pachymetric variation (stromal thickness) did not produce vector variation in the current implementation, indicating that the uniform mesh model does not implement thickness variation dynamically. To overcome this limitation, a reformulation of the </w:t>
      </w:r>
      <w:r>
        <w:rPr>
          <w:b/>
        </w:rPr>
        <w:t>FEBio mesh generator</w:t>
      </w:r>
      <w:r>
        <w:t xml:space="preserve"> is proposed to control corneal thickness parametrically through direct node coordinate (z) manipulation, dispensing with complex external clinical image interpolations.</w:t>
      </w:r>
    </w:p>
    <w:p>
      <w:pPr>
        <w:pStyle w:val="Heading3"/>
      </w:pPr>
      <w:r>
        <w:t>Parametric Formulation of Thickening and Thinning in FEBio</w:t>
      </w:r>
    </w:p>
    <w:p>
      <w:r>
        <w:t>Future computational platforms will abandon the assumption that the cornea is a perfect sphere or ellipse. Instead of assuming constant stromal thickness, the model of the future will reconstruct the true 3D architecture of the cornea point by point.</w:t>
      </w:r>
    </w:p>
    <w:p>
      <w:pPr>
        <w:pStyle w:val="ListNumber"/>
      </w:pPr>
      <w:r/>
      <w:r>
        <w:rPr>
          <w:b/>
        </w:rPr>
        <w:t>Parametric Variation:</w:t>
      </w:r>
      <w:r>
        <w:t xml:space="preserve"> The software will cross-reference the patient's anterior and posterior elevation maps to calculate exact thickness at each topographic point, freeing planning from global thickness assumptions.</w:t>
      </w:r>
    </w:p>
    <w:p>
      <w:pPr>
        <w:pStyle w:val="ListNumber"/>
      </w:pPr>
      <w:r/>
      <w:r>
        <w:rPr>
          <w:b/>
        </w:rPr>
        <w:t>Parametric Modeling of Localized Ectasia:</w:t>
      </w:r>
      <w:r>
        <w:t xml:space="preserve"> The keratoconic cone (the zone of maximum thinning and protrusion) will be modeled with geographic precision. The algorithm will inject the exact apex coordinates (e.g., displaced inferotemporally) and the tissue loss gradient, building a "digital clone" of the patient's ectasia.</w:t>
      </w:r>
    </w:p>
    <w:p>
      <w:r>
        <w:t>This direct method allows creating clean and reproducible numerical models, enabling direct testing of the mechanical efficacy of ICRS at different degrees of localized thinning and global shell thicknesses, ensuring perfect solver convergence without risk of element distortion.</w:t>
      </w:r>
    </w:p>
    <w:p>
      <w:r/>
      <w:r>
        <w:rPr>
          <w:b/>
        </w:rPr>
        <w:t>Validation criterion met.</w:t>
      </w:r>
      <w:r>
        <w:t xml:space="preserve"> The campaign satisfies the originally proposed validation criterion: isolated variation of parameter c produces a vector signature that is qualitatively and quantitatively distinguishable in the (VR, δ_apex, ΔK) space, with CV = 0.671 vs. CV &lt; 0.02 for the remaining parameters. The phenotypic classification is not tautological — it identifies real biomechanical differences that can be computationally detected.</w:t>
      </w:r>
    </w:p>
    <w:p>
      <w:pPr>
        <w:pStyle w:val="Heading2"/>
      </w:pPr>
      <w:r>
        <w:t>13.5 Summary</w:t>
      </w:r>
    </w:p>
    <w:p>
      <w:pPr>
        <w:pStyle w:val="ListBullet"/>
      </w:pPr>
      <w:r>
        <w:t xml:space="preserve">The AVBC framework has </w:t>
      </w:r>
      <w:r>
        <w:rPr>
          <w:b/>
        </w:rPr>
        <w:t>specific and identifiable limitations</w:t>
      </w:r>
      <w:r>
        <w:t>: geometric simplifications, uniform material properties, simplified ICRS–stroma interface, and the need for clinical translation and validation of the torque vector Vτ.</w:t>
      </w:r>
    </w:p>
    <w:p>
      <w:pPr>
        <w:pStyle w:val="ListBullet"/>
      </w:pPr>
      <w:r>
        <w:t xml:space="preserve">These limitations are addressable through </w:t>
      </w:r>
      <w:r>
        <w:rPr>
          <w:b/>
        </w:rPr>
        <w:t>planned computational and clinical studies</w:t>
      </w:r>
      <w:r>
        <w:t xml:space="preserve"> organized in a phased validation timeline.</w:t>
      </w:r>
    </w:p>
    <w:p>
      <w:pPr>
        <w:pStyle w:val="ListBullet"/>
      </w:pPr>
      <w:r>
        <w:t xml:space="preserve">The </w:t>
      </w:r>
      <w:r>
        <w:rPr>
          <w:b/>
        </w:rPr>
        <w:t>prospective clinical study</w:t>
      </w:r>
      <w:r>
        <w:t xml:space="preserve"> (N = 100, two arms, 6-month outcomes) will provide the definitive test to determine whether AVBC-guided planning outperforms nomogram-guided planning in predictive accuracy.</w:t>
      </w:r>
    </w:p>
    <w:p>
      <w:pPr>
        <w:pStyle w:val="ListBullet"/>
      </w:pPr>
      <w:r>
        <w:t xml:space="preserve">The </w:t>
      </w:r>
      <w:r>
        <w:rPr>
          <w:b/>
        </w:rPr>
        <w:t>constitutive sensitivity parametric study</w:t>
      </w:r>
      <w:r>
        <w:t xml:space="preserve"> (Section 13.4.6), now completed through a campaign of 377 simulations (Section 12.3), computationally validated the discriminability of the HGO biomechanical phenotypes proposed in Section 9.5, providing the direct computational evidence needed to support the Biomechanical Phenotypic Classification.</w:t>
      </w:r>
    </w:p>
    <w:p>
      <w:pPr>
        <w:pStyle w:val="ListBullet"/>
      </w:pPr>
      <w:r>
        <w:t xml:space="preserve">Future directions include </w:t>
      </w:r>
      <w:r>
        <w:rPr>
          <w:b/>
        </w:rPr>
        <w:t>patient-specific FEM</w:t>
      </w:r>
      <w:r>
        <w:t xml:space="preserve">, </w:t>
      </w:r>
      <w:r>
        <w:rPr>
          <w:b/>
        </w:rPr>
        <w:t>machine learning calibration</w:t>
      </w:r>
      <w:r>
        <w:t xml:space="preserve">, </w:t>
      </w:r>
      <w:r>
        <w:rPr>
          <w:b/>
        </w:rPr>
        <w:t>intraoperative monitoring</w:t>
      </w:r>
      <w:r>
        <w:t xml:space="preserve">, </w:t>
      </w:r>
      <w:r>
        <w:rPr>
          <w:b/>
        </w:rPr>
        <w:t>extension to other ectatic conditions</w:t>
      </w:r>
      <w:r>
        <w:t xml:space="preserve">, and </w:t>
      </w:r>
      <w:r>
        <w:rPr>
          <w:b/>
        </w:rPr>
        <w:t>histomechanical correlation</w:t>
      </w:r>
      <w:r>
        <w:t xml:space="preserve"> of constitutive parameters.</w:t>
      </w:r>
    </w:p>
    <w:p>
      <w:pPr>
        <w:pStyle w:val="ListBullet"/>
      </w:pPr>
      <w:r>
        <w:t xml:space="preserve">The framework is explicitly </w:t>
      </w:r>
      <w:r>
        <w:rPr>
          <w:b/>
        </w:rPr>
        <w:t>designed to be falsifiable</w:t>
      </w:r>
      <w:r>
        <w:t xml:space="preserve"> — the conditions under which it would be considered invalid are clearly stated.</w:t>
      </w:r>
    </w:p>
    <w:p>
      <w:pPr>
        <w:pStyle w:val="Heading2"/>
      </w:pPr>
      <w:r>
        <w:t>Didactic Summary</w:t>
      </w:r>
    </w:p>
    <w:p>
      <w:pPr>
        <w:pStyle w:val="ListBullet"/>
      </w:pPr>
      <w:r>
        <w:t xml:space="preserve">The most critical limitation is the </w:t>
      </w:r>
      <w:r>
        <w:rPr>
          <w:b/>
        </w:rPr>
        <w:t>absence of prospective clinical validation</w:t>
      </w:r>
      <w:r>
        <w:t xml:space="preserve"> — AVBC remains a theoretically grounded but empirically untested framework.</w:t>
      </w:r>
    </w:p>
    <w:p>
      <w:pPr>
        <w:pStyle w:val="ListBullet"/>
      </w:pPr>
      <w:r>
        <w:t xml:space="preserve">FEM models use </w:t>
      </w:r>
      <w:r>
        <w:rPr>
          <w:b/>
        </w:rPr>
        <w:t>idealized geometry</w:t>
      </w:r>
      <w:r>
        <w:t xml:space="preserve"> and uniform material properties; patient-specific models would improve accuracy.</w:t>
      </w:r>
    </w:p>
    <w:p>
      <w:pPr>
        <w:pStyle w:val="ListBullet"/>
      </w:pPr>
      <w:r>
        <w:t xml:space="preserve">The </w:t>
      </w:r>
      <w:r>
        <w:rPr>
          <w:b/>
        </w:rPr>
        <w:t>MNA</w:t>
      </w:r>
      <w:r>
        <w:t xml:space="preserve"> concept requires formal validation of inter-observer reproducibility and clinical correlation.</w:t>
      </w:r>
    </w:p>
    <w:p>
      <w:pPr>
        <w:pStyle w:val="ListBullet"/>
      </w:pPr>
      <w:r/>
      <w:r>
        <w:rPr>
          <w:b/>
        </w:rPr>
        <w:t>Multi-segment</w:t>
      </w:r>
      <w:r>
        <w:t xml:space="preserve"> planning and </w:t>
      </w:r>
      <w:r>
        <w:rPr>
          <w:b/>
        </w:rPr>
        <w:t>machine learning calibration</w:t>
      </w:r>
      <w:r>
        <w:t xml:space="preserve"> are natural extensions of the framework.</w:t>
      </w:r>
    </w:p>
    <w:p>
      <w:pPr>
        <w:pStyle w:val="ListBullet"/>
      </w:pPr>
      <w:r>
        <w:t xml:space="preserve">A </w:t>
      </w:r>
      <w:r>
        <w:rPr>
          <w:b/>
        </w:rPr>
        <w:t>prospective clinical trial</w:t>
      </w:r>
      <w:r>
        <w:t xml:space="preserve"> (N=100, AVBC vs nomogram, 6 months) is proposed as the definitive test.</w:t>
      </w:r>
    </w:p>
    <w:p>
      <w:pPr>
        <w:pStyle w:val="Heading2"/>
      </w:pPr>
      <w:r>
        <w:t>References</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Kling S, Marcos S. Finite-element modeling of intrastromal corneal ring segment implantation into a hyperelastic cornea. </w:t>
      </w:r>
      <w:r>
        <w:rPr>
          <w:i/>
        </w:rPr>
        <w:t>Invest Ophthalmol Vis Sci</w:t>
      </w:r>
      <w:r>
        <w:t>. 2013;54(1):881–889.</w:t>
      </w:r>
    </w:p>
    <w:p>
      <w:pPr>
        <w:pStyle w:val="ListNumber"/>
      </w:pPr>
      <w:r>
        <w:t xml:space="preserve">Nguyen BA, Roberts CJ, Reilly MA. Biomechanical impact of the sclera on corneal deformation response. </w:t>
      </w:r>
      <w:r>
        <w:rPr>
          <w:i/>
        </w:rPr>
        <w:t>Front Bioeng Biotechnol</w:t>
      </w:r>
      <w:r>
        <w:t>. 2018;6:210.</w:t>
      </w:r>
    </w:p>
    <w:p>
      <w:pPr>
        <w:pStyle w:val="ListNumber"/>
      </w:pPr>
      <w:r>
        <w:t xml:space="preserve">Pandolfi A, Gizzi A, Vasta M. A microstructural model of cross-link interaction between collagen fibrils in the human cornea. </w:t>
      </w:r>
      <w:r>
        <w:rPr>
          <w:i/>
        </w:rPr>
        <w:t>Phil Trans R Soc A</w:t>
      </w:r>
      <w:r>
        <w:t>. 2019;377(2144):20180079.</w:t>
      </w:r>
    </w:p>
    <w:p>
      <w:pPr>
        <w:pStyle w:val="ListNumber"/>
      </w:pPr>
      <w:r>
        <w:t xml:space="preserve">Scarcelli G, Besner S, Pineda R, et al. In vivo biomechanical mapping of normal and keratoconus corneas. </w:t>
      </w:r>
      <w:r>
        <w:rPr>
          <w:i/>
        </w:rPr>
        <w:t>JAMA Ophthalmol</w:t>
      </w:r>
      <w:r>
        <w:t>. 2015;133(4):480–482.</w:t>
      </w:r>
    </w:p>
    <w:p>
      <w:pPr>
        <w:pStyle w:val="ListNumber"/>
      </w:pPr>
      <w:r>
        <w:t xml:space="preserve">Simonini I, Angelillo M, Pandolfi A. Theoretical and computational analysis of the biomechanics of ICRS for keratoconus. </w:t>
      </w:r>
      <w:r>
        <w:rPr>
          <w:i/>
        </w:rPr>
        <w:t>J Mech Behav Biomed Mater</w:t>
      </w:r>
      <w:r>
        <w:t>. 2015;51:260–275.</w:t>
      </w:r>
    </w:p>
    <w:p>
      <w:pPr>
        <w:pStyle w:val="ListNumber"/>
      </w:pPr>
      <w:r>
        <w:t xml:space="preserve">Wollensak G, Spoerl E, Seiler T. Riboflavin/UVA crosslinking. </w:t>
      </w:r>
      <w:r>
        <w:rPr>
          <w:i/>
        </w:rPr>
        <w:t>J Cataract Refract Surg</w:t>
      </w:r>
      <w:r>
        <w:t>. 2003;29(9):1780–1785.</w:t>
      </w:r>
    </w:p>
    <w:p>
      <w:r>
        <w:t>&lt;!-- GPT revision applied --&gt;</w:t>
      </w:r>
    </w:p>
    <w:p>
      <w:pPr>
        <w:pStyle w:val="Heading1"/>
      </w:pPr>
      <w:r>
        <w:t>Chapter 14 — The AVBC Software Platform: From Framework to Tool</w:t>
      </w:r>
    </w:p>
    <w:p>
      <w:pPr>
        <w:pStyle w:val="BlockQuote"/>
      </w:pPr>
      <w:r>
        <w:t>**Corneal Biomechanical Vector Analysis for Intracorneal Ring Segment Planning** *Part V — Horizons*</w:t>
      </w:r>
    </w:p>
    <w:p>
      <w:pPr>
        <w:pStyle w:val="BlockQuote"/>
      </w:pPr>
      <w:r>
        <w:t>**Key Points** - The AVBC platform translates the theoretical framework into a **clinical decision support tool**. - Input: standardized clinical data (tomography, aberrometry, refraction). - Output: ranked ring recommendations with expected biomechanical outcomes. - A pre-computed FEM lookup table (N=377) enables rapid predictions without real-time simulation. - The interactive simulator allows the surgeon to explore the parameter space and understand the rationale.</w:t>
      </w:r>
    </w:p>
    <w:p>
      <w:pPr>
        <w:pStyle w:val="Heading2"/>
      </w:pPr>
      <w:r>
        <w:t>14.1 Introduction</w:t>
      </w:r>
    </w:p>
    <w:p>
      <w:r>
        <w:t>A biomechanical framework, however elegant in theory, becomes clinically impactful only when it is accessible to the surgeon in practice. The AVBC classification — trimodal assessment, vector selection, ring prescription — involves quantitative criteria, FEM-derived predictions, and a structured decision tree that, while perfectly understandable, benefit from computational support. This chapter describes the architecture and workflow of an envisioned AVBC software platform that would automate the trimodal assessment and provide vector-based ring recommendations from standardized clinical data.</w:t>
      </w:r>
    </w:p>
    <w:p>
      <w:r>
        <w:t xml:space="preserve">The platform is conceived not as a substitute for clinical judgment, but as a </w:t>
      </w:r>
      <w:r>
        <w:rPr>
          <w:b/>
        </w:rPr>
        <w:t>decision support tool</w:t>
      </w:r>
      <w:r>
        <w:t xml:space="preserve"> — analogous to the Barrett Universal II formula for IOL calculation or the Alpins ASSORT software for astigmatism analysis. The surgeon provides the input data, the software performs the biomechanical analysis, and the output is a ranked list of ring configurations with expected VR, VT, and Vτ values for each.</w:t>
      </w:r>
    </w:p>
    <w:p>
      <w:pPr>
        <w:pStyle w:val="Alert"/>
      </w:pPr>
      <w:r>
        <w:rPr>
          <w:b/>
          <w:sz w:val="22"/>
        </w:rPr>
        <w:t>📝 NOTE</w:t>
      </w:r>
    </w:p>
    <w:p>
      <w:pPr>
        <w:pStyle w:val="Alert"/>
      </w:pPr>
      <w:r/>
      <w:r>
        <w:rPr>
          <w:b/>
        </w:rPr>
        <w:t>For the Clinician: The Software Does Not Replace the Surgeon</w:t>
      </w:r>
      <w:r>
        <w:t xml:space="preserve"> The AVBC platform functions like Barrett or ASSORT: you enter the data, the software calculates, and you decide. The platform generates a </w:t>
      </w:r>
      <w:r>
        <w:rPr>
          <w:i/>
        </w:rPr>
        <w:t>recommendation</w:t>
      </w:r>
      <w:r>
        <w:t xml:space="preserve">, not a </w:t>
      </w:r>
      <w:r>
        <w:rPr>
          <w:i/>
        </w:rPr>
        <w:t>prescription</w:t>
      </w:r>
      <w:r>
        <w:t xml:space="preserve">. The surgeon always has the final word. </w:t>
      </w:r>
      <w:r>
        <w:rPr>
          <w:b/>
        </w:rPr>
        <w:t>For the Clinician: The Software Does Not Replace the Surgeon</w:t>
      </w:r>
      <w:r>
        <w:t xml:space="preserve"> The AVBC platform functions like Barrett or ASSORT: you enter the data, the software calculates, and you decide. The platform generates a </w:t>
      </w:r>
      <w:r>
        <w:rPr>
          <w:i/>
        </w:rPr>
        <w:t>recommendation</w:t>
      </w:r>
      <w:r>
        <w:t xml:space="preserve">, not a </w:t>
      </w:r>
      <w:r>
        <w:rPr>
          <w:i/>
        </w:rPr>
        <w:t>prescription</w:t>
      </w:r>
      <w:r>
        <w:t>. The surgeon always has the final word.</w:t>
      </w:r>
    </w:p>
    <w:p>
      <w:pPr>
        <w:pStyle w:val="Heading2"/>
      </w:pPr>
      <w:r>
        <w:t>14.2 System Architecture</w:t>
      </w:r>
    </w:p>
    <w:p>
      <w:r>
        <w:t>[Figura: Figure 14.1 — AVBC software platform architecture: input, processing, and output layers.]</w:t>
      </w:r>
    </w:p>
    <w:p>
      <w:pPr>
        <w:pStyle w:val="Heading3"/>
      </w:pPr>
      <w:r>
        <w:t>14.2.1 Input Layer</w:t>
      </w:r>
    </w:p>
    <w:p>
      <w:r>
        <w:t>The AVBC platform accepts standardized clinical data from three sources:</w:t>
      </w:r>
    </w:p>
    <w:p>
      <w:pPr>
        <w:pStyle w:val="ListNumber"/>
      </w:pPr>
      <w:r/>
      <w:r>
        <w:rPr>
          <w:b/>
        </w:rPr>
        <w:t>Corneal tomography (Pentacam/Galilei export in DICOM or CSV format):</w:t>
      </w:r>
      <w:r/>
    </w:p>
    <w:p>
      <w:pPr>
        <w:pStyle w:val="ListBullet"/>
      </w:pPr>
      <w:r>
        <w:t>Sagittal curvature map → topographic classification (Module T)</w:t>
      </w:r>
    </w:p>
    <w:p>
      <w:pPr>
        <w:pStyle w:val="ListBullet"/>
      </w:pPr>
      <w:r>
        <w:t>Posterior elevation map → MNA calculation</w:t>
      </w:r>
    </w:p>
    <w:p>
      <w:pPr>
        <w:pStyle w:val="ListBullet"/>
      </w:pPr>
      <w:r>
        <w:t>Pachymetric map → depth constraints, ring safety margins</w:t>
      </w:r>
    </w:p>
    <w:p>
      <w:pPr>
        <w:pStyle w:val="ListBullet"/>
      </w:pPr>
      <w:r>
        <w:t>K-steep, K-flat, KMax values</w:t>
      </w:r>
    </w:p>
    <w:p>
      <w:pPr>
        <w:pStyle w:val="ListNumber"/>
      </w:pPr>
      <w:r/>
      <w:r>
        <w:rPr>
          <w:b/>
        </w:rPr>
        <w:t>Wavefront aberrometry (Zywave, iTrace, or OPD-Scan export):</w:t>
      </w:r>
      <w:r/>
    </w:p>
    <w:p>
      <w:pPr>
        <w:pStyle w:val="ListBullet"/>
      </w:pPr>
      <w:r>
        <w:t>Zernike coefficients → Coma RMS, Total HOA RMS (Module O)</w:t>
      </w:r>
    </w:p>
    <w:p>
      <w:pPr>
        <w:pStyle w:val="ListBullet"/>
      </w:pPr>
      <w:r>
        <w:t>Coma vector direction and magnitude</w:t>
      </w:r>
    </w:p>
    <w:p>
      <w:pPr>
        <w:pStyle w:val="ListNumber"/>
      </w:pPr>
      <w:r/>
      <w:r>
        <w:rPr>
          <w:b/>
        </w:rPr>
        <w:t>Clinical refraction and clinical data (manual entry):</w:t>
      </w:r>
      <w:r/>
    </w:p>
    <w:p>
      <w:pPr>
        <w:pStyle w:val="ListBullet"/>
      </w:pPr>
      <w:r>
        <w:t>Sphere, cylinder, axis</w:t>
      </w:r>
    </w:p>
    <w:p>
      <w:pPr>
        <w:pStyle w:val="ListBullet"/>
      </w:pPr>
      <w:r>
        <w:t>BCVA (Best-Corrected Visual Acuity)</w:t>
      </w:r>
    </w:p>
    <w:p>
      <w:pPr>
        <w:pStyle w:val="ListBullet"/>
      </w:pPr>
      <w:r>
        <w:t>Age, CXL history, prior surgery</w:t>
      </w:r>
    </w:p>
    <w:p>
      <w:pPr>
        <w:pStyle w:val="Heading3"/>
      </w:pPr>
      <w:r>
        <w:t>14.2.2 Processing Layer</w:t>
      </w:r>
    </w:p>
    <w:p>
      <w:r>
        <w:t>The processing layer implements three modules:</w:t>
      </w:r>
    </w:p>
    <w:p>
      <w:r/>
      <w:r>
        <w:rPr>
          <w:b/>
        </w:rPr>
        <w:t>Module O Classifier:</w:t>
      </w:r>
      <w:r/>
    </w:p>
    <w:p>
      <w:pPr>
        <w:pStyle w:val="ListBullet"/>
      </w:pPr>
      <w:r>
        <w:t>Applies the five optical criteria (ICE_min, Coma RMS, Δ Axis, Total HOA, Coma vs apex) from wavefront and refraction data.</w:t>
      </w:r>
    </w:p>
    <w:p>
      <w:pPr>
        <w:pStyle w:val="ListBullet"/>
      </w:pPr>
      <w:r>
        <w:t>Outputs: O+, O~, or O− classification with justification.</w:t>
      </w:r>
    </w:p>
    <w:p>
      <w:r/>
      <w:r>
        <w:rPr>
          <w:b/>
        </w:rPr>
        <w:t>Module T Classifier:</w:t>
      </w:r>
      <w:r/>
    </w:p>
    <w:p>
      <w:pPr>
        <w:pStyle w:val="ListBullet"/>
      </w:pPr>
      <w:r>
        <w:t>Analyzes the sagittal curvature map using pattern recognition (template matching against five canonical morphologies: central oval, inferior nipple, paracentral crescent, peripheral D-shape, globus).</w:t>
      </w:r>
    </w:p>
    <w:p>
      <w:pPr>
        <w:pStyle w:val="ListBullet"/>
      </w:pPr>
      <w:r>
        <w:t>Computes the MNA from the posterior elevation map: identifies the meridian of maximum posterior elevation relative to the best-fit sphere (BFS).</w:t>
      </w:r>
    </w:p>
    <w:p>
      <w:pPr>
        <w:pStyle w:val="ListBullet"/>
      </w:pPr>
      <w:r>
        <w:t>Computes MNA divergence: |MNA − K-steep|.</w:t>
      </w:r>
    </w:p>
    <w:p>
      <w:pPr>
        <w:pStyle w:val="ListBullet"/>
      </w:pPr>
      <w:r>
        <w:t>Outputs: morphological classification and MNA angle with divergence flag.</w:t>
      </w:r>
    </w:p>
    <w:p>
      <w:r/>
      <w:r>
        <w:rPr>
          <w:b/>
        </w:rPr>
        <w:t>Module B Vector Engine:</w:t>
      </w:r>
      <w:r/>
    </w:p>
    <w:p>
      <w:pPr>
        <w:pStyle w:val="ListBullet"/>
      </w:pPr>
      <w:r>
        <w:t>Based on the clinical need (determined by Modules O and T), identifies the dominant vector(s).</w:t>
      </w:r>
    </w:p>
    <w:p>
      <w:pPr>
        <w:pStyle w:val="ListBullet"/>
      </w:pPr>
      <w:r>
        <w:t>Applies FEM-derived lookup tables:</w:t>
      </w:r>
    </w:p>
    <w:p>
      <w:pPr>
        <w:pStyle w:val="ListBullet"/>
      </w:pPr>
      <w:r>
        <w:t>VR as a function of ring thickness (from the concentric simulation series)</w:t>
      </w:r>
    </w:p>
    <w:p>
      <w:pPr>
        <w:pStyle w:val="ListBullet"/>
      </w:pPr>
      <w:r>
        <w:t>VT as a function of arc length (from the VT monotonicity equation)</w:t>
      </w:r>
    </w:p>
    <w:p>
      <w:pPr>
        <w:pStyle w:val="ListBullet"/>
      </w:pPr>
      <w:r>
        <w:t>Vτ as a function of asymmetry ratio (from the validated progressive-thickness asymmetric simulation data)</w:t>
      </w:r>
    </w:p>
    <w:p>
      <w:pPr>
        <w:pStyle w:val="ListBullet"/>
      </w:pPr>
      <w:r>
        <w:t>Generates a ranked list of ring configurations (thickness × arc × depth × meridian × profile) ordered by expected biomechanical benefit.</w:t>
      </w:r>
    </w:p>
    <w:p>
      <w:pPr>
        <w:pStyle w:val="Heading3"/>
      </w:pPr>
      <w:r>
        <w:t>14.2.3 Output Layer</w:t>
      </w:r>
    </w:p>
    <w:p>
      <w:r>
        <w:t>The output presents:</w:t>
      </w:r>
    </w:p>
    <w:p>
      <w:pPr>
        <w:pStyle w:val="ListNumber"/>
      </w:pPr>
      <w:r/>
      <w:r>
        <w:rPr>
          <w:b/>
        </w:rPr>
        <w:t>AVBC Classification Summary:</w:t>
      </w:r>
      <w:r>
        <w:t xml:space="preserve"> O grade, T classification, B vector dominance, MNA divergence.</w:t>
      </w:r>
    </w:p>
    <w:p>
      <w:pPr>
        <w:pStyle w:val="ListNumber"/>
      </w:pPr>
      <w:r/>
      <w:r>
        <w:rPr>
          <w:b/>
        </w:rPr>
        <w:t>Recommended Ring Configuration:</w:t>
      </w:r>
      <w:r>
        <w:t xml:space="preserve"> Top 3 configurations ranked by vector match, with expected VR, VT, Vτ values for each.</w:t>
      </w:r>
    </w:p>
    <w:p>
      <w:pPr>
        <w:pStyle w:val="ListNumber"/>
      </w:pPr>
      <w:r/>
      <w:r>
        <w:rPr>
          <w:b/>
        </w:rPr>
        <w:t>Nomogram Comparison:</w:t>
      </w:r>
      <w:r>
        <w:t xml:space="preserve"> Shows what the Ferrara/Keraring/Intacs nomogram would prescribe and highlights differences.</w:t>
      </w:r>
    </w:p>
    <w:p>
      <w:pPr>
        <w:pStyle w:val="ListNumber"/>
      </w:pPr>
      <w:r/>
      <w:r>
        <w:rPr>
          <w:b/>
        </w:rPr>
        <w:t>Visualization:</w:t>
      </w:r>
      <w:r>
        <w:t xml:space="preserve"> Interactive corneal map showing the expected displacement field (VR), stress redistribution (VT), and apex migration direction (Vτ) for the recommended configuration.</w:t>
      </w:r>
    </w:p>
    <w:p>
      <w:r>
        <w:t>[Figura: Figure 14.2 — AVBC clinical dashboard concept (dark mode).]</w:t>
      </w:r>
    </w:p>
    <w:p>
      <w:pPr>
        <w:pStyle w:val="Heading2"/>
      </w:pPr>
      <w:r>
        <w:t>14.3 The FEM Lookup Table</w:t>
      </w:r>
    </w:p>
    <w:p>
      <w:r>
        <w:t xml:space="preserve">At the core of the Module B engine is a </w:t>
      </w:r>
      <w:r>
        <w:rPr>
          <w:b/>
        </w:rPr>
        <w:t>parameterized lookup table</w:t>
      </w:r>
      <w:r>
        <w:t xml:space="preserve"> derived from FEM simulations. Rather than running a full finite element analysis for each patient (which would require minutes to hours), the platform interpolates from a pre-computed database.</w:t>
      </w:r>
    </w:p>
    <w:p>
      <w:pPr>
        <w:pStyle w:val="Heading3"/>
      </w:pPr>
      <w:r>
        <w:t>14.3.1 Current Table (34 Simulations)</w:t>
      </w:r>
    </w:p>
    <w:p>
      <w:r>
        <w:t>The existing simulation set provides: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Parameter Range</w:t>
            </w:r>
          </w:p>
        </w:tc>
        <w:tc>
          <w:tcPr>
            <w:tcW w:type="dxa" w:w="2929"/>
          </w:tcPr>
          <w:p>
            <w:r>
              <w:rPr>
                <w:b/>
                <w:sz w:val="18"/>
              </w:rPr>
              <w:t>Values</w:t>
            </w:r>
          </w:p>
        </w:tc>
        <w:tc>
          <w:tcPr>
            <w:tcW w:type="dxa" w:w="2929"/>
          </w:tcPr>
          <w:p>
            <w:r>
              <w:rPr>
                <w:b/>
                <w:sz w:val="18"/>
              </w:rPr>
              <w:t>N Simulations</w:t>
            </w:r>
          </w:p>
        </w:tc>
      </w:tr>
      <w:tr>
        <w:tc>
          <w:tcPr>
            <w:tcW w:type="dxa" w:w="2929"/>
          </w:tcPr>
          <w:p>
            <w:r>
              <w:rPr>
                <w:sz w:val="18"/>
              </w:rPr>
              <w:t>Arc length</w:t>
            </w:r>
          </w:p>
        </w:tc>
        <w:tc>
          <w:tcPr>
            <w:tcW w:type="dxa" w:w="2929"/>
          </w:tcPr>
          <w:p>
            <w:r>
              <w:rPr>
                <w:sz w:val="18"/>
              </w:rPr>
              <w:t>90°, 120°, 160°, 210°, 255°, 320°, 360°</w:t>
            </w:r>
          </w:p>
        </w:tc>
        <w:tc>
          <w:tcPr>
            <w:tcW w:type="dxa" w:w="2929"/>
          </w:tcPr>
          <w:p>
            <w:r>
              <w:rPr>
                <w:sz w:val="18"/>
              </w:rPr>
              <w:t>7 (arc sweep)</w:t>
            </w:r>
          </w:p>
        </w:tc>
      </w:tr>
      <w:tr>
        <w:tc>
          <w:tcPr>
            <w:tcW w:type="dxa" w:w="2929"/>
          </w:tcPr>
          <w:p>
            <w:r>
              <w:rPr>
                <w:sz w:val="18"/>
              </w:rPr>
              <w:t>Ring thickness</w:t>
            </w:r>
          </w:p>
        </w:tc>
        <w:tc>
          <w:tcPr>
            <w:tcW w:type="dxa" w:w="2929"/>
          </w:tcPr>
          <w:p>
            <w:r>
              <w:rPr>
                <w:sz w:val="18"/>
              </w:rPr>
              <w:t>250 μm (standard)</w:t>
            </w:r>
          </w:p>
        </w:tc>
        <w:tc>
          <w:tcPr>
            <w:tcW w:type="dxa" w:w="2929"/>
          </w:tcPr>
          <w:p>
            <w:r>
              <w:rPr>
                <w:sz w:val="18"/>
              </w:rPr>
              <w:t>1 level</w:t>
            </w:r>
          </w:p>
        </w:tc>
      </w:tr>
      <w:tr>
        <w:tc>
          <w:tcPr>
            <w:tcW w:type="dxa" w:w="2929"/>
          </w:tcPr>
          <w:p>
            <w:r>
              <w:rPr>
                <w:sz w:val="18"/>
              </w:rPr>
              <w:t>Corneal geometry</w:t>
            </w:r>
          </w:p>
        </w:tc>
        <w:tc>
          <w:tcPr>
            <w:tcW w:type="dxa" w:w="2929"/>
          </w:tcPr>
          <w:p>
            <w:r>
              <w:rPr>
                <w:sz w:val="18"/>
              </w:rPr>
              <w:t>Spherical, uniform, R=7.8 mm</w:t>
            </w:r>
          </w:p>
        </w:tc>
        <w:tc>
          <w:tcPr>
            <w:tcW w:type="dxa" w:w="2929"/>
          </w:tcPr>
          <w:p>
            <w:r>
              <w:rPr>
                <w:sz w:val="18"/>
              </w:rPr>
              <w:t>1 geometry</w:t>
            </w:r>
          </w:p>
        </w:tc>
      </w:tr>
      <w:tr>
        <w:tc>
          <w:tcPr>
            <w:tcW w:type="dxa" w:w="2929"/>
          </w:tcPr>
          <w:p>
            <w:r>
              <w:rPr>
                <w:sz w:val="18"/>
              </w:rPr>
              <w:t>IOP</w:t>
            </w:r>
          </w:p>
        </w:tc>
        <w:tc>
          <w:tcPr>
            <w:tcW w:type="dxa" w:w="2929"/>
          </w:tcPr>
          <w:p>
            <w:r>
              <w:rPr>
                <w:sz w:val="18"/>
              </w:rPr>
              <w:t>15 mmHg</w:t>
            </w:r>
          </w:p>
        </w:tc>
        <w:tc>
          <w:tcPr>
            <w:tcW w:type="dxa" w:w="2929"/>
          </w:tcPr>
          <w:p>
            <w:r>
              <w:rPr>
                <w:sz w:val="18"/>
              </w:rPr>
              <w:t>1 level</w:t>
            </w:r>
          </w:p>
        </w:tc>
      </w:tr>
      <w:tr>
        <w:tc>
          <w:tcPr>
            <w:tcW w:type="dxa" w:w="2929"/>
          </w:tcPr>
          <w:p>
            <w:r>
              <w:rPr>
                <w:sz w:val="18"/>
              </w:rPr>
              <w:t>Material</w:t>
            </w:r>
          </w:p>
        </w:tc>
        <w:tc>
          <w:tcPr>
            <w:tcW w:type="dxa" w:w="2929"/>
          </w:tcPr>
          <w:p>
            <w:r>
              <w:rPr>
                <w:sz w:val="18"/>
              </w:rPr>
              <w:t>Standard HGO parameters</w:t>
            </w:r>
          </w:p>
        </w:tc>
        <w:tc>
          <w:tcPr>
            <w:tcW w:type="dxa" w:w="2929"/>
          </w:tcPr>
          <w:p>
            <w:r>
              <w:rPr>
                <w:sz w:val="18"/>
              </w:rPr>
              <w:t>1 set</w:t>
            </w:r>
          </w:p>
        </w:tc>
      </w:tr>
      <w:tr>
        <w:tc>
          <w:tcPr>
            <w:tcW w:type="dxa" w:w="2929"/>
          </w:tcPr>
          <w:p>
            <w:r>
              <w:rPr>
                <w:sz w:val="18"/>
              </w:rPr>
              <w:t>Patient-specific</w:t>
            </w:r>
          </w:p>
        </w:tc>
        <w:tc>
          <w:tcPr>
            <w:tcW w:type="dxa" w:w="2929"/>
          </w:tcPr>
          <w:p>
            <w:r>
              <w:rPr>
                <w:sz w:val="18"/>
              </w:rPr>
              <w:t>8 converged Pentacam-derived</w:t>
            </w:r>
          </w:p>
        </w:tc>
        <w:tc>
          <w:tcPr>
            <w:tcW w:type="dxa" w:w="2929"/>
          </w:tcPr>
          <w:p>
            <w:r>
              <w:rPr>
                <w:sz w:val="18"/>
              </w:rPr>
              <w:t>8</w:t>
            </w:r>
          </w:p>
        </w:tc>
      </w:tr>
      <w:tr>
        <w:tc>
          <w:tcPr>
            <w:tcW w:type="dxa" w:w="2929"/>
          </w:tcPr>
          <w:p>
            <w:r>
              <w:rPr>
                <w:sz w:val="18"/>
              </w:rPr>
              <w:t>Concentric loading</w:t>
            </w:r>
          </w:p>
        </w:tc>
        <w:tc>
          <w:tcPr>
            <w:tcW w:type="dxa" w:w="2929"/>
          </w:tcPr>
          <w:p>
            <w:r>
              <w:rPr>
                <w:sz w:val="18"/>
              </w:rPr>
              <w:t>13 configurations</w:t>
            </w:r>
          </w:p>
        </w:tc>
        <w:tc>
          <w:tcPr>
            <w:tcW w:type="dxa" w:w="2929"/>
          </w:tcPr>
          <w:p>
            <w:r>
              <w:rPr>
                <w:sz w:val="18"/>
              </w:rPr>
              <w:t>13</w:t>
            </w:r>
          </w:p>
        </w:tc>
      </w:tr>
      <w:tr>
        <w:tc>
          <w:tcPr>
            <w:tcW w:type="dxa" w:w="2929"/>
          </w:tcPr>
          <w:p>
            <w:r>
              <w:rPr>
                <w:sz w:val="18"/>
              </w:rPr>
              <w:t>Progressive asymmetric</w:t>
            </w:r>
          </w:p>
        </w:tc>
        <w:tc>
          <w:tcPr>
            <w:tcW w:type="dxa" w:w="2929"/>
          </w:tcPr>
          <w:p>
            <w:r>
              <w:rPr>
                <w:sz w:val="18"/>
              </w:rPr>
              <w:t>6 progressive-thickness profiles</w:t>
            </w:r>
          </w:p>
        </w:tc>
        <w:tc>
          <w:tcPr>
            <w:tcW w:type="dxa" w:w="2929"/>
          </w:tcPr>
          <w:p>
            <w:r>
              <w:rPr>
                <w:sz w:val="18"/>
              </w:rPr>
              <w:t>6</w:t>
            </w:r>
          </w:p>
        </w:tc>
      </w:tr>
    </w:tbl>
    <w:p>
      <w:r>
        <w:t>This provides sufficient coverage for arc length sensitivity (VT equation) and basic active torque vector Vτ validation, but limited coverage for thickness sensitivity sweep. Expanding the database to include multiple thickness values (150, 200, 250, 300, 350, 400 μm) and multiple geometries (sphere, prolate ellipsoid, keratoconic cone) would require approximately 200 additional simulations.</w:t>
      </w:r>
    </w:p>
    <w:p>
      <w:pPr>
        <w:pStyle w:val="Heading3"/>
      </w:pPr>
      <w:r>
        <w:t>14.3.2 Interpolation Strategy</w:t>
      </w:r>
    </w:p>
    <w:p>
      <w:r>
        <w:t>For configurations not directly simulated, the platform uses bilinear interpolation between the nearest computed points:</w:t>
      </w:r>
    </w:p>
    <w:p>
      <w:pPr>
        <w:pStyle w:val="ListBullet"/>
      </w:pPr>
      <w:r/>
      <w:r>
        <w:rPr>
          <w:b/>
        </w:rPr>
        <w:t>VR(thickness):</w:t>
      </w:r>
      <w:r>
        <w:t xml:space="preserve"> Linear interpolation from thickness series data (to be generated).</w:t>
      </w:r>
    </w:p>
    <w:p>
      <w:pPr>
        <w:pStyle w:val="ListBullet"/>
      </w:pPr>
      <w:r/>
      <w:r>
        <w:rPr>
          <w:b/>
        </w:rPr>
        <w:t>VT(arc):</w:t>
      </w:r>
      <w:r>
        <w:t xml:space="preserve"> Direct application of the empirical equation: VT = −0.0018 × arc° + 7.79.</w:t>
      </w:r>
    </w:p>
    <w:p>
      <w:pPr>
        <w:pStyle w:val="ListBullet"/>
      </w:pPr>
      <w:r/>
      <w:r>
        <w:rPr>
          <w:b/>
        </w:rPr>
        <w:t>Vτ(asymmetry):</w:t>
      </w:r>
      <w:r>
        <w:t xml:space="preserve"> Derived from the validated progressive-thickness asymmetric simulations, using thickness differential and arc length as fundamental parameters.</w:t>
      </w:r>
    </w:p>
    <w:p>
      <w:pPr>
        <w:pStyle w:val="ListBullet"/>
      </w:pPr>
      <w:r/>
      <w:r>
        <w:rPr>
          <w:b/>
        </w:rPr>
        <w:t>Depth correction:</w:t>
      </w:r>
      <w:r>
        <w:t xml:space="preserve"> Applied as a multiplicative factor based on the depth/pachymetry ratio.</w:t>
      </w:r>
    </w:p>
    <w:p>
      <w:pPr>
        <w:pStyle w:val="Heading3"/>
      </w:pPr>
      <w:r>
        <w:t>14.3.3 Future: Real-Time FEM</w:t>
      </w:r>
    </w:p>
    <w:p>
      <w:r>
        <w:t>With advances in GPU-accelerated FEM solvers (e.g., FEBio with OpenCL) and reduced-order models, real-time patient-specific simulation may become feasible. A reduced-order model trained on 500+ full FEM solutions could provide VR, VT, Vτ estimates in seconds rather than hours, enabling intraoperative use.</w:t>
      </w:r>
    </w:p>
    <w:p>
      <w:pPr>
        <w:pStyle w:val="Heading2"/>
      </w:pPr>
      <w:r>
        <w:t>14.4 User Interface Concept</w:t>
      </w:r>
    </w:p>
    <w:p>
      <w:pPr>
        <w:pStyle w:val="Heading3"/>
      </w:pPr>
      <w:r>
        <w:t>14.4.1 Clinical Dashboard</w:t>
      </w:r>
    </w:p>
    <w:p>
      <w:r>
        <w:t xml:space="preserve">The main screen presents a </w:t>
      </w:r>
      <w:r>
        <w:rPr>
          <w:b/>
        </w:rPr>
        <w:t>four-panel layout:</w:t>
      </w:r>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Panel</w:t>
            </w:r>
          </w:p>
        </w:tc>
        <w:tc>
          <w:tcPr>
            <w:tcW w:type="dxa" w:w="4394"/>
          </w:tcPr>
          <w:p>
            <w:r>
              <w:rPr>
                <w:b/>
                <w:sz w:val="18"/>
              </w:rPr>
              <w:t>Content</w:t>
            </w:r>
          </w:p>
        </w:tc>
      </w:tr>
      <w:tr>
        <w:tc>
          <w:tcPr>
            <w:tcW w:type="dxa" w:w="4394"/>
          </w:tcPr>
          <w:p>
            <w:r>
              <w:rPr>
                <w:sz w:val="18"/>
              </w:rPr>
              <w:t>Upper left</w:t>
            </w:r>
          </w:p>
        </w:tc>
        <w:tc>
          <w:tcPr>
            <w:tcW w:type="dxa" w:w="4394"/>
          </w:tcPr>
          <w:p>
            <w:r>
              <w:rPr>
                <w:sz w:val="18"/>
              </w:rPr>
              <w:t>Tomographic map with MNA overlay (Module T view)</w:t>
            </w:r>
          </w:p>
        </w:tc>
      </w:tr>
      <w:tr>
        <w:tc>
          <w:tcPr>
            <w:tcW w:type="dxa" w:w="4394"/>
          </w:tcPr>
          <w:p>
            <w:r>
              <w:rPr>
                <w:sz w:val="18"/>
              </w:rPr>
              <w:t>Upper right</w:t>
            </w:r>
          </w:p>
        </w:tc>
        <w:tc>
          <w:tcPr>
            <w:tcW w:type="dxa" w:w="4394"/>
          </w:tcPr>
          <w:p>
            <w:r>
              <w:rPr>
                <w:sz w:val="18"/>
              </w:rPr>
              <w:t>Wavefront chart with O classification (Module O view)</w:t>
            </w:r>
          </w:p>
        </w:tc>
      </w:tr>
      <w:tr>
        <w:tc>
          <w:tcPr>
            <w:tcW w:type="dxa" w:w="4394"/>
          </w:tcPr>
          <w:p>
            <w:r>
              <w:rPr>
                <w:sz w:val="18"/>
              </w:rPr>
              <w:t>Lower left</w:t>
            </w:r>
          </w:p>
        </w:tc>
        <w:tc>
          <w:tcPr>
            <w:tcW w:type="dxa" w:w="4394"/>
          </w:tcPr>
          <w:p>
            <w:r>
              <w:rPr>
                <w:sz w:val="18"/>
              </w:rPr>
              <w:t>Vector selection screen: VR, VT, Vτ bars showing predicted values for the selected ring</w:t>
            </w:r>
          </w:p>
        </w:tc>
      </w:tr>
      <w:tr>
        <w:tc>
          <w:tcPr>
            <w:tcW w:type="dxa" w:w="4394"/>
          </w:tcPr>
          <w:p>
            <w:r>
              <w:rPr>
                <w:sz w:val="18"/>
              </w:rPr>
              <w:t>Lower right</w:t>
            </w:r>
          </w:p>
        </w:tc>
        <w:tc>
          <w:tcPr>
            <w:tcW w:type="dxa" w:w="4394"/>
          </w:tcPr>
          <w:p>
            <w:r>
              <w:rPr>
                <w:sz w:val="18"/>
              </w:rPr>
              <w:t>Ring prescription panel: configuration parameters, expected outcomes, nomogram comparison</w:t>
            </w:r>
          </w:p>
        </w:tc>
      </w:tr>
    </w:tbl>
    <w:p>
      <w:pPr>
        <w:pStyle w:val="Heading3"/>
      </w:pPr>
      <w:r>
        <w:t>14.4.2 Interactive Ring Simulator</w:t>
      </w:r>
    </w:p>
    <w:p>
      <w:r>
        <w:t>A slider-based interface allows the surgeon to adjust ring parameters and observe the predicted effect in real time:</w:t>
      </w:r>
    </w:p>
    <w:p>
      <w:pPr>
        <w:pStyle w:val="ListBullet"/>
      </w:pPr>
      <w:r/>
      <w:r>
        <w:rPr>
          <w:b/>
        </w:rPr>
        <w:t>Thickness slider:</w:t>
      </w:r>
      <w:r>
        <w:t xml:space="preserve"> 150–400 μm → updates VR prediction</w:t>
      </w:r>
    </w:p>
    <w:p>
      <w:pPr>
        <w:pStyle w:val="ListBullet"/>
      </w:pPr>
      <w:r/>
      <w:r>
        <w:rPr>
          <w:b/>
        </w:rPr>
        <w:t>Arc length slider:</w:t>
      </w:r>
      <w:r>
        <w:t xml:space="preserve"> 90°–360° → updates VT prediction (with VT equation display)</w:t>
      </w:r>
    </w:p>
    <w:p>
      <w:pPr>
        <w:pStyle w:val="ListBullet"/>
      </w:pPr>
      <w:r/>
      <w:r>
        <w:rPr>
          <w:b/>
        </w:rPr>
        <w:t>Asymmetry toggle:</w:t>
      </w:r>
      <w:r>
        <w:t xml:space="preserve"> Symmetric / Progressive → enables Vτ prediction</w:t>
      </w:r>
    </w:p>
    <w:p>
      <w:pPr>
        <w:pStyle w:val="ListBullet"/>
      </w:pPr>
      <w:r/>
      <w:r>
        <w:rPr>
          <w:b/>
        </w:rPr>
        <w:t>Depth slider:</w:t>
      </w:r>
      <w:r>
        <w:t xml:space="preserve"> 60–80% → updates all vectors (amplification factor)</w:t>
      </w:r>
    </w:p>
    <w:p>
      <w:pPr>
        <w:pStyle w:val="ListBullet"/>
      </w:pPr>
      <w:r/>
      <w:r>
        <w:rPr>
          <w:b/>
        </w:rPr>
        <w:t>Meridian selector:</w:t>
      </w:r>
      <w:r>
        <w:t xml:space="preserve"> 0°–360° → rotates ring placement, shows MNA alignment</w:t>
      </w:r>
    </w:p>
    <w:p>
      <w:r>
        <w:t>Each adjustment updates the predicted ΔK, ΔCyl, and apex migration values in real time.</w:t>
      </w:r>
    </w:p>
    <w:p>
      <w:pPr>
        <w:pStyle w:val="Alert"/>
      </w:pPr>
      <w:r>
        <w:rPr>
          <w:b/>
          <w:sz w:val="22"/>
        </w:rPr>
        <w:t>💡 TIP</w:t>
      </w:r>
    </w:p>
    <w:p>
      <w:pPr>
        <w:pStyle w:val="Alert"/>
      </w:pPr>
      <w:r/>
      <w:r>
        <w:rPr>
          <w:b/>
        </w:rPr>
        <w:t>For the Clinician: Imagine This in Practice</w:t>
      </w:r>
      <w:r>
        <w:t xml:space="preserve"> Before surgery, open the software, enter the Pentacam and aberrometry data. The system automatically classifies (O+, Paracentral crescent, VT dominant). Drag the arc slider from 160° to 210° and watch VT increase. Drag the thickness and watch VR increase. Compare with what the nomogram would suggest. In 2 minutes, you have a biomechanically justified prescription. </w:t>
      </w:r>
      <w:r>
        <w:rPr>
          <w:b/>
        </w:rPr>
        <w:t>For the Clinician: Imagine This in Practice</w:t>
      </w:r>
      <w:r>
        <w:t xml:space="preserve"> Before surgery, open the software, enter the Pentacam and aberrometry data. The system automatically classifies (O+, Paracentral crescent, VT dominant). Drag the arc slider from 160° to 210° and watch VT increase. Drag the thickness and watch VR increase. Compare with what the nomogram would suggest. In 2 minutes, you have a biomechanically justified prescription.</w:t>
      </w:r>
    </w:p>
    <w:p>
      <w:pPr>
        <w:pStyle w:val="Heading3"/>
      </w:pPr>
      <w:r>
        <w:t>14.4.3 Postoperative Analysis Module</w:t>
      </w:r>
    </w:p>
    <w:p>
      <w:r>
        <w:t>After surgery, the platform accepts postoperative data and computes:</w:t>
      </w:r>
    </w:p>
    <w:p>
      <w:pPr>
        <w:pStyle w:val="ListBullet"/>
      </w:pPr>
      <w:r>
        <w:t>AVBC-CI = ΔK_observed / ΔK_predicted</w:t>
      </w:r>
    </w:p>
    <w:p>
      <w:pPr>
        <w:pStyle w:val="ListBullet"/>
      </w:pPr>
      <w:r>
        <w:t>VT-ratio = ΔCyl_observed / ΔCyl_predicted</w:t>
      </w:r>
    </w:p>
    <w:p>
      <w:pPr>
        <w:pStyle w:val="ListBullet"/>
      </w:pPr>
      <w:r>
        <w:t>Vτ-ratio = Apex_migration_observed / Apex_migration_predicted</w:t>
      </w:r>
    </w:p>
    <w:p>
      <w:r>
        <w:t>These values are stored in the surgeon's personal database, building the calibration curve over time.</w:t>
      </w:r>
    </w:p>
    <w:p>
      <w:pPr>
        <w:pStyle w:val="Heading2"/>
      </w:pPr>
      <w:r>
        <w:t>14.5 Technical Implementation</w:t>
      </w:r>
    </w:p>
    <w:p>
      <w:pPr>
        <w:pStyle w:val="Heading3"/>
      </w:pPr>
      <w:r>
        <w:t>14.5.1 Recommended Technology Stack</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Component</w:t>
            </w:r>
          </w:p>
        </w:tc>
        <w:tc>
          <w:tcPr>
            <w:tcW w:type="dxa" w:w="2929"/>
          </w:tcPr>
          <w:p>
            <w:r>
              <w:rPr>
                <w:b/>
                <w:sz w:val="18"/>
              </w:rPr>
              <w:t>Technology</w:t>
            </w:r>
          </w:p>
        </w:tc>
        <w:tc>
          <w:tcPr>
            <w:tcW w:type="dxa" w:w="2929"/>
          </w:tcPr>
          <w:p>
            <w:r>
              <w:rPr>
                <w:b/>
                <w:sz w:val="18"/>
              </w:rPr>
              <w:t>Justification</w:t>
            </w:r>
          </w:p>
        </w:tc>
      </w:tr>
      <w:tr>
        <w:tc>
          <w:tcPr>
            <w:tcW w:type="dxa" w:w="2929"/>
          </w:tcPr>
          <w:p>
            <w:r>
              <w:rPr>
                <w:sz w:val="18"/>
              </w:rPr>
              <w:t>Backend</w:t>
            </w:r>
          </w:p>
        </w:tc>
        <w:tc>
          <w:tcPr>
            <w:tcW w:type="dxa" w:w="2929"/>
          </w:tcPr>
          <w:p>
            <w:r>
              <w:rPr>
                <w:sz w:val="18"/>
              </w:rPr>
              <w:t>Python 3.10+</w:t>
            </w:r>
          </w:p>
        </w:tc>
        <w:tc>
          <w:tcPr>
            <w:tcW w:type="dxa" w:w="2929"/>
          </w:tcPr>
          <w:p>
            <w:r>
              <w:rPr>
                <w:sz w:val="18"/>
              </w:rPr>
              <w:t>FEBio integration, scientific computing</w:t>
            </w:r>
          </w:p>
        </w:tc>
      </w:tr>
      <w:tr>
        <w:tc>
          <w:tcPr>
            <w:tcW w:type="dxa" w:w="2929"/>
          </w:tcPr>
          <w:p>
            <w:r>
              <w:rPr>
                <w:sz w:val="18"/>
              </w:rPr>
              <w:t>FEM Solver</w:t>
            </w:r>
          </w:p>
        </w:tc>
        <w:tc>
          <w:tcPr>
            <w:tcW w:type="dxa" w:w="2929"/>
          </w:tcPr>
          <w:p>
            <w:r>
              <w:rPr>
                <w:sz w:val="18"/>
              </w:rPr>
              <w:t>FEBio 4.x (C++ with Python bindings)</w:t>
            </w:r>
          </w:p>
        </w:tc>
        <w:tc>
          <w:tcPr>
            <w:tcW w:type="dxa" w:w="2929"/>
          </w:tcPr>
          <w:p>
            <w:r>
              <w:rPr>
                <w:sz w:val="18"/>
              </w:rPr>
              <w:t>Open source, validated for biomechanics</w:t>
            </w:r>
          </w:p>
        </w:tc>
      </w:tr>
      <w:tr>
        <w:tc>
          <w:tcPr>
            <w:tcW w:type="dxa" w:w="2929"/>
          </w:tcPr>
          <w:p>
            <w:r>
              <w:rPr>
                <w:sz w:val="18"/>
              </w:rPr>
              <w:t>Data Processing</w:t>
            </w:r>
          </w:p>
        </w:tc>
        <w:tc>
          <w:tcPr>
            <w:tcW w:type="dxa" w:w="2929"/>
          </w:tcPr>
          <w:p>
            <w:r>
              <w:rPr>
                <w:sz w:val="18"/>
              </w:rPr>
              <w:t>NumPy, SciPy, pandas</w:t>
            </w:r>
          </w:p>
        </w:tc>
        <w:tc>
          <w:tcPr>
            <w:tcW w:type="dxa" w:w="2929"/>
          </w:tcPr>
          <w:p>
            <w:r>
              <w:rPr>
                <w:sz w:val="18"/>
              </w:rPr>
              <w:t>Standard scientific Python</w:t>
            </w:r>
          </w:p>
        </w:tc>
      </w:tr>
      <w:tr>
        <w:tc>
          <w:tcPr>
            <w:tcW w:type="dxa" w:w="2929"/>
          </w:tcPr>
          <w:p>
            <w:r>
              <w:rPr>
                <w:sz w:val="18"/>
              </w:rPr>
              <w:t>Visualization</w:t>
            </w:r>
          </w:p>
        </w:tc>
        <w:tc>
          <w:tcPr>
            <w:tcW w:type="dxa" w:w="2929"/>
          </w:tcPr>
          <w:p>
            <w:r>
              <w:rPr>
                <w:sz w:val="18"/>
              </w:rPr>
              <w:t>Matplotlib (publication), Plotly (interactive)</w:t>
            </w:r>
          </w:p>
        </w:tc>
        <w:tc>
          <w:tcPr>
            <w:tcW w:type="dxa" w:w="2929"/>
          </w:tcPr>
          <w:p>
            <w:r>
              <w:rPr>
                <w:sz w:val="18"/>
              </w:rPr>
              <w:t>Dual output modes</w:t>
            </w:r>
          </w:p>
        </w:tc>
      </w:tr>
      <w:tr>
        <w:tc>
          <w:tcPr>
            <w:tcW w:type="dxa" w:w="2929"/>
          </w:tcPr>
          <w:p>
            <w:r>
              <w:rPr>
                <w:sz w:val="18"/>
              </w:rPr>
              <w:t>Frontend</w:t>
            </w:r>
          </w:p>
        </w:tc>
        <w:tc>
          <w:tcPr>
            <w:tcW w:type="dxa" w:w="2929"/>
          </w:tcPr>
          <w:p>
            <w:r>
              <w:rPr>
                <w:sz w:val="18"/>
              </w:rPr>
              <w:t>Web-based (React + Plotly.js) or Desktop (PyQt6)</w:t>
            </w:r>
          </w:p>
        </w:tc>
        <w:tc>
          <w:tcPr>
            <w:tcW w:type="dxa" w:w="2929"/>
          </w:tcPr>
          <w:p>
            <w:r>
              <w:rPr>
                <w:sz w:val="18"/>
              </w:rPr>
              <w:t>Cross-platform</w:t>
            </w:r>
          </w:p>
        </w:tc>
      </w:tr>
      <w:tr>
        <w:tc>
          <w:tcPr>
            <w:tcW w:type="dxa" w:w="2929"/>
          </w:tcPr>
          <w:p>
            <w:r>
              <w:rPr>
                <w:sz w:val="18"/>
              </w:rPr>
              <w:t>Database</w:t>
            </w:r>
          </w:p>
        </w:tc>
        <w:tc>
          <w:tcPr>
            <w:tcW w:type="dxa" w:w="2929"/>
          </w:tcPr>
          <w:p>
            <w:r>
              <w:rPr>
                <w:sz w:val="18"/>
              </w:rPr>
              <w:t>SQLite (local) or PostgreSQL (multi-site)</w:t>
            </w:r>
          </w:p>
        </w:tc>
        <w:tc>
          <w:tcPr>
            <w:tcW w:type="dxa" w:w="2929"/>
          </w:tcPr>
          <w:p>
            <w:r>
              <w:rPr>
                <w:sz w:val="18"/>
              </w:rPr>
              <w:t>Patient data and calibration curves</w:t>
            </w:r>
          </w:p>
        </w:tc>
      </w:tr>
      <w:tr>
        <w:tc>
          <w:tcPr>
            <w:tcW w:type="dxa" w:w="2929"/>
          </w:tcPr>
          <w:p>
            <w:r>
              <w:rPr>
                <w:sz w:val="18"/>
              </w:rPr>
              <w:t>Export</w:t>
            </w:r>
          </w:p>
        </w:tc>
        <w:tc>
          <w:tcPr>
            <w:tcW w:type="dxa" w:w="2929"/>
          </w:tcPr>
          <w:p>
            <w:r>
              <w:rPr>
                <w:sz w:val="18"/>
              </w:rPr>
              <w:t>PDF report generation (LaTeX or ReportLab)</w:t>
            </w:r>
          </w:p>
        </w:tc>
        <w:tc>
          <w:tcPr>
            <w:tcW w:type="dxa" w:w="2929"/>
          </w:tcPr>
          <w:p>
            <w:r>
              <w:rPr>
                <w:sz w:val="18"/>
              </w:rPr>
              <w:t>Clinical documentation</w:t>
            </w:r>
          </w:p>
        </w:tc>
      </w:tr>
    </w:tbl>
    <w:p>
      <w:pPr>
        <w:pStyle w:val="Heading3"/>
      </w:pPr>
      <w:r>
        <w:t>14.5.2 Data Security</w:t>
      </w:r>
    </w:p>
    <w:p>
      <w:r>
        <w:t>Patient data handling must comply with HIPAA (USA), GDPR (EU), and LGPD (Brazil) regulations. The platform must:</w:t>
      </w:r>
    </w:p>
    <w:p>
      <w:pPr>
        <w:pStyle w:val="ListBullet"/>
      </w:pPr>
      <w:r>
        <w:t>Process data locally (no cloud transmission of patient data)</w:t>
      </w:r>
    </w:p>
    <w:p>
      <w:pPr>
        <w:pStyle w:val="ListBullet"/>
      </w:pPr>
      <w:r>
        <w:t>Use anonymized identifiers for the calibration database</w:t>
      </w:r>
    </w:p>
    <w:p>
      <w:pPr>
        <w:pStyle w:val="ListBullet"/>
      </w:pPr>
      <w:r>
        <w:t>Provide audit trails for clinical decisions</w:t>
      </w:r>
    </w:p>
    <w:p>
      <w:pPr>
        <w:pStyle w:val="Heading3"/>
      </w:pPr>
      <w:r>
        <w:t>14.5.3 Regulatory Pathway</w:t>
      </w:r>
    </w:p>
    <w:p>
      <w:r>
        <w:t>As a clinical decision support tool, the AVBC platform would likely require:</w:t>
      </w:r>
    </w:p>
    <w:p>
      <w:pPr>
        <w:pStyle w:val="ListBullet"/>
      </w:pPr>
      <w:r/>
      <w:r>
        <w:rPr>
          <w:b/>
        </w:rPr>
        <w:t>CE marking (EU):</w:t>
      </w:r>
      <w:r>
        <w:t xml:space="preserve"> Class IIa medical device under MDR 2017/745</w:t>
      </w:r>
    </w:p>
    <w:p>
      <w:pPr>
        <w:pStyle w:val="ListBullet"/>
      </w:pPr>
      <w:r/>
      <w:r>
        <w:rPr>
          <w:b/>
        </w:rPr>
        <w:t>FDA clearance (USA):</w:t>
      </w:r>
      <w:r>
        <w:t xml:space="preserve"> 510(k) pathway, predicate: existing ICRS planning software (e.g., Keraring Planning System)</w:t>
      </w:r>
    </w:p>
    <w:p>
      <w:pPr>
        <w:pStyle w:val="ListBullet"/>
      </w:pPr>
      <w:r/>
      <w:r>
        <w:rPr>
          <w:b/>
        </w:rPr>
        <w:t>ANVISA registration (Brazil):</w:t>
      </w:r>
      <w:r>
        <w:t xml:space="preserve"> Class II medical device</w:t>
      </w:r>
    </w:p>
    <w:p>
      <w:r>
        <w:t>The regulatory pathway is complex but feasible, particularly if the platform is positioned as a decision support tool (output = recommendation, not prescription) rather than an autonomous planning system.</w:t>
      </w:r>
    </w:p>
    <w:p>
      <w:pPr>
        <w:pStyle w:val="Heading2"/>
      </w:pPr>
      <w:r>
        <w:t>14.6 Comparison with Existing Planning Tools</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Feature</w:t>
            </w:r>
          </w:p>
        </w:tc>
        <w:tc>
          <w:tcPr>
            <w:tcW w:type="dxa" w:w="2197"/>
          </w:tcPr>
          <w:p>
            <w:r>
              <w:rPr>
                <w:b/>
                <w:sz w:val="18"/>
              </w:rPr>
              <w:t>Keraring Calculator</w:t>
            </w:r>
          </w:p>
        </w:tc>
        <w:tc>
          <w:tcPr>
            <w:tcW w:type="dxa" w:w="2197"/>
          </w:tcPr>
          <w:p>
            <w:r>
              <w:rPr>
                <w:b/>
                <w:sz w:val="18"/>
              </w:rPr>
              <w:t>Ferrara Nomogram App</w:t>
            </w:r>
          </w:p>
        </w:tc>
        <w:tc>
          <w:tcPr>
            <w:tcW w:type="dxa" w:w="2197"/>
          </w:tcPr>
          <w:p>
            <w:r>
              <w:rPr>
                <w:b/>
                <w:sz w:val="18"/>
              </w:rPr>
              <w:t>**AVBC Platform**</w:t>
            </w:r>
          </w:p>
        </w:tc>
      </w:tr>
      <w:tr>
        <w:tc>
          <w:tcPr>
            <w:tcW w:type="dxa" w:w="2197"/>
          </w:tcPr>
          <w:p>
            <w:r>
              <w:rPr>
                <w:sz w:val="18"/>
              </w:rPr>
              <w:t>Input</w:t>
            </w:r>
          </w:p>
        </w:tc>
        <w:tc>
          <w:tcPr>
            <w:tcW w:type="dxa" w:w="2197"/>
          </w:tcPr>
          <w:p>
            <w:r>
              <w:rPr>
                <w:sz w:val="18"/>
              </w:rPr>
              <w:t>Topographic classification</w:t>
            </w:r>
          </w:p>
        </w:tc>
        <w:tc>
          <w:tcPr>
            <w:tcW w:type="dxa" w:w="2197"/>
          </w:tcPr>
          <w:p>
            <w:r>
              <w:rPr>
                <w:sz w:val="18"/>
              </w:rPr>
              <w:t>K-steep, Q value</w:t>
            </w:r>
          </w:p>
        </w:tc>
        <w:tc>
          <w:tcPr>
            <w:tcW w:type="dxa" w:w="2197"/>
          </w:tcPr>
          <w:p>
            <w:r>
              <w:rPr>
                <w:sz w:val="18"/>
              </w:rPr>
              <w:t>Full trimodal (O+T+B)</w:t>
            </w:r>
          </w:p>
        </w:tc>
      </w:tr>
      <w:tr>
        <w:tc>
          <w:tcPr>
            <w:tcW w:type="dxa" w:w="2197"/>
          </w:tcPr>
          <w:p>
            <w:r>
              <w:rPr>
                <w:sz w:val="18"/>
              </w:rPr>
              <w:t>Mechanism</w:t>
            </w:r>
          </w:p>
        </w:tc>
        <w:tc>
          <w:tcPr>
            <w:tcW w:type="dxa" w:w="2197"/>
          </w:tcPr>
          <w:p>
            <w:r>
              <w:rPr>
                <w:sz w:val="18"/>
              </w:rPr>
              <w:t>Empirical pattern matching</w:t>
            </w:r>
          </w:p>
        </w:tc>
        <w:tc>
          <w:tcPr>
            <w:tcW w:type="dxa" w:w="2197"/>
          </w:tcPr>
          <w:p>
            <w:r>
              <w:rPr>
                <w:sz w:val="18"/>
              </w:rPr>
              <w:t>Empirical lookup</w:t>
            </w:r>
          </w:p>
        </w:tc>
        <w:tc>
          <w:tcPr>
            <w:tcW w:type="dxa" w:w="2197"/>
          </w:tcPr>
          <w:p>
            <w:r>
              <w:rPr>
                <w:sz w:val="18"/>
              </w:rPr>
              <w:t>Mechanistic (VR/VT/Vτ)</w:t>
            </w:r>
          </w:p>
        </w:tc>
      </w:tr>
      <w:tr>
        <w:tc>
          <w:tcPr>
            <w:tcW w:type="dxa" w:w="2197"/>
          </w:tcPr>
          <w:p>
            <w:r>
              <w:rPr>
                <w:sz w:val="18"/>
              </w:rPr>
              <w:t>Ring parameters</w:t>
            </w:r>
          </w:p>
        </w:tc>
        <w:tc>
          <w:tcPr>
            <w:tcW w:type="dxa" w:w="2197"/>
          </w:tcPr>
          <w:p>
            <w:r>
              <w:rPr>
                <w:sz w:val="18"/>
              </w:rPr>
              <w:t>Configuration recommendation</w:t>
            </w:r>
          </w:p>
        </w:tc>
        <w:tc>
          <w:tcPr>
            <w:tcW w:type="dxa" w:w="2197"/>
          </w:tcPr>
          <w:p>
            <w:r>
              <w:rPr>
                <w:sz w:val="18"/>
              </w:rPr>
              <w:t>Thickness + arc</w:t>
            </w:r>
          </w:p>
        </w:tc>
        <w:tc>
          <w:tcPr>
            <w:tcW w:type="dxa" w:w="2197"/>
          </w:tcPr>
          <w:p>
            <w:r>
              <w:rPr>
                <w:sz w:val="18"/>
              </w:rPr>
              <w:t>All 5 parameters</w:t>
            </w:r>
          </w:p>
        </w:tc>
      </w:tr>
      <w:tr>
        <w:tc>
          <w:tcPr>
            <w:tcW w:type="dxa" w:w="2197"/>
          </w:tcPr>
          <w:p>
            <w:r>
              <w:rPr>
                <w:sz w:val="18"/>
              </w:rPr>
              <w:t>MNA integration</w:t>
            </w:r>
          </w:p>
        </w:tc>
        <w:tc>
          <w:tcPr>
            <w:tcW w:type="dxa" w:w="2197"/>
          </w:tcPr>
          <w:p>
            <w:r>
              <w:rPr>
                <w:sz w:val="18"/>
              </w:rPr>
              <w:t>No</w:t>
            </w:r>
          </w:p>
        </w:tc>
        <w:tc>
          <w:tcPr>
            <w:tcW w:type="dxa" w:w="2197"/>
          </w:tcPr>
          <w:p>
            <w:r>
              <w:rPr>
                <w:sz w:val="18"/>
              </w:rPr>
              <w:t>No</w:t>
            </w:r>
          </w:p>
        </w:tc>
        <w:tc>
          <w:tcPr>
            <w:tcW w:type="dxa" w:w="2197"/>
          </w:tcPr>
          <w:p>
            <w:r>
              <w:rPr>
                <w:sz w:val="18"/>
              </w:rPr>
              <w:t>**Yes**</w:t>
            </w:r>
          </w:p>
        </w:tc>
      </w:tr>
      <w:tr>
        <w:tc>
          <w:tcPr>
            <w:tcW w:type="dxa" w:w="2197"/>
          </w:tcPr>
          <w:p>
            <w:r>
              <w:rPr>
                <w:sz w:val="18"/>
              </w:rPr>
              <w:t>Asymmetric rings</w:t>
            </w:r>
          </w:p>
        </w:tc>
        <w:tc>
          <w:tcPr>
            <w:tcW w:type="dxa" w:w="2197"/>
          </w:tcPr>
          <w:p>
            <w:r>
              <w:rPr>
                <w:sz w:val="18"/>
              </w:rPr>
              <w:t>No</w:t>
            </w:r>
          </w:p>
        </w:tc>
        <w:tc>
          <w:tcPr>
            <w:tcW w:type="dxa" w:w="2197"/>
          </w:tcPr>
          <w:p>
            <w:r>
              <w:rPr>
                <w:sz w:val="18"/>
              </w:rPr>
              <w:t>No</w:t>
            </w:r>
          </w:p>
        </w:tc>
        <w:tc>
          <w:tcPr>
            <w:tcW w:type="dxa" w:w="2197"/>
          </w:tcPr>
          <w:p>
            <w:r>
              <w:rPr>
                <w:sz w:val="18"/>
              </w:rPr>
              <w:t>**Yes (Vτ)**</w:t>
            </w:r>
          </w:p>
        </w:tc>
      </w:tr>
      <w:tr>
        <w:tc>
          <w:tcPr>
            <w:tcW w:type="dxa" w:w="2197"/>
          </w:tcPr>
          <w:p>
            <w:r>
              <w:rPr>
                <w:sz w:val="18"/>
              </w:rPr>
              <w:t>Postop feedback</w:t>
            </w:r>
          </w:p>
        </w:tc>
        <w:tc>
          <w:tcPr>
            <w:tcW w:type="dxa" w:w="2197"/>
          </w:tcPr>
          <w:p>
            <w:r>
              <w:rPr>
                <w:sz w:val="18"/>
              </w:rPr>
              <w:t>No</w:t>
            </w:r>
          </w:p>
        </w:tc>
        <w:tc>
          <w:tcPr>
            <w:tcW w:type="dxa" w:w="2197"/>
          </w:tcPr>
          <w:p>
            <w:r>
              <w:rPr>
                <w:sz w:val="18"/>
              </w:rPr>
              <w:t>No</w:t>
            </w:r>
          </w:p>
        </w:tc>
        <w:tc>
          <w:tcPr>
            <w:tcW w:type="dxa" w:w="2197"/>
          </w:tcPr>
          <w:p>
            <w:r>
              <w:rPr>
                <w:sz w:val="18"/>
              </w:rPr>
              <w:t>**Yes (AVBC-CI)**</w:t>
            </w:r>
          </w:p>
        </w:tc>
      </w:tr>
      <w:tr>
        <w:tc>
          <w:tcPr>
            <w:tcW w:type="dxa" w:w="2197"/>
          </w:tcPr>
          <w:p>
            <w:r>
              <w:rPr>
                <w:sz w:val="18"/>
              </w:rPr>
              <w:t>Surgeon calibration</w:t>
            </w:r>
          </w:p>
        </w:tc>
        <w:tc>
          <w:tcPr>
            <w:tcW w:type="dxa" w:w="2197"/>
          </w:tcPr>
          <w:p>
            <w:r>
              <w:rPr>
                <w:sz w:val="18"/>
              </w:rPr>
              <w:t>No</w:t>
            </w:r>
          </w:p>
        </w:tc>
        <w:tc>
          <w:tcPr>
            <w:tcW w:type="dxa" w:w="2197"/>
          </w:tcPr>
          <w:p>
            <w:r>
              <w:rPr>
                <w:sz w:val="18"/>
              </w:rPr>
              <w:t>No</w:t>
            </w:r>
          </w:p>
        </w:tc>
        <w:tc>
          <w:tcPr>
            <w:tcW w:type="dxa" w:w="2197"/>
          </w:tcPr>
          <w:p>
            <w:r>
              <w:rPr>
                <w:sz w:val="18"/>
              </w:rPr>
              <w:t>**Yes**</w:t>
            </w:r>
          </w:p>
        </w:tc>
      </w:tr>
      <w:tr>
        <w:tc>
          <w:tcPr>
            <w:tcW w:type="dxa" w:w="2197"/>
          </w:tcPr>
          <w:p>
            <w:r>
              <w:rPr>
                <w:sz w:val="18"/>
              </w:rPr>
              <w:t>Biomechanical rationale</w:t>
            </w:r>
          </w:p>
        </w:tc>
        <w:tc>
          <w:tcPr>
            <w:tcW w:type="dxa" w:w="2197"/>
          </w:tcPr>
          <w:p>
            <w:r>
              <w:rPr>
                <w:sz w:val="18"/>
              </w:rPr>
              <w:t>No</w:t>
            </w:r>
          </w:p>
        </w:tc>
        <w:tc>
          <w:tcPr>
            <w:tcW w:type="dxa" w:w="2197"/>
          </w:tcPr>
          <w:p>
            <w:r>
              <w:rPr>
                <w:sz w:val="18"/>
              </w:rPr>
              <w:t>No</w:t>
            </w:r>
          </w:p>
        </w:tc>
        <w:tc>
          <w:tcPr>
            <w:tcW w:type="dxa" w:w="2197"/>
          </w:tcPr>
          <w:p>
            <w:r>
              <w:rPr>
                <w:sz w:val="18"/>
              </w:rPr>
              <w:t>**Yes**</w:t>
            </w:r>
          </w:p>
        </w:tc>
      </w:tr>
    </w:tbl>
    <w:p>
      <w:pPr>
        <w:pStyle w:val="Heading2"/>
      </w:pPr>
      <w:r>
        <w:t>14.7 Summary</w:t>
      </w:r>
    </w:p>
    <w:p>
      <w:pPr>
        <w:pStyle w:val="ListBullet"/>
      </w:pPr>
      <w:r>
        <w:t xml:space="preserve">The AVBC platform translates the theoretical framework into a </w:t>
      </w:r>
      <w:r>
        <w:rPr>
          <w:b/>
        </w:rPr>
        <w:t>clinical decision support tool</w:t>
      </w:r>
      <w:r>
        <w:t xml:space="preserve"> accessible to the surgeon in practice.</w:t>
      </w:r>
    </w:p>
    <w:p>
      <w:pPr>
        <w:pStyle w:val="ListBullet"/>
      </w:pPr>
      <w:r>
        <w:t xml:space="preserve">The system uses </w:t>
      </w:r>
      <w:r>
        <w:rPr>
          <w:b/>
        </w:rPr>
        <w:t>standardized clinical data</w:t>
      </w:r>
      <w:r>
        <w:t xml:space="preserve"> (tomography, aberrometry, refraction) as input and provides </w:t>
      </w:r>
      <w:r>
        <w:rPr>
          <w:b/>
        </w:rPr>
        <w:t>ranked ring recommendations</w:t>
      </w:r>
      <w:r>
        <w:t xml:space="preserve"> with expected biomechanical outcomes.</w:t>
      </w:r>
    </w:p>
    <w:p>
      <w:pPr>
        <w:pStyle w:val="ListBullet"/>
      </w:pPr>
      <w:r>
        <w:t xml:space="preserve">A </w:t>
      </w:r>
      <w:r>
        <w:rPr>
          <w:b/>
        </w:rPr>
        <w:t>pre-computed FEM lookup table</w:t>
      </w:r>
      <w:r>
        <w:t xml:space="preserve"> enables rapid predictions without real-time simulation.</w:t>
      </w:r>
    </w:p>
    <w:p>
      <w:pPr>
        <w:pStyle w:val="ListBullet"/>
      </w:pPr>
      <w:r>
        <w:t xml:space="preserve">The </w:t>
      </w:r>
      <w:r>
        <w:rPr>
          <w:b/>
        </w:rPr>
        <w:t>interactive ring simulator</w:t>
      </w:r>
      <w:r>
        <w:t xml:space="preserve"> allows surgeons to explore the parameter space and understand the biomechanical rationale for each recommendation.</w:t>
      </w:r>
    </w:p>
    <w:p>
      <w:pPr>
        <w:pStyle w:val="ListBullet"/>
      </w:pPr>
      <w:r>
        <w:t xml:space="preserve">The </w:t>
      </w:r>
      <w:r>
        <w:rPr>
          <w:b/>
        </w:rPr>
        <w:t>postoperative feedback module</w:t>
      </w:r>
      <w:r>
        <w:t xml:space="preserve"> builds a surgeon-specific calibration curve that improves accuracy over time.</w:t>
      </w:r>
    </w:p>
    <w:p>
      <w:pPr>
        <w:pStyle w:val="ListBullet"/>
      </w:pPr>
      <w:r/>
      <w:r>
        <w:rPr>
          <w:b/>
        </w:rPr>
        <w:t>Patient-specific FEM modeling</w:t>
      </w:r>
      <w:r>
        <w:t xml:space="preserve"> and </w:t>
      </w:r>
      <w:r>
        <w:rPr>
          <w:b/>
        </w:rPr>
        <w:t>machine learning calibration</w:t>
      </w:r>
      <w:r>
        <w:t xml:space="preserve"> are planned extensions that will enhance predictive accuracy.</w:t>
      </w:r>
    </w:p>
    <w:p>
      <w:pPr>
        <w:pStyle w:val="Heading2"/>
      </w:pPr>
      <w:r>
        <w:t>Didactic Summary</w:t>
      </w:r>
    </w:p>
    <w:p>
      <w:pPr>
        <w:pStyle w:val="ListBullet"/>
      </w:pPr>
      <w:r>
        <w:t xml:space="preserve">The AVBC platform translates the theoretical framework into a </w:t>
      </w:r>
      <w:r>
        <w:rPr>
          <w:b/>
        </w:rPr>
        <w:t>clinical decision support tool</w:t>
      </w:r>
      <w:r>
        <w:t xml:space="preserve"> accessible to the surgeon.</w:t>
      </w:r>
    </w:p>
    <w:p>
      <w:pPr>
        <w:pStyle w:val="ListBullet"/>
      </w:pPr>
      <w:r>
        <w:t xml:space="preserve">The system uses standardized clinical data (tomography, aberrometry, refraction) as input and provides </w:t>
      </w:r>
      <w:r>
        <w:rPr>
          <w:b/>
        </w:rPr>
        <w:t>ranked recommendations</w:t>
      </w:r>
      <w:r>
        <w:t xml:space="preserve"> of ring configurations.</w:t>
      </w:r>
    </w:p>
    <w:p>
      <w:pPr>
        <w:pStyle w:val="ListBullet"/>
      </w:pPr>
      <w:r>
        <w:t xml:space="preserve">A </w:t>
      </w:r>
      <w:r>
        <w:rPr>
          <w:b/>
        </w:rPr>
        <w:t>pre-computed FEM lookup table</w:t>
      </w:r>
      <w:r>
        <w:t xml:space="preserve"> (N=377 simulations) enables rapid predictions without real-time simulation.</w:t>
      </w:r>
    </w:p>
    <w:p>
      <w:pPr>
        <w:pStyle w:val="ListBullet"/>
      </w:pPr>
      <w:r>
        <w:t xml:space="preserve">The </w:t>
      </w:r>
      <w:r>
        <w:rPr>
          <w:b/>
        </w:rPr>
        <w:t>interactive simulator</w:t>
      </w:r>
      <w:r>
        <w:t xml:space="preserve"> allows the surgeon to explore the parameter space and understand the biomechanical rationale.</w:t>
      </w:r>
    </w:p>
    <w:p>
      <w:pPr>
        <w:pStyle w:val="ListBullet"/>
      </w:pPr>
      <w:r>
        <w:t>The modular architecture allows future evolution: Brillouin integration, biomechanical OCT, and machine learning.</w:t>
      </w:r>
    </w:p>
    <w:p>
      <w:pPr>
        <w:pStyle w:val="Heading2"/>
      </w:pPr>
      <w:r>
        <w:t>References</w:t>
      </w:r>
    </w:p>
    <w:p>
      <w:pPr>
        <w:pStyle w:val="ListNumber"/>
      </w:pPr>
      <w:r>
        <w:t>Alpins NA. ASSORT (Alpins Statistical System for Ophthalmic Refractive surgery Techniques). User Manual, Version 7.0, 2015.</w:t>
      </w:r>
    </w:p>
    <w:p>
      <w:pPr>
        <w:pStyle w:val="ListNumber"/>
      </w:pPr>
      <w:r>
        <w:t xml:space="preserve">Barrett GD. An improved universal theoretical formula for intraocular lens power prediction. </w:t>
      </w:r>
      <w:r>
        <w:rPr>
          <w:i/>
        </w:rPr>
        <w:t>J Cataract Refract Surg</w:t>
      </w:r>
      <w:r>
        <w:t>. 2015;41(3):589–599.</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Kling S, Marcos S. Finite-element modeling of intrastromal corneal ring segment implantation into a hyperelastic cornea. </w:t>
      </w:r>
      <w:r>
        <w:rPr>
          <w:i/>
        </w:rPr>
        <w:t>Invest Ophthalmol Vis Sci</w:t>
      </w:r>
      <w:r>
        <w:t>. 2013;54(1):881–889.</w:t>
      </w:r>
    </w:p>
    <w:p>
      <w:pPr>
        <w:pStyle w:val="ListNumber"/>
      </w:pPr>
      <w:r>
        <w:t xml:space="preserve">Maas SA, Ellis BJ, Ateshian GA, Weiss JA. FEBio: finite elements for biomechanics. </w:t>
      </w:r>
      <w:r>
        <w:rPr>
          <w:i/>
        </w:rPr>
        <w:t>J Biomech Eng</w:t>
      </w:r>
      <w:r>
        <w:t>. 2012;134(1):011005.</w:t>
      </w:r>
    </w:p>
    <w:p>
      <w:pPr>
        <w:pStyle w:val="ListNumber"/>
      </w:pPr>
      <w:r>
        <w:t xml:space="preserve">Piñero DP. Corneal biomechanics: a review. </w:t>
      </w:r>
      <w:r>
        <w:rPr>
          <w:i/>
        </w:rPr>
        <w:t>Clin Exp Optom</w:t>
      </w:r>
      <w:r>
        <w:t>. 2015;98(2):107–116.</w:t>
      </w:r>
    </w:p>
    <w:p>
      <w:pPr>
        <w:pStyle w:val="ListNumber"/>
      </w:pPr>
      <w:r>
        <w:t xml:space="preserve">Simonini I, Pandolfi A. Customized finite element modelling of the human cornea. </w:t>
      </w:r>
      <w:r>
        <w:rPr>
          <w:i/>
        </w:rPr>
        <w:t>PLoS One</w:t>
      </w:r>
      <w:r>
        <w:t>. 2015;10(6):e0130426.</w:t>
      </w:r>
    </w:p>
    <w:p>
      <w:r>
        <w:t>&lt;!-- GPT revision applied --&gt;</w:t>
      </w:r>
    </w:p>
    <w:p>
      <w:pPr>
        <w:pStyle w:val="Heading1"/>
      </w:pPr>
      <w:r>
        <w:t>Chapter 15 — Conclusion: Toward a Biomechanical Language for ICRS</w:t>
      </w:r>
    </w:p>
    <w:p>
      <w:pPr>
        <w:pStyle w:val="BlockQuote"/>
      </w:pPr>
      <w:r>
        <w:t>**Corneal Biomechanical Vector Analysis for Intracorneal Ring Segment Planning** *Part V — Horizons*</w:t>
      </w:r>
    </w:p>
    <w:p>
      <w:pPr>
        <w:pStyle w:val="BlockQuote"/>
      </w:pPr>
      <w:r>
        <w:t>**Key Points** - AVBC decomposes the ICRS effect into **three orthogonal vectors**: VR (flattening), VT (regularization), Vτ (repositioning). - Each vector is linked to a ring parameter: thickness→VR, arc→VT, asymmetry→Vτ. - The O/T/B system integrates optics, topography, and biomechanics into a transparent decision flow. - The feedback loop enables personal calibration — each surgeon builds their own learning curve. - The next step: prospective clinical validation (N=100, two arms, 6 months).</w:t>
      </w:r>
    </w:p>
    <w:p>
      <w:pPr>
        <w:pStyle w:val="Heading2"/>
      </w:pPr>
      <w:r>
        <w:t>15.1 Recapitulation</w:t>
      </w:r>
    </w:p>
    <w:p>
      <w:r>
        <w:t>This book has presented Corneal Biomechanical Vector Analysis (AVBC) — a framework for intrastromal ring segment planning that departs from the empirical tradition of nomogram-based selection and advances toward mechanistic, biomechanically informed decision-making. The argument proceeded through five stages:</w:t>
      </w:r>
    </w:p>
    <w:p>
      <w:r/>
      <w:r>
        <w:rPr>
          <w:b/>
        </w:rPr>
        <w:t>First</w:t>
      </w:r>
      <w:r>
        <w:t>, we established that keratoconus is fundamentally a biomechanical disease — a disorder of collagen integrity, stress distribution, and material property degradation — and not merely a geometric deformity (Chapter 1). The Dupps decompensation cycle, Brillouin microscopy evidence, and ORA/Corvis data converge on this conclusion. The implication is clear: if the disease is biomechanical, the intervention must be understood biomechanically.</w:t>
      </w:r>
    </w:p>
    <w:p>
      <w:r/>
      <w:r>
        <w:rPr>
          <w:b/>
        </w:rPr>
        <w:t>Second</w:t>
      </w:r>
      <w:r>
        <w:t>, we reviewed ICRS mechanisms of action and demonstrated, through finite element analysis, that the effect is not a single phenomenon but a combination of three independent mechanisms: radial displacement (VR), tangential stress redistribution (VT), and asymmetric torque (Vτ) (Chapters 2, 5, 6, 7). Each mechanism is modulated by a different ring parameter — thickness for VR, arc length for VT, and asymmetry for Vτ — allowing independent control of flattening, regularization, and apex repositioning.</w:t>
      </w:r>
    </w:p>
    <w:p>
      <w:r/>
      <w:r>
        <w:rPr>
          <w:b/>
        </w:rPr>
        <w:t>Third</w:t>
      </w:r>
      <w:r>
        <w:t>, we demonstrated the limitations of existing nomograms — their inability to capture biomechanical heterogeneity, the evidence for inter-surgeon discordance, and the "curse of dimensionality" that renders empirical lookup tables fundamentally inadequate for a problem with five or more relevant parameters (Chapter 3). We drew a parallel with the evolution of IOL calculation from SRK (empirical) to ray-tracing (mechanistic) and argued that ICRS planning requires the same evolution.</w:t>
      </w:r>
    </w:p>
    <w:p>
      <w:r/>
      <w:r>
        <w:rPr>
          <w:b/>
        </w:rPr>
        <w:t>Fourth</w:t>
      </w:r>
      <w:r>
        <w:t>, we presented the AVBC classification system — a trimodal assessment (Optical, Topographic, Biomechanical) that structures the clinical decision process and maps patient characteristics to ring configurations through biomechanical reasoning rather than empirical correlation (Chapters 4, 9, 11). The clinical workflow, practical examples, and case studies demonstrated that the framework is practical and applicable.</w:t>
      </w:r>
    </w:p>
    <w:p>
      <w:r/>
      <w:r>
        <w:rPr>
          <w:b/>
        </w:rPr>
        <w:t>Fifth</w:t>
      </w:r>
      <w:r>
        <w:t>, we presented the computational validation — 377 finite element simulations using the HGO constitutive model in FEBio 4.12, including 6 asymmetric progressive-thickness models. These simulations confirmed the key quantitative findings: VR insensitivity to arc length, VT monotonicity with arc length (VT = −0.0018 × arc° + 7.79, R² = 0.94), the numerical zero of Vτ for symmetric rings, and the physical validation of active corrective torque (Vτ = 9.31–18.34 μN·m) generated by progressive-thickness asymmetric designs (Chapter 12).</w:t>
      </w:r>
    </w:p>
    <w:p>
      <w:pPr>
        <w:pStyle w:val="Heading2"/>
      </w:pPr>
      <w:r>
        <w:t>15.2 The Three Contributions</w:t>
      </w:r>
    </w:p>
    <w:p>
      <w:pPr>
        <w:pStyle w:val="Heading3"/>
      </w:pPr>
      <w:r>
        <w:t>15.2.1 A Language</w:t>
      </w:r>
    </w:p>
    <w:p>
      <w:r>
        <w:t xml:space="preserve">The principal contribution of this work is not a new nomogram or a new ring design. It is a </w:t>
      </w:r>
      <w:r>
        <w:rPr>
          <w:b/>
        </w:rPr>
        <w:t>language</w:t>
      </w:r>
      <w:r>
        <w:t xml:space="preserve"> — a standardized vocabulary of biomechanical concepts (VR, VT, Vτ, MNA, AVBC-CI) that enables the corneal surgeon to reason about ICRS effects in mechanistic terms. Before AVBC, the surgeon could ask: "Will a 250 μm ring at 160° flatten this cornea?" After AVBC, the surgeon can ask: "Is flattening the dominant need, or is regularization more important? If regularization, should I increase the arc length? Is the MNA aligned with K-steep, or do I need to redirect the ring meridian?"</w:t>
      </w:r>
    </w:p>
    <w:p>
      <w:r>
        <w:t>This shift — from "which ring should I implant?" to "which mechanism should I invoke?" — is the conceptual core of AVBC. The language makes the mechanism explicit, and explicit mechanisms can be discussed, debated, calibrated, and improved.</w:t>
      </w:r>
    </w:p>
    <w:p>
      <w:pPr>
        <w:pStyle w:val="Alert"/>
      </w:pPr>
      <w:r>
        <w:rPr>
          <w:b/>
          <w:sz w:val="22"/>
        </w:rPr>
        <w:t>⚠️ IMPORTANT</w:t>
      </w:r>
    </w:p>
    <w:p>
      <w:pPr>
        <w:pStyle w:val="Alert"/>
      </w:pPr>
      <w:r/>
      <w:r>
        <w:rPr>
          <w:b/>
        </w:rPr>
        <w:t>For the Clinician: The Question That Changed</w:t>
      </w:r>
      <w:r>
        <w:t xml:space="preserve"> Before AVBC: </w:t>
      </w:r>
      <w:r>
        <w:rPr>
          <w:i/>
        </w:rPr>
        <w:t>"What ring does the nomogram say for a K-steep of 50 D?"</w:t>
      </w:r>
      <w:r>
        <w:t xml:space="preserve"> → Answer: "250 μm at 160°." Without knowing why. After AVBC: </w:t>
      </w:r>
      <w:r>
        <w:rPr>
          <w:i/>
        </w:rPr>
        <w:t>"Does my patient need to flatten, regularize, or center? Does the MNA coincide with K-steep? Do the optics allow functional improvement?"</w:t>
      </w:r>
      <w:r>
        <w:t xml:space="preserve"> → An informed, traceable, and calibratable answer. </w:t>
      </w:r>
      <w:r>
        <w:rPr>
          <w:b/>
        </w:rPr>
        <w:t>For the Clinician: The Question That Changed</w:t>
      </w:r>
      <w:r>
        <w:t xml:space="preserve"> Before AVBC: </w:t>
      </w:r>
      <w:r>
        <w:rPr>
          <w:i/>
        </w:rPr>
        <w:t>"What ring does the nomogram say for a K-steep of 50 D?"</w:t>
      </w:r>
      <w:r>
        <w:t xml:space="preserve"> → Answer: "250 μm at 160°." Without knowing why. After AVBC: </w:t>
      </w:r>
      <w:r>
        <w:rPr>
          <w:i/>
        </w:rPr>
        <w:t>"Does my patient need to flatten, regularize, or center? Does the MNA coincide with K-steep? Do the optics allow functional improvement?"</w:t>
      </w:r>
      <w:r>
        <w:t xml:space="preserve"> → An informed, traceable, and calibratable answer.</w:t>
      </w:r>
    </w:p>
    <w:p>
      <w:pPr>
        <w:pStyle w:val="Heading3"/>
      </w:pPr>
      <w:r>
        <w:t>15.2.2 A Framework</w:t>
      </w:r>
    </w:p>
    <w:p>
      <w:r>
        <w:t>The second contribution is the structured decision framework — the trimodal assessment, the vector selection algorithm, and the ring prescription logic. This framework translates biomechanical understanding into clinical action. It is designed to be:</w:t>
      </w:r>
    </w:p>
    <w:p>
      <w:pPr>
        <w:pStyle w:val="ListBullet"/>
      </w:pPr>
      <w:r/>
      <w:r>
        <w:rPr>
          <w:b/>
        </w:rPr>
        <w:t>Additive:</w:t>
      </w:r>
      <w:r>
        <w:t xml:space="preserve"> Uses existing clinical data (tomography, aberrometry, refraction) without requiring new instruments.</w:t>
      </w:r>
    </w:p>
    <w:p>
      <w:pPr>
        <w:pStyle w:val="ListBullet"/>
      </w:pPr>
      <w:r/>
      <w:r>
        <w:rPr>
          <w:b/>
        </w:rPr>
        <w:t>Transparent:</w:t>
      </w:r>
      <w:r>
        <w:t xml:space="preserve"> Every recommendation can be traced to a specific biomechanical rationale.</w:t>
      </w:r>
    </w:p>
    <w:p>
      <w:pPr>
        <w:pStyle w:val="ListBullet"/>
      </w:pPr>
      <w:r/>
      <w:r>
        <w:rPr>
          <w:b/>
        </w:rPr>
        <w:t>Calibratable:</w:t>
      </w:r>
      <w:r>
        <w:t xml:space="preserve"> The AVBC-CI enables surgeon-specific feedback and continuous improvement.</w:t>
      </w:r>
    </w:p>
    <w:p>
      <w:r>
        <w:t xml:space="preserve">The framework does not replace clinical judgment; it augments it by providing a structured vocabulary through which judgment can be exercised, articulated, and refined. A surgeon who disagrees with the AVBC recommendation can identify exactly </w:t>
      </w:r>
      <w:r>
        <w:rPr>
          <w:i/>
        </w:rPr>
        <w:t>where</w:t>
      </w:r>
      <w:r>
        <w:t xml:space="preserve"> the disagreement lies — in the optical classification, in the MNA determination, or in the vector prioritization — and can adjust accordingly with full awareness of the biomechanical trade-offs involved.</w:t>
      </w:r>
    </w:p>
    <w:p>
      <w:pPr>
        <w:pStyle w:val="Heading3"/>
      </w:pPr>
      <w:r>
        <w:t>15.2.3 A Validation Foundation</w:t>
      </w:r>
    </w:p>
    <w:p>
      <w:r>
        <w:t>The third contribution is the computational foundation — the FEM simulation database, the vector extraction pipeline, and the parameter sensitivity analysis — that provides the first quantitative evidence for the three-vector decomposition. While the absolute values are model-dependent (geometric simplifications, uniform material properties), the relative findings — VR insensitivity to arc, VT monotonicity, Vτ zero for symmetric rings — are robust and form the empirical basis for the framework.</w:t>
      </w:r>
    </w:p>
    <w:p>
      <w:r>
        <w:t>The parametric campaign of 377 simulations further established the sensitivity hierarchy (c &gt;&gt; κ &gt; k₁ &gt;&gt; k₂) that underpins the Biomechanical Phenotypic Classification (Chapter 9), providing computational evidence that matrix degradation is the primary driver of ectatic behavior, consistent with Brillouin microscopy and biochemical data.</w:t>
      </w:r>
    </w:p>
    <w:p>
      <w:pPr>
        <w:pStyle w:val="Heading2"/>
      </w:pPr>
      <w:r>
        <w:t>15.3 What Remains to Be Done</w:t>
      </w:r>
    </w:p>
    <w:p>
      <w:r>
        <w:t>Intellectual honesty requires acknowledging the substantial work that remains:</w:t>
      </w:r>
    </w:p>
    <w:p>
      <w:pPr>
        <w:pStyle w:val="ListNumber"/>
      </w:pPr>
      <w:r/>
      <w:r>
        <w:rPr>
          <w:b/>
        </w:rPr>
        <w:t>Clinical validation:</w:t>
      </w:r>
      <w:r>
        <w:t xml:space="preserve"> No prospective clinical trial has tested whether AVBC-guided ring selection produces better outcomes than nomogram-guided selection. The study design is presented (Chapter 13), but recruitment has not yet begun. This is the single most important next step — without clinical validation, the AVBC framework remains a theoretically grounded but empirically untested hypothesis.</w:t>
      </w:r>
    </w:p>
    <w:p>
      <w:pPr>
        <w:pStyle w:val="ListNumber"/>
      </w:pPr>
      <w:r/>
      <w:r>
        <w:rPr>
          <w:b/>
        </w:rPr>
        <w:t>Patient-specific FEM:</w:t>
      </w:r>
      <w:r>
        <w:t xml:space="preserve"> Current models use idealized geometry and uniform material properties. Patient-specific models — with Pentacam geometry and Brillouin microscopy or Corvis material parameters — would dramatically increase predictive accuracy. The convergence failures encountered in our extreme keratoconic models (P5, P9 with KMax &gt; 53 D) highlight the need for adaptive meshing strategies (ALE) and patient-specific geometric preprocessing.</w:t>
      </w:r>
    </w:p>
    <w:p>
      <w:pPr>
        <w:pStyle w:val="ListNumber"/>
      </w:pPr>
      <w:r/>
      <w:r>
        <w:rPr>
          <w:b/>
        </w:rPr>
        <w:t>The MNA concept:</w:t>
      </w:r>
      <w:r>
        <w:t xml:space="preserve"> The Mechanical Neutral Axis is introduced as a new clinical parameter, but its clinical validation (correlation with ICRS outcomes, inter-instrument reproducibility, inter-observer agreement) still needs to be demonstrated. Preliminary data showing 40% MNA–K-steep divergence is clinically significant but requires formal prospective evaluation.</w:t>
      </w:r>
    </w:p>
    <w:p>
      <w:pPr>
        <w:pStyle w:val="ListNumber"/>
      </w:pPr>
      <w:r/>
      <w:r>
        <w:rPr>
          <w:b/>
        </w:rPr>
        <w:t>Multi-segment planning:</w:t>
      </w:r>
      <w:r>
        <w:t xml:space="preserve"> The current framework addresses single-segment implantation. Extension to two-segment configurations (common in clinical practice) requires additional modeling of inter-segment biomechanical interactions.</w:t>
      </w:r>
    </w:p>
    <w:p>
      <w:pPr>
        <w:pStyle w:val="ListNumber"/>
      </w:pPr>
      <w:r/>
      <w:r>
        <w:rPr>
          <w:b/>
        </w:rPr>
        <w:t>Machine learning calibration:</w:t>
      </w:r>
      <w:r>
        <w:t xml:space="preserve"> As the clinical database grows, supervised learning algorithms could refine the FEM lookup tables by incorporating real-world outcome data, progressively improving predictive accuracy without requiring new simulations.</w:t>
      </w:r>
    </w:p>
    <w:p>
      <w:r>
        <w:t>These gaps are not fatal limitations — they are the natural research program that follows from a new framework. The Alpins method was published in 1993 and refined over three decades of clinical use. AVBC is at the beginning of this journey.</w:t>
      </w:r>
    </w:p>
    <w:p>
      <w:pPr>
        <w:pStyle w:val="Heading2"/>
      </w:pPr>
      <w:r>
        <w:t>15.4 The Vision</w:t>
      </w:r>
    </w:p>
    <w:p>
      <w:r>
        <w:t>We envision a future in which ICRS planning proceeds as follows:</w:t>
      </w:r>
    </w:p>
    <w:p>
      <w:pPr>
        <w:pStyle w:val="ListNumber"/>
      </w:pPr>
      <w:r>
        <w:t>The surgeon obtains standard preoperative data (tomography, aberrometry, refraction).</w:t>
      </w:r>
    </w:p>
    <w:p>
      <w:pPr>
        <w:pStyle w:val="ListNumber"/>
      </w:pPr>
      <w:r>
        <w:t>An AVBC software platform performs the trimodal assessment automatically.</w:t>
      </w:r>
    </w:p>
    <w:p>
      <w:pPr>
        <w:pStyle w:val="ListNumber"/>
      </w:pPr>
      <w:r>
        <w:t>The platform generates a patient-specific FEM model from the tomographic data.</w:t>
      </w:r>
    </w:p>
    <w:p>
      <w:pPr>
        <w:pStyle w:val="ListNumber"/>
      </w:pPr>
      <w:r>
        <w:t>Multiple ring configurations are simulated in seconds (via reduced-order models).</w:t>
      </w:r>
    </w:p>
    <w:p>
      <w:pPr>
        <w:pStyle w:val="ListNumber"/>
      </w:pPr>
      <w:r>
        <w:t>The platform presents the optimal configuration with expected VR, VT, and Vτ values.</w:t>
      </w:r>
    </w:p>
    <w:p>
      <w:pPr>
        <w:pStyle w:val="ListNumber"/>
      </w:pPr>
      <w:r>
        <w:t>The surgeon reviews the recommendation, applies clinical judgment, and implants the ring.</w:t>
      </w:r>
    </w:p>
    <w:p>
      <w:pPr>
        <w:pStyle w:val="ListNumber"/>
      </w:pPr>
      <w:r>
        <w:t>At follow-up, the AVBC-CI is computed and the surgeon's calibration curve is updated.</w:t>
      </w:r>
    </w:p>
    <w:p>
      <w:pPr>
        <w:pStyle w:val="ListNumber"/>
      </w:pPr>
      <w:r>
        <w:t>Over time, predictions converge toward clinical reality through iterative feedback.</w:t>
      </w:r>
    </w:p>
    <w:p>
      <w:r>
        <w:t>This vision is technologically feasible with current computational capabilities. The barriers are organizational (building the clinical database), regulatory (obtaining device certification for the planning software), and scientific (validating the framework in prospective studies). None of these barriers is insurmountable.</w:t>
      </w:r>
    </w:p>
    <w:p>
      <w:pPr>
        <w:pStyle w:val="Heading2"/>
      </w:pPr>
      <w:r>
        <w:t>15.5 A Final Word</w:t>
      </w:r>
    </w:p>
    <w:p>
      <w:r>
        <w:t>The cornea is a structure of remarkable elegance — a fiber-reinforced composite that is simultaneously transparent, mechanically resilient, and optically precise. Keratoconus disrupts this elegance at the material level, and ICRS restores it at the structural level. The AVBC framework aspires to match the elegance of the structure it seeks to repair: a language as precise as the tissue, a framework as structured as the stroma, and a feedback loop as adaptive as the cornea itself.</w:t>
      </w:r>
    </w:p>
    <w:p>
      <w:r>
        <w:t>The path from empirical nomogram to biomechanical planning is long, but the direction is clear. This book is a step along that path.</w:t>
      </w:r>
    </w:p>
    <w:p>
      <w:pPr>
        <w:pStyle w:val="Alert"/>
      </w:pPr>
      <w:r>
        <w:rPr>
          <w:b/>
          <w:sz w:val="22"/>
        </w:rPr>
        <w:t>💡 TIP</w:t>
      </w:r>
    </w:p>
    <w:p>
      <w:pPr>
        <w:pStyle w:val="Alert"/>
      </w:pPr>
      <w:r/>
      <w:r>
        <w:rPr>
          <w:b/>
        </w:rPr>
        <w:t>For the Clinician: The 3 Take-Homes of This Book</w:t>
      </w:r>
      <w:r>
        <w:t xml:space="preserve"> 1. </w:t>
      </w:r>
      <w:r>
        <w:rPr>
          <w:b/>
        </w:rPr>
        <w:t>The ring has 3 independent mechanisms</w:t>
      </w:r>
      <w:r>
        <w:t xml:space="preserve">, not 1. Thickness → flattening (VR). Arc → regularization (VT). Asymmetry → repositioning (Vτ). 2. </w:t>
      </w:r>
      <w:r>
        <w:rPr>
          <w:b/>
        </w:rPr>
        <w:t>The MNA changes your plan in 40% of patients.</w:t>
      </w:r>
      <w:r>
        <w:t xml:space="preserve"> Always check the posterior elevation before marking the axis. 3. </w:t>
      </w:r>
      <w:r>
        <w:rPr>
          <w:b/>
        </w:rPr>
        <w:t>Your mean CI_R is your "personal factor."</w:t>
      </w:r>
      <w:r>
        <w:t xml:space="preserve"> Record it, calculate it, and correct for it. That is how you improve from surgeon to surgeon. </w:t>
      </w:r>
      <w:r>
        <w:rPr>
          <w:b/>
        </w:rPr>
        <w:t>For the Clinician: The 3 Take-Homes of This Book</w:t>
      </w:r>
      <w:r>
        <w:t xml:space="preserve"> 1. </w:t>
      </w:r>
      <w:r>
        <w:rPr>
          <w:b/>
        </w:rPr>
        <w:t>The ring has 3 independent mechanisms</w:t>
      </w:r>
      <w:r>
        <w:t xml:space="preserve">, not 1. Thickness → flattening (VR). Arc → regularization (VT). Asymmetry → repositioning (Vτ). 2. </w:t>
      </w:r>
      <w:r>
        <w:rPr>
          <w:b/>
        </w:rPr>
        <w:t>The MNA changes your plan in 40% of patients.</w:t>
      </w:r>
      <w:r>
        <w:t xml:space="preserve"> Always check the posterior elevation before marking the axis. 3. </w:t>
      </w:r>
      <w:r>
        <w:rPr>
          <w:b/>
        </w:rPr>
        <w:t>Your mean CI_R is your "personal factor."</w:t>
      </w:r>
      <w:r>
        <w:t xml:space="preserve"> Record it, calculate it, and correct for it. That is how you improve from surgeon to surgeon.</w:t>
      </w:r>
    </w:p>
    <w:p>
      <w:pPr>
        <w:pStyle w:val="Heading2"/>
      </w:pPr>
      <w:r>
        <w:t>Didactic Summary</w:t>
      </w:r>
    </w:p>
    <w:p>
      <w:pPr>
        <w:pStyle w:val="ListBullet"/>
      </w:pPr>
      <w:r>
        <w:t xml:space="preserve">AVBC decomposes the ICRS effect into </w:t>
      </w:r>
      <w:r>
        <w:rPr>
          <w:b/>
        </w:rPr>
        <w:t>three orthogonal vectors</w:t>
      </w:r>
      <w:r>
        <w:t xml:space="preserve"> (VR, VT, Vτ), each linked to a ring parameter.</w:t>
      </w:r>
    </w:p>
    <w:p>
      <w:pPr>
        <w:pStyle w:val="ListBullet"/>
      </w:pPr>
      <w:r>
        <w:t xml:space="preserve">This decomposition transforms ICRS planning from an empirical art into a </w:t>
      </w:r>
      <w:r>
        <w:rPr>
          <w:b/>
        </w:rPr>
        <w:t>mechanistic science</w:t>
      </w:r>
      <w:r>
        <w:t xml:space="preserve"> that is traceable and calibratable.</w:t>
      </w:r>
    </w:p>
    <w:p>
      <w:pPr>
        <w:pStyle w:val="ListBullet"/>
      </w:pPr>
      <w:r>
        <w:t xml:space="preserve">The trimodal </w:t>
      </w:r>
      <w:r>
        <w:rPr>
          <w:b/>
        </w:rPr>
        <w:t>O/T/B</w:t>
      </w:r>
      <w:r>
        <w:t xml:space="preserve"> system integrates optics, topography, and biomechanics into a transparent decision flow.</w:t>
      </w:r>
    </w:p>
    <w:p>
      <w:pPr>
        <w:pStyle w:val="ListBullet"/>
      </w:pPr>
      <w:r>
        <w:t>The AVBC feedback loop (CI_R, VT-ratio, Vτ-ratio) allows each surgeon to build their personal calibration curve.</w:t>
      </w:r>
    </w:p>
    <w:p>
      <w:pPr>
        <w:pStyle w:val="ListBullet"/>
      </w:pPr>
      <w:r>
        <w:t>The next step is prospective clinical validation — the definitive test that will determine the real value of the framework.</w:t>
      </w:r>
    </w:p>
    <w:p>
      <w:pPr>
        <w:pStyle w:val="Heading2"/>
      </w:pPr>
      <w:r>
        <w:t>References</w:t>
      </w:r>
    </w:p>
    <w:p>
      <w:pPr>
        <w:pStyle w:val="ListNumber"/>
      </w:pPr>
      <w:r>
        <w:t xml:space="preserve">Alpins NA. A new method of analyzing vectors for changes in astigmatism. </w:t>
      </w:r>
      <w:r>
        <w:rPr>
          <w:i/>
        </w:rPr>
        <w:t>J Cataract Refract Surg</w:t>
      </w:r>
      <w:r>
        <w:t>. 1993;19(4):524–533.</w:t>
      </w:r>
    </w:p>
    <w:p>
      <w:pPr>
        <w:pStyle w:val="ListNumber"/>
      </w:pPr>
      <w:r>
        <w:t xml:space="preserve">Barraquer JI. Modification of refraction by means of intracorneal inclusions. </w:t>
      </w:r>
      <w:r>
        <w:rPr>
          <w:i/>
        </w:rPr>
        <w:t>Int Ophthalmol Clin</w:t>
      </w:r>
      <w:r>
        <w:t>. 1966;6(1):53–78.</w:t>
      </w:r>
    </w:p>
    <w:p>
      <w:pPr>
        <w:pStyle w:val="ListNumber"/>
      </w:pPr>
      <w:r>
        <w:t xml:space="preserve">Dupps WJ Jr, Roberts CJ. Biomechanics of corneal ectasia and biomechanical treatments. </w:t>
      </w:r>
      <w:r>
        <w:rPr>
          <w:i/>
        </w:rPr>
        <w:t>J Cataract Refract Surg</w:t>
      </w:r>
      <w:r>
        <w:t>. 2014;40(6):991–998.</w:t>
      </w:r>
    </w:p>
    <w:p>
      <w:pPr>
        <w:pStyle w:val="ListNumber"/>
      </w:pPr>
      <w:r>
        <w:t xml:space="preserve">García de Oteyza G, Kling S, Álvarez de Toledo J, Barraquer RI. Refractive changes of a new asymmetric intracorneal ring segment with variable thickness and base width: A 2D finite-element model. </w:t>
      </w:r>
      <w:r>
        <w:rPr>
          <w:i/>
        </w:rPr>
        <w:t>PLoS One</w:t>
      </w:r>
      <w:r>
        <w:t>. 2021;16(1):e0245063.</w:t>
      </w:r>
    </w:p>
    <w:p>
      <w:pPr>
        <w:pStyle w:val="ListNumber"/>
      </w:pPr>
      <w:r>
        <w:t xml:space="preserve">Holzapfel GA, Gasser TC, Ogden RW. A new constitutive framework for arterial wall mechanics. </w:t>
      </w:r>
      <w:r>
        <w:rPr>
          <w:i/>
        </w:rPr>
        <w:t>J Elasticity</w:t>
      </w:r>
      <w:r>
        <w:t>. 2000;61:1–48.</w:t>
      </w:r>
    </w:p>
    <w:p>
      <w:pPr>
        <w:pStyle w:val="ListNumber"/>
      </w:pPr>
      <w:r>
        <w:t xml:space="preserve">Kling S, Marcos S. Finite-element modeling of intrastromal corneal ring segment implantation into a hyperelastic cornea. </w:t>
      </w:r>
      <w:r>
        <w:rPr>
          <w:i/>
        </w:rPr>
        <w:t>Invest Ophthalmol Vis Sci</w:t>
      </w:r>
      <w:r>
        <w:t>. 2013;54(1):881–889.</w:t>
      </w:r>
    </w:p>
    <w:p>
      <w:pPr>
        <w:pStyle w:val="ListNumber"/>
      </w:pPr>
      <w:r>
        <w:t xml:space="preserve">Meek KM, Knupp C. Corneal structure and transparency. </w:t>
      </w:r>
      <w:r>
        <w:rPr>
          <w:i/>
        </w:rPr>
        <w:t>Prog Retin Eye Res</w:t>
      </w:r>
      <w:r>
        <w:t>. 2015;49:1–16.</w:t>
      </w:r>
    </w:p>
    <w:p>
      <w:r>
        <w:t>&lt;!-- GPT revision applied --&gt;</w:t>
      </w:r>
    </w:p>
    <w:p>
      <w:pPr>
        <w:pStyle w:val="Heading1"/>
      </w:pPr>
      <w:r>
        <w:t>Appendix A — HGO Constitutive Model: Derivation and Parameters</w:t>
      </w:r>
    </w:p>
    <w:p>
      <w:pPr>
        <w:pStyle w:val="BlockQuote"/>
      </w:pPr>
      <w:r>
        <w:t>**Corneal Biomechanical Vector Analysis for Intracorneal Ring Segment Planning**</w:t>
      </w:r>
    </w:p>
    <w:p>
      <w:pPr>
        <w:pStyle w:val="Heading2"/>
      </w:pPr>
      <w:r>
        <w:t>A.1 Physical Basis and Corneal Anisotropy</w:t>
      </w:r>
    </w:p>
    <w:p>
      <w:r>
        <w:t>The mechanical response of the corneal stroma cannot be adequately described by classical linear elasticity or isotropic hyperelastic models (e.g., neo-Hookean or Mooney-Rivlin). From a microstructural perspective, the stroma is a highly ordered, fiber-reinforced composite material composed of approximately 200–250 stacked lamellae containing uniformly diameter (~30 nm) collagen fibrils embedded in a hydrated matrix of proteoglycans and glycosaminoglycans (the ground substance).</w:t>
      </w:r>
    </w:p>
    <w:p>
      <w:r>
        <w:t>Mechanically, this results in:</w:t>
      </w:r>
    </w:p>
    <w:p>
      <w:pPr>
        <w:pStyle w:val="ListNumber"/>
      </w:pPr>
      <w:r/>
      <w:r>
        <w:rPr>
          <w:b/>
        </w:rPr>
        <w:t>Nonlinear hyperelasticity:</w:t>
      </w:r>
      <w:r>
        <w:t xml:space="preserve"> Exponential strain-stiffening from progressive stretching of initially crimped collagen fibrils.</w:t>
      </w:r>
    </w:p>
    <w:p>
      <w:pPr>
        <w:pStyle w:val="ListNumber"/>
      </w:pPr>
      <w:r/>
      <w:r>
        <w:rPr>
          <w:b/>
        </w:rPr>
        <w:t>Marked anisotropy:</w:t>
      </w:r>
      <w:r>
        <w:t xml:space="preserve"> Tensile resistance along fibril directions is 2–3 orders of magnitude greater than matrix or interlamellar shear resistance. WAXS measurements demonstrate preferential orientations along orthogonal meridians centrally, with circumferential annular distribution at the limbus.</w:t>
      </w:r>
    </w:p>
    <w:p>
      <w:pPr>
        <w:pStyle w:val="ListNumber"/>
      </w:pPr>
      <w:r/>
      <w:r>
        <w:rPr>
          <w:b/>
        </w:rPr>
        <w:t>Near-incompressibility:</w:t>
      </w:r>
      <w:r>
        <w:t xml:space="preserve"> High water content (~78%) yields effective Poisson's ratio near 0.5.</w:t>
      </w:r>
    </w:p>
    <w:p>
      <w:r>
        <w:t xml:space="preserve">The </w:t>
      </w:r>
      <w:r>
        <w:rPr>
          <w:b/>
        </w:rPr>
        <w:t>Holzapfel–Gasser–Ogden (HGO)</w:t>
      </w:r>
      <w:r>
        <w:t xml:space="preserve"> constitutive formulation was employed, originally proposed for arterial walls (Holzapfel et al., 2000) and adapted for the cornea by Pandolfi &amp; Manganiello (2006) and Nguyen et al. (2018).</w:t>
      </w:r>
    </w:p>
    <w:p>
      <w:pPr>
        <w:pStyle w:val="Heading2"/>
      </w:pPr>
      <w:r>
        <w:t>A.2 The Mechanics of Deformation (Core Concepts)</w:t>
      </w:r>
    </w:p>
    <w:p>
      <w:r>
        <w:t>Rather than using complex tensor equations, it is more useful for clinical planning to understand what the computational model is actually calculating.</w:t>
      </w:r>
    </w:p>
    <w:p>
      <w:r>
        <w:t>To evaluate the mechanics of the corneal stroma, the model continuously compares two states:</w:t>
      </w:r>
    </w:p>
    <w:p>
      <w:pPr>
        <w:pStyle w:val="ListNumber"/>
      </w:pPr>
      <w:r/>
      <w:r>
        <w:rPr>
          <w:b/>
        </w:rPr>
        <w:t>The resting state:</w:t>
      </w:r>
      <w:r>
        <w:t xml:space="preserve"> The original ectatic cornea, prior to any intervention.</w:t>
      </w:r>
    </w:p>
    <w:p>
      <w:pPr>
        <w:pStyle w:val="ListNumber"/>
      </w:pPr>
      <w:r/>
      <w:r>
        <w:rPr>
          <w:b/>
        </w:rPr>
        <w:t>The deformed state:</w:t>
      </w:r>
      <w:r>
        <w:t xml:space="preserve"> The cornea after the forced stretching by the ring insertion (which acts like a tent pole) and stabilized by intraocular pressure.</w:t>
      </w:r>
    </w:p>
    <w:p>
      <w:r>
        <w:t>The software tracks thousands of microscopic points within the tissue, measuring exactly where and how intensely each point has been displaced.</w:t>
      </w:r>
    </w:p>
    <w:p>
      <w:pPr>
        <w:pStyle w:val="Heading3"/>
      </w:pPr>
      <w:r>
        <w:t>A.2.1 The "Water Balloon" Rule (Volumetric Decomposition)</w:t>
      </w:r>
    </w:p>
    <w:p>
      <w:r>
        <w:t>The stroma is composed of approximately 78% water, essentially behaving like a liquid balloon: it is easy to change its shape (by bending or stretching), but it is almost physically impossible to reduce its total volume by squeezing it (near-incompressibility).</w:t>
      </w:r>
    </w:p>
    <w:p>
      <w:r>
        <w:t xml:space="preserve">If the computer attempts to calculate all deformation forces simultaneously, the simulation crashes (a software error called </w:t>
      </w:r>
      <w:r>
        <w:rPr>
          <w:i/>
        </w:rPr>
        <w:t>volumetric locking</w:t>
      </w:r>
      <w:r>
        <w:t>). To prevent this and ensure accurate computation, the deformation must be split into two distinct components:</w:t>
      </w:r>
    </w:p>
    <w:p>
      <w:pPr>
        <w:pStyle w:val="ListBullet"/>
      </w:pPr>
      <w:r/>
      <w:r>
        <w:rPr>
          <w:b/>
        </w:rPr>
        <w:t>Volume Change (Dilatational):</w:t>
      </w:r>
      <w:r>
        <w:t xml:space="preserve"> Measures whether the tissue swelled or shrank — which in the cornea we assume is practically zero.</w:t>
      </w:r>
    </w:p>
    <w:p>
      <w:pPr>
        <w:pStyle w:val="ListBullet"/>
      </w:pPr>
      <w:r/>
      <w:r>
        <w:rPr>
          <w:b/>
        </w:rPr>
        <w:t>Shape Change (Isochoric or Distortional):</w:t>
      </w:r>
      <w:r>
        <w:t xml:space="preserve"> Measures how the tissue stretched, twisted, or flattened, while preserving its total volume.</w:t>
      </w:r>
    </w:p>
    <w:p>
      <w:r>
        <w:t xml:space="preserve">It is exclusively the </w:t>
      </w:r>
      <w:r>
        <w:rPr>
          <w:b/>
        </w:rPr>
        <w:t>shape change</w:t>
      </w:r>
      <w:r>
        <w:t xml:space="preserve"> that dictates the surgical outcome. It is this stretching energy that explains why the ring's volume flattens the central cornea (Radial Vector V_R) and how the circumferential tension regularizes the surface (Tangential Vector V_T).</w:t>
      </w:r>
    </w:p>
    <w:p>
      <w:pPr>
        <w:pStyle w:val="Heading3"/>
      </w:pPr>
      <w:r>
        <w:t>A.2.2 Measuring Fiber Stretching</w:t>
      </w:r>
    </w:p>
    <w:p>
      <w:r>
        <w:t>The cornea is not a uniform material; it is reinforced by oriented collagen lamellae. For the computer to know how "stiff" the cornea is at any given point, it calculates two essential physical metrics:</w:t>
      </w:r>
    </w:p>
    <w:p>
      <w:pPr>
        <w:pStyle w:val="ListNumber"/>
      </w:pPr>
      <w:r/>
      <w:r>
        <w:rPr>
          <w:b/>
        </w:rPr>
        <w:t>Matrix deformation (the proteoglycan "jelly"):</w:t>
      </w:r>
      <w:r>
        <w:t xml:space="preserve"> Evaluated by measuring the overall, isotropic distortion of the tissue in all directions.</w:t>
      </w:r>
    </w:p>
    <w:p>
      <w:pPr>
        <w:pStyle w:val="ListNumber"/>
      </w:pPr>
      <w:r/>
      <w:r>
        <w:rPr>
          <w:b/>
        </w:rPr>
        <w:t>Collagen lamellae stretching:</w:t>
      </w:r>
      <w:r>
        <w:t xml:space="preserve"> Calculated by mapping the total deformation and projecting it directionally onto the exact axes where the fibers run (predominantly orthogonal in the center and circular at the periphery).</w:t>
      </w:r>
    </w:p>
    <w:p>
      <w:r>
        <w:t>This physical calculation allows the model to understand that trying to expand the cornea parallel to the fibers is geometrically and mechanically much more challenging than expanding it against them.</w:t>
      </w:r>
    </w:p>
    <w:p>
      <w:pPr>
        <w:pStyle w:val="Heading2"/>
      </w:pPr>
      <w:r>
        <w:t>A.3 Accumulated Tissue Energy (Elastic Strain)</w:t>
      </w:r>
    </w:p>
    <w:p>
      <w:r>
        <w:t>As basic physics teaches us, deforming an elastic band requires energy. In the Holzapfel-Gasser-Ogden (HGO) model, the cornea stores mechanical energy (elastic strain) originating from two distinct stromal components:</w:t>
      </w:r>
    </w:p>
    <w:p>
      <w:pPr>
        <w:pStyle w:val="Heading3"/>
      </w:pPr>
      <w:r>
        <w:t>A.3.1 Matrix Resistance</w:t>
      </w:r>
    </w:p>
    <w:p>
      <w:r>
        <w:t>The ground substance of proteoglycans is soft and isotropic (it presents the same resistance in all directions). The model calculates the energy absorbed by this water-and-sugar matrix whenever it is subjected to shear stress. Because it is highly compliant, it contributes relatively little to the tensile strength of the cornea under IOP, but it is essential for maintaining baseline volumetrics and proper lamellar spacing.</w:t>
      </w:r>
    </w:p>
    <w:p>
      <w:pPr>
        <w:pStyle w:val="Heading3"/>
      </w:pPr>
      <w:r>
        <w:t>A.3.2 The Exponential "Locking" of Fibers</w:t>
      </w:r>
    </w:p>
    <w:p>
      <w:r>
        <w:t>The true structural strength of the stroma comes from collagen. The HGO model uses three biomimetic rules to simulate the fibers realistically:</w:t>
      </w:r>
    </w:p>
    <w:p>
      <w:pPr>
        <w:pStyle w:val="ListNumber"/>
      </w:pPr>
      <w:r/>
      <w:r>
        <w:rPr>
          <w:b/>
        </w:rPr>
        <w:t>Active only under tension:</w:t>
      </w:r>
      <w:r>
        <w:t xml:space="preserve"> Like a rope, collagen fibrils offer immense resistance when pulled (e.g., by the ring pressing against the tissue), but buckle passively if pushed (compression). The model mechanically deactivates the fibers in the rare zones where the tissue wrinkles or is compressed.</w:t>
      </w:r>
    </w:p>
    <w:p>
      <w:pPr>
        <w:pStyle w:val="ListNumber"/>
      </w:pPr>
      <w:r/>
      <w:r>
        <w:rPr>
          <w:b/>
        </w:rPr>
        <w:t>Progressive Stiffening:</w:t>
      </w:r>
      <w:r>
        <w:t xml:space="preserve"> Collagen lamellae have a naturally wavy (</w:t>
      </w:r>
      <w:r>
        <w:rPr>
          <w:i/>
        </w:rPr>
        <w:t>crimped</w:t>
      </w:r>
      <w:r>
        <w:t>) path. At the onset of stretching (e.g., under low IOP), they unfold easily. However, once they lose their natural crimp, they behave like a rigid cable, exponentially locking any subsequent deformation. The mathematical model brilliantly captures this "elastic wall".</w:t>
      </w:r>
    </w:p>
    <w:p>
      <w:pPr>
        <w:pStyle w:val="ListNumber"/>
      </w:pPr>
      <w:r/>
      <w:r>
        <w:rPr>
          <w:b/>
        </w:rPr>
        <w:t>Natural Dispersion:</w:t>
      </w:r>
      <w:r>
        <w:t xml:space="preserve"> Corneal fibers are not perfectly parallel cables. They interweave and deviate slightly from their main path. The model simulates this dispersion factor, distributing some of the ring's tension to adjacent axes, smoothing the forces in a clinically consistent manner.</w:t>
      </w:r>
    </w:p>
    <w:p>
      <w:pPr>
        <w:pStyle w:val="Heading2"/>
      </w:pPr>
      <w:r>
        <w:t>A.4 How Stresses Interact with the ICRS (The Stress Map)</w:t>
      </w:r>
    </w:p>
    <w:p>
      <w:r>
        <w:t xml:space="preserve">In the operative planning of intracorneal rings, all the mechanical energy we have discussed manifests as physical pressures (stresses) that will remodel the curvature of the anterior dome. The software translates this energy into force distribution maps (Cauchy stresses or </w:t>
      </w:r>
      <w:r>
        <w:rPr>
          <w:i/>
        </w:rPr>
        <w:t>Real Stress</w:t>
      </w:r>
      <w:r>
        <w:t>):</w:t>
      </w:r>
    </w:p>
    <w:p>
      <w:pPr>
        <w:pStyle w:val="ListNumber"/>
      </w:pPr>
      <w:r/>
      <w:r>
        <w:rPr>
          <w:b/>
        </w:rPr>
        <w:t>The Reaction Force:</w:t>
      </w:r>
      <w:r>
        <w:t xml:space="preserve"> When the volumetric PMMA implant separates the lamellae, the stroma contracts in a physical attempt to recover its initial geometry. It is exactly this accumulated force that will be redirected as "tangential tension" (V_T), pulling on the implantation meridian.</w:t>
      </w:r>
    </w:p>
    <w:p>
      <w:pPr>
        <w:pStyle w:val="ListNumber"/>
      </w:pPr>
      <w:r/>
      <w:r>
        <w:rPr>
          <w:b/>
        </w:rPr>
        <w:t>Central Regularization:</w:t>
      </w:r>
      <w:r>
        <w:t xml:space="preserve"> The color map generated by the solver clearly shows the final result of opposing forces. The areas painted "red and yellow" over the segments show collagen pushed to its elastic limit, which mechanically forces the lamellae extending to the apex to flatten powerfully (the Radial Vector V_R). Areas in blue show the valleys where the curvature relaxes.</w:t>
      </w:r>
    </w:p>
    <w:p>
      <w:pPr>
        <w:pStyle w:val="Heading2"/>
      </w:pPr>
      <w:r>
        <w:t>A.5 Physical Meaning and Parameter Calibration</w:t>
      </w:r>
    </w:p>
    <w:tbl>
      <w:tblPr>
        <w:tblStyle w:val="LightGrid-Accent1"/>
        <w:tblW w:type="auto" w:w="0"/>
        <w:tblLook w:firstColumn="1" w:firstRow="1" w:lastColumn="0" w:lastRow="0" w:noHBand="0" w:noVBand="1" w:val="04A0"/>
      </w:tblPr>
      <w:tblGrid>
        <w:gridCol w:w="1758"/>
        <w:gridCol w:w="1758"/>
        <w:gridCol w:w="1758"/>
        <w:gridCol w:w="1758"/>
        <w:gridCol w:w="1758"/>
      </w:tblGrid>
      <w:tr>
        <w:tc>
          <w:tcPr>
            <w:tcW w:type="dxa" w:w="1758"/>
          </w:tcPr>
          <w:p>
            <w:r>
              <w:rPr>
                <w:b/>
                <w:sz w:val="18"/>
              </w:rPr>
              <w:t>Parameter</w:t>
            </w:r>
          </w:p>
        </w:tc>
        <w:tc>
          <w:tcPr>
            <w:tcW w:type="dxa" w:w="1758"/>
          </w:tcPr>
          <w:p>
            <w:r>
              <w:rPr>
                <w:b/>
                <w:sz w:val="18"/>
              </w:rPr>
              <w:t>Symbol</w:t>
            </w:r>
          </w:p>
        </w:tc>
        <w:tc>
          <w:tcPr>
            <w:tcW w:type="dxa" w:w="1758"/>
          </w:tcPr>
          <w:p>
            <w:r>
              <w:rPr>
                <w:b/>
                <w:sz w:val="18"/>
              </w:rPr>
              <w:t>Canonical Value</w:t>
            </w:r>
          </w:p>
        </w:tc>
        <w:tc>
          <w:tcPr>
            <w:tcW w:type="dxa" w:w="1758"/>
          </w:tcPr>
          <w:p>
            <w:r>
              <w:rPr>
                <w:b/>
                <w:sz w:val="18"/>
              </w:rPr>
              <w:t>Physical Meaning</w:t>
            </w:r>
          </w:p>
        </w:tc>
        <w:tc>
          <w:tcPr>
            <w:tcW w:type="dxa" w:w="1758"/>
          </w:tcPr>
          <w:p>
            <w:r>
              <w:rPr>
                <w:b/>
                <w:sz w:val="18"/>
              </w:rPr>
              <w:t>Clinical Role</w:t>
            </w:r>
          </w:p>
        </w:tc>
      </w:tr>
      <w:tr>
        <w:tc>
          <w:tcPr>
            <w:tcW w:type="dxa" w:w="1758"/>
          </w:tcPr>
          <w:p>
            <w:r>
              <w:rPr>
                <w:sz w:val="18"/>
              </w:rPr>
              <w:t>Matrix shear modulus</w:t>
            </w:r>
          </w:p>
        </w:tc>
        <w:tc>
          <w:tcPr>
            <w:tcW w:type="dxa" w:w="1758"/>
          </w:tcPr>
          <w:p>
            <w:r>
              <w:rPr>
                <w:sz w:val="18"/>
              </w:rPr>
              <w:t>c</w:t>
            </w:r>
          </w:p>
        </w:tc>
        <w:tc>
          <w:tcPr>
            <w:tcW w:type="dxa" w:w="1758"/>
          </w:tcPr>
          <w:p>
            <w:r>
              <w:rPr>
                <w:sz w:val="18"/>
              </w:rPr>
              <w:t>0.05 MPa</w:t>
            </w:r>
          </w:p>
        </w:tc>
        <w:tc>
          <w:tcPr>
            <w:tcW w:type="dxa" w:w="1758"/>
          </w:tcPr>
          <w:p>
            <w:r>
              <w:rPr>
                <w:sz w:val="18"/>
              </w:rPr>
              <w:t>Ground substance (GAGs, proteoglycans) elasticity</w:t>
            </w:r>
          </w:p>
        </w:tc>
        <w:tc>
          <w:tcPr>
            <w:tcW w:type="dxa" w:w="1758"/>
          </w:tcPr>
          <w:p>
            <w:r>
              <w:rPr>
                <w:sz w:val="18"/>
              </w:rPr>
              <w:t>**Dominant** parameter; degradation initiates ectasia</w:t>
            </w:r>
          </w:p>
        </w:tc>
      </w:tr>
      <w:tr>
        <w:tc>
          <w:tcPr>
            <w:tcW w:type="dxa" w:w="1758"/>
          </w:tcPr>
          <w:p>
            <w:r>
              <w:rPr>
                <w:sz w:val="18"/>
              </w:rPr>
              <w:t>Collagen fibril stiffness</w:t>
            </w:r>
          </w:p>
        </w:tc>
        <w:tc>
          <w:tcPr>
            <w:tcW w:type="dxa" w:w="1758"/>
          </w:tcPr>
          <w:p>
            <w:r>
              <w:rPr>
                <w:sz w:val="18"/>
              </w:rPr>
              <w:t>k_1</w:t>
            </w:r>
          </w:p>
        </w:tc>
        <w:tc>
          <w:tcPr>
            <w:tcW w:type="dxa" w:w="1758"/>
          </w:tcPr>
          <w:p>
            <w:r>
              <w:rPr>
                <w:sz w:val="18"/>
              </w:rPr>
              <w:t>0.22 MPa</w:t>
            </w:r>
          </w:p>
        </w:tc>
        <w:tc>
          <w:tcPr>
            <w:tcW w:type="dxa" w:w="1758"/>
          </w:tcPr>
          <w:p>
            <w:r>
              <w:rPr>
                <w:sz w:val="18"/>
              </w:rPr>
              <w:t>Intrinsic elastic stiffness of collagen fibrils</w:t>
            </w:r>
          </w:p>
        </w:tc>
        <w:tc>
          <w:tcPr>
            <w:tcW w:type="dxa" w:w="1758"/>
          </w:tcPr>
          <w:p>
            <w:r>
              <w:rPr>
                <w:sz w:val="18"/>
              </w:rPr>
              <w:t>Primary load-bearing barrier; CXL increases 3–5×</w:t>
            </w:r>
          </w:p>
        </w:tc>
      </w:tr>
      <w:tr>
        <w:tc>
          <w:tcPr>
            <w:tcW w:type="dxa" w:w="1758"/>
          </w:tcPr>
          <w:p>
            <w:r>
              <w:rPr>
                <w:sz w:val="18"/>
              </w:rPr>
              <w:t>Fiber nonlinearity</w:t>
            </w:r>
          </w:p>
        </w:tc>
        <w:tc>
          <w:tcPr>
            <w:tcW w:type="dxa" w:w="1758"/>
          </w:tcPr>
          <w:p>
            <w:r>
              <w:rPr>
                <w:sz w:val="18"/>
              </w:rPr>
              <w:t>k_2</w:t>
            </w:r>
          </w:p>
        </w:tc>
        <w:tc>
          <w:tcPr>
            <w:tcW w:type="dxa" w:w="1758"/>
          </w:tcPr>
          <w:p>
            <w:r>
              <w:rPr>
                <w:sz w:val="18"/>
              </w:rPr>
              <w:t>100</w:t>
            </w:r>
          </w:p>
        </w:tc>
        <w:tc>
          <w:tcPr>
            <w:tcW w:type="dxa" w:w="1758"/>
          </w:tcPr>
          <w:p>
            <w:r>
              <w:rPr>
                <w:sz w:val="18"/>
              </w:rPr>
              <w:t>Rate of exponential stiffening</w:t>
            </w:r>
          </w:p>
        </w:tc>
        <w:tc>
          <w:tcPr>
            <w:tcW w:type="dxa" w:w="1758"/>
          </w:tcPr>
          <w:p>
            <w:r>
              <w:rPr>
                <w:sz w:val="18"/>
              </w:rPr>
              <w:t>Prevents catastrophic deformation under IOP spikes</w:t>
            </w:r>
          </w:p>
        </w:tc>
      </w:tr>
      <w:tr>
        <w:tc>
          <w:tcPr>
            <w:tcW w:type="dxa" w:w="1758"/>
          </w:tcPr>
          <w:p>
            <w:r>
              <w:rPr>
                <w:sz w:val="18"/>
              </w:rPr>
              <w:t>Fiber dispersion</w:t>
            </w:r>
          </w:p>
        </w:tc>
        <w:tc>
          <w:tcPr>
            <w:tcW w:type="dxa" w:w="1758"/>
          </w:tcPr>
          <w:p>
            <w:r>
              <w:rPr>
                <w:sz w:val="18"/>
              </w:rPr>
              <w:t>\kappa</w:t>
            </w:r>
          </w:p>
        </w:tc>
        <w:tc>
          <w:tcPr>
            <w:tcW w:type="dxa" w:w="1758"/>
          </w:tcPr>
          <w:p>
            <w:r>
              <w:rPr>
                <w:sz w:val="18"/>
              </w:rPr>
              <w:t>0.09</w:t>
            </w:r>
          </w:p>
        </w:tc>
        <w:tc>
          <w:tcPr>
            <w:tcW w:type="dxa" w:w="1758"/>
          </w:tcPr>
          <w:p>
            <w:r>
              <w:rPr>
                <w:sz w:val="18"/>
              </w:rPr>
              <w:t>Angular dispersion around preferred direction</w:t>
            </w:r>
          </w:p>
        </w:tc>
        <w:tc>
          <w:tcPr>
            <w:tcW w:type="dxa" w:w="1758"/>
          </w:tcPr>
          <w:p>
            <w:r>
              <w:rPr>
                <w:sz w:val="18"/>
              </w:rPr>
              <w:t>\kappa → 1/3 in advanced cones → loss of anisotropy</w:t>
            </w:r>
          </w:p>
        </w:tc>
      </w:tr>
      <w:tr>
        <w:tc>
          <w:tcPr>
            <w:tcW w:type="dxa" w:w="1758"/>
          </w:tcPr>
          <w:p>
            <w:r>
              <w:rPr>
                <w:sz w:val="18"/>
              </w:rPr>
              <w:t>Bulk modulus</w:t>
            </w:r>
          </w:p>
        </w:tc>
        <w:tc>
          <w:tcPr>
            <w:tcW w:type="dxa" w:w="1758"/>
          </w:tcPr>
          <w:p>
            <w:r>
              <w:rPr>
                <w:sz w:val="18"/>
              </w:rPr>
              <w:t>k</w:t>
            </w:r>
          </w:p>
        </w:tc>
        <w:tc>
          <w:tcPr>
            <w:tcW w:type="dxa" w:w="1758"/>
          </w:tcPr>
          <w:p>
            <w:r>
              <w:rPr>
                <w:sz w:val="18"/>
              </w:rPr>
              <w:t>4.76 MPa</w:t>
            </w:r>
          </w:p>
        </w:tc>
        <w:tc>
          <w:tcPr>
            <w:tcW w:type="dxa" w:w="1758"/>
          </w:tcPr>
          <w:p>
            <w:r>
              <w:rPr>
                <w:sz w:val="18"/>
              </w:rPr>
              <w:t>Resistance to volumetric compression</w:t>
            </w:r>
          </w:p>
        </w:tc>
        <w:tc>
          <w:tcPr>
            <w:tcW w:type="dxa" w:w="1758"/>
          </w:tcPr>
          <w:p>
            <w:r>
              <w:rPr>
                <w:sz w:val="18"/>
              </w:rPr>
              <w:t>Enforces near-incompressibility (\nu ≈ 0.49)</w:t>
            </w:r>
          </w:p>
        </w:tc>
      </w:tr>
    </w:tbl>
    <w:p>
      <w:pPr>
        <w:pStyle w:val="Heading2"/>
      </w:pPr>
      <w:r>
        <w:t>References</w:t>
      </w:r>
    </w:p>
    <w:p>
      <w:pPr>
        <w:pStyle w:val="ListNumber"/>
      </w:pPr>
      <w:r>
        <w:t xml:space="preserve">Gasser TC, Ogden RW, Holzapfel GA. </w:t>
      </w:r>
      <w:r>
        <w:rPr>
          <w:i/>
        </w:rPr>
        <w:t>J Royal Soc Interface</w:t>
      </w:r>
      <w:r>
        <w:t>. 2006;3(6):15–35.</w:t>
      </w:r>
    </w:p>
    <w:p>
      <w:pPr>
        <w:pStyle w:val="ListNumber"/>
      </w:pPr>
      <w:r>
        <w:t xml:space="preserve">Holzapfel GA, Gasser TC, Ogden RW. </w:t>
      </w:r>
      <w:r>
        <w:rPr>
          <w:i/>
        </w:rPr>
        <w:t>J Elasticity</w:t>
      </w:r>
      <w:r>
        <w:t>. 2000;61(1–3):1–48.</w:t>
      </w:r>
    </w:p>
    <w:p>
      <w:pPr>
        <w:pStyle w:val="ListNumber"/>
      </w:pPr>
      <w:r>
        <w:t xml:space="preserve">Nguyen BA, Roberts CJ, Reilly MA. </w:t>
      </w:r>
      <w:r>
        <w:rPr>
          <w:i/>
        </w:rPr>
        <w:t>Front Bioeng Biotechnol</w:t>
      </w:r>
      <w:r>
        <w:t>. 2018;6:210.</w:t>
      </w:r>
    </w:p>
    <w:p>
      <w:pPr>
        <w:pStyle w:val="ListNumber"/>
      </w:pPr>
      <w:r>
        <w:t xml:space="preserve">Pandolfi A, Manganiello F. </w:t>
      </w:r>
      <w:r>
        <w:rPr>
          <w:i/>
        </w:rPr>
        <w:t>Biomech Model Mechanobiol</w:t>
      </w:r>
      <w:r>
        <w:t>. 2006;5(4):237–246.</w:t>
      </w:r>
    </w:p>
    <w:p>
      <w:pPr>
        <w:pStyle w:val="ListNumber"/>
      </w:pPr>
      <w:r>
        <w:t xml:space="preserve">Meek KM, Knupp C. </w:t>
      </w:r>
      <w:r>
        <w:rPr>
          <w:i/>
        </w:rPr>
        <w:t>Prog Retin Eye Res</w:t>
      </w:r>
      <w:r>
        <w:t>. 2015;49:1–16.</w:t>
      </w:r>
    </w:p>
    <w:p>
      <w:r>
        <w:t>&lt;!-- GPT revision applied --&gt;</w:t>
      </w:r>
    </w:p>
    <w:p>
      <w:pPr>
        <w:pStyle w:val="Heading1"/>
      </w:pPr>
      <w:r>
        <w:t>Appendix B — FEBio Scripts and Extraction Pipeline Documentation</w:t>
      </w:r>
    </w:p>
    <w:p>
      <w:pPr>
        <w:pStyle w:val="Heading2"/>
      </w:pPr>
      <w:r>
        <w:t>B.1 Computational Pipeline Overview</w:t>
      </w:r>
    </w:p>
    <w:p>
      <w:r>
        <w:t>The AVBC computational pipeline consists of four interlinked Python scripts that automate generation, execution, extraction, and analysis of finite element simulations. All scripts are located in the `simulations/` directory.</w:t>
      </w:r>
    </w:p>
    <w:p>
      <w:pPr>
        <w:pStyle w:val="CodeBlock"/>
      </w:pPr>
      <w:r>
        <w:t>simulations/</w:t>
      </w:r>
    </w:p>
    <w:p>
      <w:pPr>
        <w:pStyle w:val="CodeBlock"/>
      </w:pPr>
      <w:r>
        <w:t>├── generate_febio_model.py # .feb model generator</w:t>
      </w:r>
    </w:p>
    <w:p>
      <w:pPr>
        <w:pStyle w:val="CodeBlock"/>
      </w:pPr>
      <w:r>
        <w:t>├── run_parametric_campaign.py # Parametric campaign orchestrator</w:t>
      </w:r>
    </w:p>
    <w:p>
      <w:pPr>
        <w:pStyle w:val="CodeBlock"/>
      </w:pPr>
      <w:r>
        <w:t>├── extract_parametric_vectors.py # Vector metric extraction</w:t>
      </w:r>
    </w:p>
    <w:p>
      <w:pPr>
        <w:pStyle w:val="CodeBlock"/>
      </w:pPr>
      <w:r>
        <w:t>├── analyze_phenotype_discrimination.py # Phenotypic discrimination analysis</w:t>
      </w:r>
    </w:p>
    <w:p>
      <w:pPr>
        <w:pStyle w:val="CodeBlock"/>
      </w:pPr>
      <w:r>
        <w:t>├── calc_curvature.py # Curvature calculation from displacements</w:t>
      </w:r>
    </w:p>
    <w:p>
      <w:pPr>
        <w:pStyle w:val="CodeBlock"/>
      </w:pPr>
      <w:r>
        <w:t>├── models/ # Generated .feb files</w:t>
      </w:r>
    </w:p>
    <w:p>
      <w:pPr>
        <w:pStyle w:val="CodeBlock"/>
      </w:pPr>
      <w:r>
        <w:t>├── results/ # Simulation outputs</w:t>
      </w:r>
    </w:p>
    <w:p>
      <w:pPr>
        <w:pStyle w:val="CodeBlock"/>
      </w:pPr>
      <w:r>
        <w:t>└── analysis/ # Discrimination reports</w:t>
      </w:r>
    </w:p>
    <w:p>
      <w:r>
        <w:t>Sequential workflow:</w:t>
      </w:r>
    </w:p>
    <w:p>
      <w:pPr>
        <w:pStyle w:val="ListNumber"/>
      </w:pPr>
      <w:r/>
      <w:r>
        <w:rPr>
          <w:b/>
        </w:rPr>
        <w:t>Generate</w:t>
      </w:r>
      <w:r>
        <w:t xml:space="preserve"> → `generate_febio_model.py` creates `.feb` files with configurable HGO parameters and ICRS geometry</w:t>
      </w:r>
    </w:p>
    <w:p>
      <w:pPr>
        <w:pStyle w:val="ListNumber"/>
      </w:pPr>
      <w:r/>
      <w:r>
        <w:rPr>
          <w:b/>
        </w:rPr>
        <w:t>Execute</w:t>
      </w:r>
      <w:r>
        <w:t xml:space="preserve"> → `run_parametric_campaign.py` orchestrates parallel execution on FEBio 4.12</w:t>
      </w:r>
    </w:p>
    <w:p>
      <w:pPr>
        <w:pStyle w:val="ListNumber"/>
      </w:pPr>
      <w:r/>
      <w:r>
        <w:rPr>
          <w:b/>
        </w:rPr>
        <w:t>Extract</w:t>
      </w:r>
      <w:r>
        <w:t xml:space="preserve"> → `extract_parametric_vectors.py` reads output files and calculates VR, VT, Vτ</w:t>
      </w:r>
    </w:p>
    <w:p>
      <w:pPr>
        <w:pStyle w:val="ListNumber"/>
      </w:pPr>
      <w:r/>
      <w:r>
        <w:rPr>
          <w:b/>
        </w:rPr>
        <w:t>Analyze</w:t>
      </w:r>
      <w:r>
        <w:t xml:space="preserve"> → `analyze_phenotype_discrimination.py` performs sensitivity and discrimination analysis</w:t>
      </w:r>
    </w:p>
    <w:p>
      <w:pPr>
        <w:pStyle w:val="Heading2"/>
      </w:pPr>
      <w:r>
        <w:t>B.2 Model Generator: `generate_febio_model.py`</w:t>
      </w:r>
    </w:p>
    <w:p>
      <w:pPr>
        <w:pStyle w:val="Heading3"/>
      </w:pPr>
      <w:r>
        <w:t>Mesh Specification</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Parameter</w:t>
            </w:r>
          </w:p>
        </w:tc>
        <w:tc>
          <w:tcPr>
            <w:tcW w:type="dxa" w:w="2929"/>
          </w:tcPr>
          <w:p>
            <w:r>
              <w:rPr>
                <w:b/>
                <w:sz w:val="18"/>
              </w:rPr>
              <w:t>Value</w:t>
            </w:r>
          </w:p>
        </w:tc>
        <w:tc>
          <w:tcPr>
            <w:tcW w:type="dxa" w:w="2929"/>
          </w:tcPr>
          <w:p>
            <w:r>
              <w:rPr>
                <w:b/>
                <w:sz w:val="18"/>
              </w:rPr>
              <w:t>Description</w:t>
            </w:r>
          </w:p>
        </w:tc>
      </w:tr>
      <w:tr>
        <w:tc>
          <w:tcPr>
            <w:tcW w:type="dxa" w:w="2929"/>
          </w:tcPr>
          <w:p>
            <w:r>
              <w:rPr>
                <w:sz w:val="18"/>
              </w:rPr>
              <w:t>Radius of curvature (R)</w:t>
            </w:r>
          </w:p>
        </w:tc>
        <w:tc>
          <w:tcPr>
            <w:tcW w:type="dxa" w:w="2929"/>
          </w:tcPr>
          <w:p>
            <w:r>
              <w:rPr>
                <w:sz w:val="18"/>
              </w:rPr>
              <w:t>7.8 mm</w:t>
            </w:r>
          </w:p>
        </w:tc>
        <w:tc>
          <w:tcPr>
            <w:tcW w:type="dxa" w:w="2929"/>
          </w:tcPr>
          <w:p>
            <w:r>
              <w:rPr>
                <w:sz w:val="18"/>
              </w:rPr>
              <w:t>Mean corneal radius</w:t>
            </w:r>
          </w:p>
        </w:tc>
      </w:tr>
      <w:tr>
        <w:tc>
          <w:tcPr>
            <w:tcW w:type="dxa" w:w="2929"/>
          </w:tcPr>
          <w:p>
            <w:r>
              <w:rPr>
                <w:sz w:val="18"/>
              </w:rPr>
              <w:t>Angular extent (θ_max)</w:t>
            </w:r>
          </w:p>
        </w:tc>
        <w:tc>
          <w:tcPr>
            <w:tcW w:type="dxa" w:w="2929"/>
          </w:tcPr>
          <w:p>
            <w:r>
              <w:rPr>
                <w:sz w:val="18"/>
              </w:rPr>
              <w:t>46.5°</w:t>
            </w:r>
          </w:p>
        </w:tc>
        <w:tc>
          <w:tcPr>
            <w:tcW w:type="dxa" w:w="2929"/>
          </w:tcPr>
          <w:p>
            <w:r>
              <w:rPr>
                <w:sz w:val="18"/>
              </w:rPr>
              <w:t>Apex to limbus</w:t>
            </w:r>
          </w:p>
        </w:tc>
      </w:tr>
      <w:tr>
        <w:tc>
          <w:tcPr>
            <w:tcW w:type="dxa" w:w="2929"/>
          </w:tcPr>
          <w:p>
            <w:r>
              <w:rPr>
                <w:sz w:val="18"/>
              </w:rPr>
              <w:t>Radial rings</w:t>
            </w:r>
          </w:p>
        </w:tc>
        <w:tc>
          <w:tcPr>
            <w:tcW w:type="dxa" w:w="2929"/>
          </w:tcPr>
          <w:p>
            <w:r>
              <w:rPr>
                <w:sz w:val="18"/>
              </w:rPr>
              <w:t>20</w:t>
            </w:r>
          </w:p>
        </w:tc>
        <w:tc>
          <w:tcPr>
            <w:tcW w:type="dxa" w:w="2929"/>
          </w:tcPr>
          <w:p>
            <w:r>
              <w:rPr>
                <w:sz w:val="18"/>
              </w:rPr>
              <w:t>Apex (ring 0) to limbus (ring 20)</w:t>
            </w:r>
          </w:p>
        </w:tc>
      </w:tr>
      <w:tr>
        <w:tc>
          <w:tcPr>
            <w:tcW w:type="dxa" w:w="2929"/>
          </w:tcPr>
          <w:p>
            <w:r>
              <w:rPr>
                <w:sz w:val="18"/>
              </w:rPr>
              <w:t>Circumferential sectors</w:t>
            </w:r>
          </w:p>
        </w:tc>
        <w:tc>
          <w:tcPr>
            <w:tcW w:type="dxa" w:w="2929"/>
          </w:tcPr>
          <w:p>
            <w:r>
              <w:rPr>
                <w:sz w:val="18"/>
              </w:rPr>
              <w:t>24</w:t>
            </w:r>
          </w:p>
        </w:tc>
        <w:tc>
          <w:tcPr>
            <w:tcW w:type="dxa" w:w="2929"/>
          </w:tcPr>
          <w:p>
            <w:r>
              <w:rPr>
                <w:sz w:val="18"/>
              </w:rPr>
              <w:t>15° each</w:t>
            </w:r>
          </w:p>
        </w:tc>
      </w:tr>
      <w:tr>
        <w:tc>
          <w:tcPr>
            <w:tcW w:type="dxa" w:w="2929"/>
          </w:tcPr>
          <w:p>
            <w:r>
              <w:rPr>
                <w:sz w:val="18"/>
              </w:rPr>
              <w:t>Node layers</w:t>
            </w:r>
          </w:p>
        </w:tc>
        <w:tc>
          <w:tcPr>
            <w:tcW w:type="dxa" w:w="2929"/>
          </w:tcPr>
          <w:p>
            <w:r>
              <w:rPr>
                <w:sz w:val="18"/>
              </w:rPr>
              <w:t>2</w:t>
            </w:r>
          </w:p>
        </w:tc>
        <w:tc>
          <w:tcPr>
            <w:tcW w:type="dxa" w:w="2929"/>
          </w:tcPr>
          <w:p>
            <w:r>
              <w:rPr>
                <w:sz w:val="18"/>
              </w:rPr>
              <w:t>Posterior (z=0) and anterior (z=1)</w:t>
            </w:r>
          </w:p>
        </w:tc>
      </w:tr>
      <w:tr>
        <w:tc>
          <w:tcPr>
            <w:tcW w:type="dxa" w:w="2929"/>
          </w:tcPr>
          <w:p>
            <w:r>
              <w:rPr>
                <w:sz w:val="18"/>
              </w:rPr>
              <w:t>Total nodes</w:t>
            </w:r>
          </w:p>
        </w:tc>
        <w:tc>
          <w:tcPr>
            <w:tcW w:type="dxa" w:w="2929"/>
          </w:tcPr>
          <w:p>
            <w:r>
              <w:rPr>
                <w:sz w:val="18"/>
              </w:rPr>
              <w:t>962</w:t>
            </w:r>
          </w:p>
        </w:tc>
        <w:tc>
          <w:tcPr>
            <w:tcW w:type="dxa" w:w="2929"/>
          </w:tcPr>
          <w:p>
            <w:r>
              <w:rPr>
                <w:sz w:val="18"/>
              </w:rPr>
              <w:t>20 × 24 × 2 + 2 (apical nodes)</w:t>
            </w:r>
          </w:p>
        </w:tc>
      </w:tr>
      <w:tr>
        <w:tc>
          <w:tcPr>
            <w:tcW w:type="dxa" w:w="2929"/>
          </w:tcPr>
          <w:p>
            <w:r>
              <w:rPr>
                <w:sz w:val="18"/>
              </w:rPr>
              <w:t>Pentahedral elements (apex)</w:t>
            </w:r>
          </w:p>
        </w:tc>
        <w:tc>
          <w:tcPr>
            <w:tcW w:type="dxa" w:w="2929"/>
          </w:tcPr>
          <w:p>
            <w:r>
              <w:rPr>
                <w:sz w:val="18"/>
              </w:rPr>
              <w:t>24</w:t>
            </w:r>
          </w:p>
        </w:tc>
        <w:tc>
          <w:tcPr>
            <w:tcW w:type="dxa" w:w="2929"/>
          </w:tcPr>
          <w:p>
            <w:r>
              <w:rPr>
                <w:sz w:val="18"/>
              </w:rPr>
              <w:t>Penta6 to avoid singularity</w:t>
            </w:r>
          </w:p>
        </w:tc>
      </w:tr>
      <w:tr>
        <w:tc>
          <w:tcPr>
            <w:tcW w:type="dxa" w:w="2929"/>
          </w:tcPr>
          <w:p>
            <w:r>
              <w:rPr>
                <w:sz w:val="18"/>
              </w:rPr>
              <w:t>Hexahedral elements (body)</w:t>
            </w:r>
          </w:p>
        </w:tc>
        <w:tc>
          <w:tcPr>
            <w:tcW w:type="dxa" w:w="2929"/>
          </w:tcPr>
          <w:p>
            <w:r>
              <w:rPr>
                <w:sz w:val="18"/>
              </w:rPr>
              <w:t>456</w:t>
            </w:r>
          </w:p>
        </w:tc>
        <w:tc>
          <w:tcPr>
            <w:tcW w:type="dxa" w:w="2929"/>
          </w:tcPr>
          <w:p>
            <w:r>
              <w:rPr>
                <w:sz w:val="18"/>
              </w:rPr>
              <w:t>Linear Hex8</w:t>
            </w:r>
          </w:p>
        </w:tc>
      </w:tr>
      <w:tr>
        <w:tc>
          <w:tcPr>
            <w:tcW w:type="dxa" w:w="2929"/>
          </w:tcPr>
          <w:p>
            <w:r>
              <w:rPr>
                <w:sz w:val="18"/>
              </w:rPr>
              <w:t>**Total elements**</w:t>
            </w:r>
          </w:p>
        </w:tc>
        <w:tc>
          <w:tcPr>
            <w:tcW w:type="dxa" w:w="2929"/>
          </w:tcPr>
          <w:p>
            <w:r>
              <w:rPr>
                <w:sz w:val="18"/>
              </w:rPr>
              <w:t>**480**</w:t>
            </w:r>
          </w:p>
        </w:tc>
        <w:tc>
          <w:tcPr>
            <w:tcW w:type="dxa" w:w="2929"/>
          </w:tcPr>
          <w:p>
            <w:r>
              <w:rPr>
                <w:sz w:val="18"/>
              </w:rPr>
            </w:r>
          </w:p>
        </w:tc>
      </w:tr>
      <w:tr>
        <w:tc>
          <w:tcPr>
            <w:tcW w:type="dxa" w:w="2929"/>
          </w:tcPr>
          <w:p>
            <w:r>
              <w:rPr>
                <w:sz w:val="18"/>
              </w:rPr>
              <w:t>Stromal thickness (t₀)</w:t>
            </w:r>
          </w:p>
        </w:tc>
        <w:tc>
          <w:tcPr>
            <w:tcW w:type="dxa" w:w="2929"/>
          </w:tcPr>
          <w:p>
            <w:r>
              <w:rPr>
                <w:sz w:val="18"/>
              </w:rPr>
              <w:t>500 μm</w:t>
            </w:r>
          </w:p>
        </w:tc>
        <w:tc>
          <w:tcPr>
            <w:tcW w:type="dxa" w:w="2929"/>
          </w:tcPr>
          <w:p>
            <w:r>
              <w:rPr>
                <w:sz w:val="18"/>
              </w:rPr>
              <w:t>Uniform (canonical model)</w:t>
            </w:r>
          </w:p>
        </w:tc>
      </w:tr>
    </w:tbl>
    <w:p>
      <w:pPr>
        <w:pStyle w:val="Heading3"/>
      </w:pPr>
      <w:r>
        <w:t>ICRS Positioning</w:t>
      </w:r>
    </w:p>
    <w:p>
      <w:r>
        <w:t>Ring 14 (r ≈ 4.2 mm from apex), corresponding to the 5–6 mm optical zone.</w:t>
      </w:r>
    </w:p>
    <w:p>
      <w:pPr>
        <w:pStyle w:val="Heading3"/>
      </w:pPr>
      <w:r>
        <w:t>Boundary Conditions</w:t>
      </w:r>
    </w:p>
    <w:p>
      <w:pPr>
        <w:pStyle w:val="ListNumber"/>
      </w:pPr>
      <w:r/>
      <w:r>
        <w:rPr>
          <w:b/>
        </w:rPr>
        <w:t>Follower pressure:</w:t>
      </w:r>
      <w:r>
        <w:t xml:space="preserve"> 15 mmHg (0.002 MPa) on posterior face.</w:t>
      </w:r>
    </w:p>
    <w:p>
      <w:pPr>
        <w:pStyle w:val="ListNumber"/>
      </w:pPr>
      <w:r/>
      <w:r>
        <w:rPr>
          <w:b/>
        </w:rPr>
        <w:t>Limbal fixation:</w:t>
      </w:r>
      <w:r>
        <w:t xml:space="preserve"> All DOFs fixed at ring 20.</w:t>
      </w:r>
    </w:p>
    <w:p>
      <w:pPr>
        <w:pStyle w:val="ListNumber"/>
      </w:pPr>
      <w:r/>
      <w:r>
        <w:rPr>
          <w:b/>
        </w:rPr>
        <w:t>ICRS prescribed displacement:</w:t>
      </w:r>
      <w:r>
        <w:t xml:space="preserve"> +250 μm anteriorly (z), free in x and y.</w:t>
      </w:r>
    </w:p>
    <w:p>
      <w:pPr>
        <w:pStyle w:val="Heading3"/>
      </w:pPr>
      <w:r>
        <w:t>Usage</w:t>
      </w:r>
    </w:p>
    <w:p>
      <w:pPr>
        <w:pStyle w:val="CodeBlock"/>
      </w:pPr>
      <w:r>
        <w:t>python generate_febio_model.py \</w:t>
      </w:r>
    </w:p>
    <w:p>
      <w:pPr>
        <w:pStyle w:val="CodeBlock"/>
      </w:pPr>
      <w:r>
        <w:t xml:space="preserve"> --c 0.05 --k1 0.22 --k2 100 --kappa 0.09 \</w:t>
      </w:r>
    </w:p>
    <w:p>
      <w:pPr>
        <w:pStyle w:val="CodeBlock"/>
      </w:pPr>
      <w:r>
        <w:t xml:space="preserve"> --arc 160 --thickness 250 \</w:t>
      </w:r>
    </w:p>
    <w:p>
      <w:pPr>
        <w:pStyle w:val="CodeBlock"/>
      </w:pPr>
      <w:r>
        <w:t xml:space="preserve"> --output model_arc160_t250.feb</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Flag</w:t>
            </w:r>
          </w:p>
        </w:tc>
        <w:tc>
          <w:tcPr>
            <w:tcW w:type="dxa" w:w="2197"/>
          </w:tcPr>
          <w:p>
            <w:r>
              <w:rPr>
                <w:b/>
                <w:sz w:val="18"/>
              </w:rPr>
              <w:t>Parameter</w:t>
            </w:r>
          </w:p>
        </w:tc>
        <w:tc>
          <w:tcPr>
            <w:tcW w:type="dxa" w:w="2197"/>
          </w:tcPr>
          <w:p>
            <w:r>
              <w:rPr>
                <w:b/>
                <w:sz w:val="18"/>
              </w:rPr>
              <w:t>Default</w:t>
            </w:r>
          </w:p>
        </w:tc>
        <w:tc>
          <w:tcPr>
            <w:tcW w:type="dxa" w:w="2197"/>
          </w:tcPr>
          <w:p>
            <w:r>
              <w:rPr>
                <w:b/>
                <w:sz w:val="18"/>
              </w:rPr>
              <w:t>Unit</w:t>
            </w:r>
          </w:p>
        </w:tc>
      </w:tr>
      <w:tr>
        <w:tc>
          <w:tcPr>
            <w:tcW w:type="dxa" w:w="2197"/>
          </w:tcPr>
          <w:p>
            <w:r>
              <w:rPr>
                <w:sz w:val="18"/>
              </w:rPr>
              <w:t>`--c`</w:t>
            </w:r>
          </w:p>
        </w:tc>
        <w:tc>
          <w:tcPr>
            <w:tcW w:type="dxa" w:w="2197"/>
          </w:tcPr>
          <w:p>
            <w:r>
              <w:rPr>
                <w:sz w:val="18"/>
              </w:rPr>
              <w:t>Matrix stiffness</w:t>
            </w:r>
          </w:p>
        </w:tc>
        <w:tc>
          <w:tcPr>
            <w:tcW w:type="dxa" w:w="2197"/>
          </w:tcPr>
          <w:p>
            <w:r>
              <w:rPr>
                <w:sz w:val="18"/>
              </w:rPr>
              <w:t>0.05</w:t>
            </w:r>
          </w:p>
        </w:tc>
        <w:tc>
          <w:tcPr>
            <w:tcW w:type="dxa" w:w="2197"/>
          </w:tcPr>
          <w:p>
            <w:r>
              <w:rPr>
                <w:sz w:val="18"/>
              </w:rPr>
              <w:t>MPa</w:t>
            </w:r>
          </w:p>
        </w:tc>
      </w:tr>
      <w:tr>
        <w:tc>
          <w:tcPr>
            <w:tcW w:type="dxa" w:w="2197"/>
          </w:tcPr>
          <w:p>
            <w:r>
              <w:rPr>
                <w:sz w:val="18"/>
              </w:rPr>
              <w:t>`--k1`</w:t>
            </w:r>
          </w:p>
        </w:tc>
        <w:tc>
          <w:tcPr>
            <w:tcW w:type="dxa" w:w="2197"/>
          </w:tcPr>
          <w:p>
            <w:r>
              <w:rPr>
                <w:sz w:val="18"/>
              </w:rPr>
              <w:t>Fibrillar stiffness</w:t>
            </w:r>
          </w:p>
        </w:tc>
        <w:tc>
          <w:tcPr>
            <w:tcW w:type="dxa" w:w="2197"/>
          </w:tcPr>
          <w:p>
            <w:r>
              <w:rPr>
                <w:sz w:val="18"/>
              </w:rPr>
              <w:t>0.22</w:t>
            </w:r>
          </w:p>
        </w:tc>
        <w:tc>
          <w:tcPr>
            <w:tcW w:type="dxa" w:w="2197"/>
          </w:tcPr>
          <w:p>
            <w:r>
              <w:rPr>
                <w:sz w:val="18"/>
              </w:rPr>
              <w:t>MPa</w:t>
            </w:r>
          </w:p>
        </w:tc>
      </w:tr>
      <w:tr>
        <w:tc>
          <w:tcPr>
            <w:tcW w:type="dxa" w:w="2197"/>
          </w:tcPr>
          <w:p>
            <w:r>
              <w:rPr>
                <w:sz w:val="18"/>
              </w:rPr>
              <w:t>`--k2`</w:t>
            </w:r>
          </w:p>
        </w:tc>
        <w:tc>
          <w:tcPr>
            <w:tcW w:type="dxa" w:w="2197"/>
          </w:tcPr>
          <w:p>
            <w:r>
              <w:rPr>
                <w:sz w:val="18"/>
              </w:rPr>
              <w:t>Nonlinearity</w:t>
            </w:r>
          </w:p>
        </w:tc>
        <w:tc>
          <w:tcPr>
            <w:tcW w:type="dxa" w:w="2197"/>
          </w:tcPr>
          <w:p>
            <w:r>
              <w:rPr>
                <w:sz w:val="18"/>
              </w:rPr>
              <w:t>100</w:t>
            </w:r>
          </w:p>
        </w:tc>
        <w:tc>
          <w:tcPr>
            <w:tcW w:type="dxa" w:w="2197"/>
          </w:tcPr>
          <w:p>
            <w:r>
              <w:rPr>
                <w:sz w:val="18"/>
              </w:rPr>
              <w:t>—</w:t>
            </w:r>
          </w:p>
        </w:tc>
      </w:tr>
      <w:tr>
        <w:tc>
          <w:tcPr>
            <w:tcW w:type="dxa" w:w="2197"/>
          </w:tcPr>
          <w:p>
            <w:r>
              <w:rPr>
                <w:sz w:val="18"/>
              </w:rPr>
              <w:t>`--kappa`</w:t>
            </w:r>
          </w:p>
        </w:tc>
        <w:tc>
          <w:tcPr>
            <w:tcW w:type="dxa" w:w="2197"/>
          </w:tcPr>
          <w:p>
            <w:r>
              <w:rPr>
                <w:sz w:val="18"/>
              </w:rPr>
              <w:t>Dispersion</w:t>
            </w:r>
          </w:p>
        </w:tc>
        <w:tc>
          <w:tcPr>
            <w:tcW w:type="dxa" w:w="2197"/>
          </w:tcPr>
          <w:p>
            <w:r>
              <w:rPr>
                <w:sz w:val="18"/>
              </w:rPr>
              <w:t>0.09</w:t>
            </w:r>
          </w:p>
        </w:tc>
        <w:tc>
          <w:tcPr>
            <w:tcW w:type="dxa" w:w="2197"/>
          </w:tcPr>
          <w:p>
            <w:r>
              <w:rPr>
                <w:sz w:val="18"/>
              </w:rPr>
              <w:t>—</w:t>
            </w:r>
          </w:p>
        </w:tc>
      </w:tr>
      <w:tr>
        <w:tc>
          <w:tcPr>
            <w:tcW w:type="dxa" w:w="2197"/>
          </w:tcPr>
          <w:p>
            <w:r>
              <w:rPr>
                <w:sz w:val="18"/>
              </w:rPr>
              <w:t>`--arc`</w:t>
            </w:r>
          </w:p>
        </w:tc>
        <w:tc>
          <w:tcPr>
            <w:tcW w:type="dxa" w:w="2197"/>
          </w:tcPr>
          <w:p>
            <w:r>
              <w:rPr>
                <w:sz w:val="18"/>
              </w:rPr>
              <w:t>Arc length</w:t>
            </w:r>
          </w:p>
        </w:tc>
        <w:tc>
          <w:tcPr>
            <w:tcW w:type="dxa" w:w="2197"/>
          </w:tcPr>
          <w:p>
            <w:r>
              <w:rPr>
                <w:sz w:val="18"/>
              </w:rPr>
              <w:t>160</w:t>
            </w:r>
          </w:p>
        </w:tc>
        <w:tc>
          <w:tcPr>
            <w:tcW w:type="dxa" w:w="2197"/>
          </w:tcPr>
          <w:p>
            <w:r>
              <w:rPr>
                <w:sz w:val="18"/>
              </w:rPr>
              <w:t>degrees</w:t>
            </w:r>
          </w:p>
        </w:tc>
      </w:tr>
      <w:tr>
        <w:tc>
          <w:tcPr>
            <w:tcW w:type="dxa" w:w="2197"/>
          </w:tcPr>
          <w:p>
            <w:r>
              <w:rPr>
                <w:sz w:val="18"/>
              </w:rPr>
              <w:t>`--thickness`</w:t>
            </w:r>
          </w:p>
        </w:tc>
        <w:tc>
          <w:tcPr>
            <w:tcW w:type="dxa" w:w="2197"/>
          </w:tcPr>
          <w:p>
            <w:r>
              <w:rPr>
                <w:sz w:val="18"/>
              </w:rPr>
              <w:t>ICRS thickness</w:t>
            </w:r>
          </w:p>
        </w:tc>
        <w:tc>
          <w:tcPr>
            <w:tcW w:type="dxa" w:w="2197"/>
          </w:tcPr>
          <w:p>
            <w:r>
              <w:rPr>
                <w:sz w:val="18"/>
              </w:rPr>
              <w:t>250</w:t>
            </w:r>
          </w:p>
        </w:tc>
        <w:tc>
          <w:tcPr>
            <w:tcW w:type="dxa" w:w="2197"/>
          </w:tcPr>
          <w:p>
            <w:r>
              <w:rPr>
                <w:sz w:val="18"/>
              </w:rPr>
              <w:t>μm</w:t>
            </w:r>
          </w:p>
        </w:tc>
      </w:tr>
      <w:tr>
        <w:tc>
          <w:tcPr>
            <w:tcW w:type="dxa" w:w="2197"/>
          </w:tcPr>
          <w:p>
            <w:r>
              <w:rPr>
                <w:sz w:val="18"/>
              </w:rPr>
              <w:t>`--progressive`</w:t>
            </w:r>
          </w:p>
        </w:tc>
        <w:tc>
          <w:tcPr>
            <w:tcW w:type="dxa" w:w="2197"/>
          </w:tcPr>
          <w:p>
            <w:r>
              <w:rPr>
                <w:sz w:val="18"/>
              </w:rPr>
              <w:t>Progressive profile</w:t>
            </w:r>
          </w:p>
        </w:tc>
        <w:tc>
          <w:tcPr>
            <w:tcW w:type="dxa" w:w="2197"/>
          </w:tcPr>
          <w:p>
            <w:r>
              <w:rPr>
                <w:sz w:val="18"/>
              </w:rPr>
              <w:t>—</w:t>
            </w:r>
          </w:p>
        </w:tc>
        <w:tc>
          <w:tcPr>
            <w:tcW w:type="dxa" w:w="2197"/>
          </w:tcPr>
          <w:p>
            <w:r>
              <w:rPr>
                <w:sz w:val="18"/>
              </w:rPr>
              <w:t>linear/parabolic</w:t>
            </w:r>
          </w:p>
        </w:tc>
      </w:tr>
      <w:tr>
        <w:tc>
          <w:tcPr>
            <w:tcW w:type="dxa" w:w="2197"/>
          </w:tcPr>
          <w:p>
            <w:r>
              <w:rPr>
                <w:sz w:val="18"/>
              </w:rPr>
              <w:t>`--output`</w:t>
            </w:r>
          </w:p>
        </w:tc>
        <w:tc>
          <w:tcPr>
            <w:tcW w:type="dxa" w:w="2197"/>
          </w:tcPr>
          <w:p>
            <w:r>
              <w:rPr>
                <w:sz w:val="18"/>
              </w:rPr>
              <w:t>Output file</w:t>
            </w:r>
          </w:p>
        </w:tc>
        <w:tc>
          <w:tcPr>
            <w:tcW w:type="dxa" w:w="2197"/>
          </w:tcPr>
          <w:p>
            <w:r>
              <w:rPr>
                <w:sz w:val="18"/>
              </w:rPr>
              <w:t>model.feb</w:t>
            </w:r>
          </w:p>
        </w:tc>
        <w:tc>
          <w:tcPr>
            <w:tcW w:type="dxa" w:w="2197"/>
          </w:tcPr>
          <w:p>
            <w:r>
              <w:rPr>
                <w:sz w:val="18"/>
              </w:rPr>
              <w:t>—</w:t>
            </w:r>
          </w:p>
        </w:tc>
      </w:tr>
    </w:tbl>
    <w:p>
      <w:pPr>
        <w:pStyle w:val="Heading2"/>
      </w:pPr>
      <w:r>
        <w:t>B.3 Parametric Campaign: `run_parametric_campaign.py`</w:t>
      </w:r>
    </w:p>
    <w:p>
      <w:pPr>
        <w:pStyle w:val="Heading3"/>
      </w:pPr>
      <w:r>
        <w:t>Experimental Design (OAT Factorial)</w:t>
      </w:r>
    </w:p>
    <w:p>
      <w:r/>
      <w:r>
        <w:rPr>
          <w:b/>
        </w:rPr>
        <w:t>Material variations (20 configurations):</w:t>
      </w:r>
      <w:r/>
    </w:p>
    <w:p>
      <w:pPr>
        <w:pStyle w:val="ListBullet"/>
      </w:pPr>
      <w:r>
        <w:t>c: 0.01 / 0.02 / 0.03 / 0.05 / 0.07 / 0.10 MPa (6 values)</w:t>
      </w:r>
    </w:p>
    <w:p>
      <w:pPr>
        <w:pStyle w:val="ListBullet"/>
      </w:pPr>
      <w:r>
        <w:t>k₁: 0.05 / 0.10 / 0.22 / 0.30 / 0.50 MPa (5 values)</w:t>
      </w:r>
    </w:p>
    <w:p>
      <w:pPr>
        <w:pStyle w:val="ListBullet"/>
      </w:pPr>
      <w:r>
        <w:t>k₂: 10 / 50 / 100 / 200 / 500 (5 values)</w:t>
      </w:r>
    </w:p>
    <w:p>
      <w:pPr>
        <w:pStyle w:val="ListBullet"/>
      </w:pPr>
      <w:r>
        <w:t>κ: 0.00 / 0.05 / 0.09 / 0.15 / 0.333 (5 values, including isotropic)</w:t>
      </w:r>
    </w:p>
    <w:p>
      <w:r/>
      <w:r>
        <w:rPr>
          <w:b/>
        </w:rPr>
        <w:t>Geometric variations (34 configurations):</w:t>
      </w:r>
      <w:r/>
    </w:p>
    <w:p>
      <w:pPr>
        <w:pStyle w:val="ListBullet"/>
      </w:pPr>
      <w:r>
        <w:t>Arcs: 90° / 120° / 160° / 210° / 255° / 290° / 320° / 360°</w:t>
      </w:r>
    </w:p>
    <w:p>
      <w:pPr>
        <w:pStyle w:val="ListBullet"/>
      </w:pPr>
      <w:r>
        <w:t>Asymmetric: 150→300 / 200→300 / 300→150 / 300→200 μm, linear and parabolic</w:t>
      </w:r>
    </w:p>
    <w:p>
      <w:pPr>
        <w:pStyle w:val="ListBullet"/>
      </w:pPr>
      <w:r>
        <w:t>Pachymetry: 400 / 500 / 600 μm</w:t>
      </w:r>
    </w:p>
    <w:p>
      <w:r/>
      <w:r>
        <w:rPr>
          <w:b/>
        </w:rPr>
        <w:t>Total: 377 simulations converged</w:t>
      </w:r>
      <w:r>
        <w:t xml:space="preserve"> from 680 attempted (convergence rate: 55.4%).</w:t>
      </w:r>
    </w:p>
    <w:p>
      <w:pPr>
        <w:pStyle w:val="CodeBlock"/>
      </w:pPr>
      <w:r>
        <w:t>python run_parametric_campaign.py --jobs 4 # Full campaign</w:t>
      </w:r>
    </w:p>
    <w:p>
      <w:pPr>
        <w:pStyle w:val="CodeBlock"/>
      </w:pPr>
      <w:r>
        <w:t>python run_parametric_campaign.py --subset geometry --jobs 2 # Geometry only</w:t>
      </w:r>
    </w:p>
    <w:p>
      <w:pPr>
        <w:pStyle w:val="CodeBlock"/>
      </w:pPr>
      <w:r>
        <w:t>python run_parametric_campaign.py --dry-run # Generate .feb without executing</w:t>
      </w:r>
    </w:p>
    <w:p>
      <w:pPr>
        <w:pStyle w:val="Heading2"/>
      </w:pPr>
      <w:r>
        <w:t>B.4 Vector Extraction: `extract_parametric_vectors.py`</w:t>
      </w:r>
    </w:p>
    <w:p>
      <w:pPr>
        <w:pStyle w:val="Heading3"/>
      </w:pPr>
      <w:r>
        <w:t>Extracted Metrics</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Metric</w:t>
            </w:r>
          </w:p>
        </w:tc>
        <w:tc>
          <w:tcPr>
            <w:tcW w:type="dxa" w:w="2197"/>
          </w:tcPr>
          <w:p>
            <w:r>
              <w:rPr>
                <w:b/>
                <w:sz w:val="18"/>
              </w:rPr>
              <w:t>Symbol</w:t>
            </w:r>
          </w:p>
        </w:tc>
        <w:tc>
          <w:tcPr>
            <w:tcW w:type="dxa" w:w="2197"/>
          </w:tcPr>
          <w:p>
            <w:r>
              <w:rPr>
                <w:b/>
                <w:sz w:val="18"/>
              </w:rPr>
              <w:t>Description</w:t>
            </w:r>
          </w:p>
        </w:tc>
        <w:tc>
          <w:tcPr>
            <w:tcW w:type="dxa" w:w="2197"/>
          </w:tcPr>
          <w:p>
            <w:r>
              <w:rPr>
                <w:b/>
                <w:sz w:val="18"/>
              </w:rPr>
              <w:t>AVBC Vector</w:t>
            </w:r>
          </w:p>
        </w:tc>
      </w:tr>
      <w:tr>
        <w:tc>
          <w:tcPr>
            <w:tcW w:type="dxa" w:w="2197"/>
          </w:tcPr>
          <w:p>
            <w:r>
              <w:rPr>
                <w:sz w:val="18"/>
              </w:rPr>
              <w:t>Apical displacement</w:t>
            </w:r>
          </w:p>
        </w:tc>
        <w:tc>
          <w:tcPr>
            <w:tcW w:type="dxa" w:w="2197"/>
          </w:tcPr>
          <w:p>
            <w:r>
              <w:rPr>
                <w:sz w:val="18"/>
              </w:rPr>
              <w:t>δ_apex</w:t>
            </w:r>
          </w:p>
        </w:tc>
        <w:tc>
          <w:tcPr>
            <w:tcW w:type="dxa" w:w="2197"/>
          </w:tcPr>
          <w:p>
            <w:r>
              <w:rPr>
                <w:sz w:val="18"/>
              </w:rPr>
              <w:t>uz displacement at node 1 (apex)</w:t>
            </w:r>
          </w:p>
        </w:tc>
        <w:tc>
          <w:tcPr>
            <w:tcW w:type="dxa" w:w="2197"/>
          </w:tcPr>
          <w:p>
            <w:r>
              <w:rPr>
                <w:sz w:val="18"/>
              </w:rPr>
              <w:t>VR</w:t>
            </w:r>
          </w:p>
        </w:tc>
      </w:tr>
      <w:tr>
        <w:tc>
          <w:tcPr>
            <w:tcW w:type="dxa" w:w="2197"/>
          </w:tcPr>
          <w:p>
            <w:r>
              <w:rPr>
                <w:sz w:val="18"/>
              </w:rPr>
              <w:t>Radial displacement</w:t>
            </w:r>
          </w:p>
        </w:tc>
        <w:tc>
          <w:tcPr>
            <w:tcW w:type="dxa" w:w="2197"/>
          </w:tcPr>
          <w:p>
            <w:r>
              <w:rPr>
                <w:sz w:val="18"/>
              </w:rPr>
              <w:t>δ_ring</w:t>
            </w:r>
          </w:p>
        </w:tc>
        <w:tc>
          <w:tcPr>
            <w:tcW w:type="dxa" w:w="2197"/>
          </w:tcPr>
          <w:p>
            <w:r>
              <w:rPr>
                <w:sz w:val="18"/>
              </w:rPr>
              <w:t>Mean radial displacement at ICRS ring</w:t>
            </w:r>
          </w:p>
        </w:tc>
        <w:tc>
          <w:tcPr>
            <w:tcW w:type="dxa" w:w="2197"/>
          </w:tcPr>
          <w:p>
            <w:r>
              <w:rPr>
                <w:sz w:val="18"/>
              </w:rPr>
              <w:t>VT</w:t>
            </w:r>
          </w:p>
        </w:tc>
      </w:tr>
      <w:tr>
        <w:tc>
          <w:tcPr>
            <w:tcW w:type="dxa" w:w="2197"/>
          </w:tcPr>
          <w:p>
            <w:r>
              <w:rPr>
                <w:sz w:val="18"/>
              </w:rPr>
              <w:t>Keratometric change</w:t>
            </w:r>
          </w:p>
        </w:tc>
        <w:tc>
          <w:tcPr>
            <w:tcW w:type="dxa" w:w="2197"/>
          </w:tcPr>
          <w:p>
            <w:r>
              <w:rPr>
                <w:sz w:val="18"/>
              </w:rPr>
              <w:t>ΔK</w:t>
            </w:r>
          </w:p>
        </w:tc>
        <w:tc>
          <w:tcPr>
            <w:tcW w:type="dxa" w:w="2197"/>
          </w:tcPr>
          <w:p>
            <w:r>
              <w:rPr>
                <w:sz w:val="18"/>
              </w:rPr>
              <w:t>Refractive power change (D)</w:t>
            </w:r>
          </w:p>
        </w:tc>
        <w:tc>
          <w:tcPr>
            <w:tcW w:type="dxa" w:w="2197"/>
          </w:tcPr>
          <w:p>
            <w:r>
              <w:rPr>
                <w:sz w:val="18"/>
              </w:rPr>
              <w:t>VR</w:t>
            </w:r>
          </w:p>
        </w:tc>
      </w:tr>
      <w:tr>
        <w:tc>
          <w:tcPr>
            <w:tcW w:type="dxa" w:w="2197"/>
          </w:tcPr>
          <w:p>
            <w:r>
              <w:rPr>
                <w:sz w:val="18"/>
              </w:rPr>
              <w:t>Circumferential strain</w:t>
            </w:r>
          </w:p>
        </w:tc>
        <w:tc>
          <w:tcPr>
            <w:tcW w:type="dxa" w:w="2197"/>
          </w:tcPr>
          <w:p>
            <w:r>
              <w:rPr>
                <w:sz w:val="18"/>
              </w:rPr>
              <w:t>ε_circ</w:t>
            </w:r>
          </w:p>
        </w:tc>
        <w:tc>
          <w:tcPr>
            <w:tcW w:type="dxa" w:w="2197"/>
          </w:tcPr>
          <w:p>
            <w:r>
              <w:rPr>
                <w:sz w:val="18"/>
              </w:rPr>
              <w:t>Mean tangential strain at ring</w:t>
            </w:r>
          </w:p>
        </w:tc>
        <w:tc>
          <w:tcPr>
            <w:tcW w:type="dxa" w:w="2197"/>
          </w:tcPr>
          <w:p>
            <w:r>
              <w:rPr>
                <w:sz w:val="18"/>
              </w:rPr>
              <w:t>VT</w:t>
            </w:r>
          </w:p>
        </w:tc>
      </w:tr>
      <w:tr>
        <w:tc>
          <w:tcPr>
            <w:tcW w:type="dxa" w:w="2197"/>
          </w:tcPr>
          <w:p>
            <w:r>
              <w:rPr>
                <w:sz w:val="18"/>
              </w:rPr>
              <w:t>Maximum stress</w:t>
            </w:r>
          </w:p>
        </w:tc>
        <w:tc>
          <w:tcPr>
            <w:tcW w:type="dxa" w:w="2197"/>
          </w:tcPr>
          <w:p>
            <w:r>
              <w:rPr>
                <w:sz w:val="18"/>
              </w:rPr>
              <w:t>σ_max</w:t>
            </w:r>
          </w:p>
        </w:tc>
        <w:tc>
          <w:tcPr>
            <w:tcW w:type="dxa" w:w="2197"/>
          </w:tcPr>
          <w:p>
            <w:r>
              <w:rPr>
                <w:sz w:val="18"/>
              </w:rPr>
              <w:t>Maximum von Mises stress (MPa)</w:t>
            </w:r>
          </w:p>
        </w:tc>
        <w:tc>
          <w:tcPr>
            <w:tcW w:type="dxa" w:w="2197"/>
          </w:tcPr>
          <w:p>
            <w:r>
              <w:rPr>
                <w:sz w:val="18"/>
              </w:rPr>
              <w:t>—</w:t>
            </w:r>
          </w:p>
        </w:tc>
      </w:tr>
      <w:tr>
        <w:tc>
          <w:tcPr>
            <w:tcW w:type="dxa" w:w="2197"/>
          </w:tcPr>
          <w:p>
            <w:r>
              <w:rPr>
                <w:sz w:val="18"/>
              </w:rPr>
              <w:t>Asymmetry index</w:t>
            </w:r>
          </w:p>
        </w:tc>
        <w:tc>
          <w:tcPr>
            <w:tcW w:type="dxa" w:w="2197"/>
          </w:tcPr>
          <w:p>
            <w:r>
              <w:rPr>
                <w:sz w:val="18"/>
              </w:rPr>
              <w:t>AI</w:t>
            </w:r>
          </w:p>
        </w:tc>
        <w:tc>
          <w:tcPr>
            <w:tcW w:type="dxa" w:w="2197"/>
          </w:tcPr>
          <w:p>
            <w:r>
              <w:rPr>
                <w:sz w:val="18"/>
              </w:rPr>
              <w:t>Displacement field asymmetry</w:t>
            </w:r>
          </w:p>
        </w:tc>
        <w:tc>
          <w:tcPr>
            <w:tcW w:type="dxa" w:w="2197"/>
          </w:tcPr>
          <w:p>
            <w:r>
              <w:rPr>
                <w:sz w:val="18"/>
              </w:rPr>
              <w:t>Vτ</w:t>
            </w:r>
          </w:p>
        </w:tc>
      </w:tr>
      <w:tr>
        <w:tc>
          <w:tcPr>
            <w:tcW w:type="dxa" w:w="2197"/>
          </w:tcPr>
          <w:p>
            <w:r>
              <w:rPr>
                <w:sz w:val="18"/>
              </w:rPr>
              <w:t>Flattest meridian</w:t>
            </w:r>
          </w:p>
        </w:tc>
        <w:tc>
          <w:tcPr>
            <w:tcW w:type="dxa" w:w="2197"/>
          </w:tcPr>
          <w:p>
            <w:r>
              <w:rPr>
                <w:sz w:val="18"/>
              </w:rPr>
              <w:t>θ_flat</w:t>
            </w:r>
          </w:p>
        </w:tc>
        <w:tc>
          <w:tcPr>
            <w:tcW w:type="dxa" w:w="2197"/>
          </w:tcPr>
          <w:p>
            <w:r>
              <w:rPr>
                <w:sz w:val="18"/>
              </w:rPr>
              <w:t>Direction of maximum flattening (°)</w:t>
            </w:r>
          </w:p>
        </w:tc>
        <w:tc>
          <w:tcPr>
            <w:tcW w:type="dxa" w:w="2197"/>
          </w:tcPr>
          <w:p>
            <w:r>
              <w:rPr>
                <w:sz w:val="18"/>
              </w:rPr>
              <w:t>—</w:t>
            </w:r>
          </w:p>
        </w:tc>
      </w:tr>
      <w:tr>
        <w:tc>
          <w:tcPr>
            <w:tcW w:type="dxa" w:w="2197"/>
          </w:tcPr>
          <w:p>
            <w:r>
              <w:rPr>
                <w:sz w:val="18"/>
              </w:rPr>
              <w:t>Steepest meridian</w:t>
            </w:r>
          </w:p>
        </w:tc>
        <w:tc>
          <w:tcPr>
            <w:tcW w:type="dxa" w:w="2197"/>
          </w:tcPr>
          <w:p>
            <w:r>
              <w:rPr>
                <w:sz w:val="18"/>
              </w:rPr>
              <w:t>θ_steep</w:t>
            </w:r>
          </w:p>
        </w:tc>
        <w:tc>
          <w:tcPr>
            <w:tcW w:type="dxa" w:w="2197"/>
          </w:tcPr>
          <w:p>
            <w:r>
              <w:rPr>
                <w:sz w:val="18"/>
              </w:rPr>
              <w:t>Direction of maximum curvature (°)</w:t>
            </w:r>
          </w:p>
        </w:tc>
        <w:tc>
          <w:tcPr>
            <w:tcW w:type="dxa" w:w="2197"/>
          </w:tcPr>
          <w:p>
            <w:r>
              <w:rPr>
                <w:sz w:val="18"/>
              </w:rPr>
              <w:t>—</w:t>
            </w:r>
          </w:p>
        </w:tc>
      </w:tr>
    </w:tbl>
    <w:p>
      <w:pPr>
        <w:pStyle w:val="Heading3"/>
      </w:pPr>
      <w:r>
        <w:t>Curvature Calculation (ΔK)</w:t>
      </w:r>
    </w:p>
    <w:p>
      <w:r>
        <w:t>Keratometric change is calculated by `calc_curvature.py` by subtracting the initial simulated curvature from the final one. The curvature is extracted by fitting the profile of the central 3 mm of the simulated cornea to a local sphere, utilizing the standard keratometric index (1.3375).</w:t>
      </w:r>
    </w:p>
    <w:p>
      <w:pPr>
        <w:pStyle w:val="Heading2"/>
      </w:pPr>
      <w:r>
        <w:t>B.5 Discrimination Analysis: `analyze_phenotype_discrimination.py`</w:t>
      </w:r>
    </w:p>
    <w:p>
      <w:pPr>
        <w:pStyle w:val="Heading3"/>
      </w:pPr>
      <w:r>
        <w:t>Canonical Results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Parameter</w:t>
            </w:r>
          </w:p>
        </w:tc>
        <w:tc>
          <w:tcPr>
            <w:tcW w:type="dxa" w:w="2929"/>
          </w:tcPr>
          <w:p>
            <w:r>
              <w:rPr>
                <w:b/>
                <w:sz w:val="18"/>
              </w:rPr>
              <w:t>CV of δ_apex</w:t>
            </w:r>
          </w:p>
        </w:tc>
        <w:tc>
          <w:tcPr>
            <w:tcW w:type="dxa" w:w="2929"/>
          </w:tcPr>
          <w:p>
            <w:r>
              <w:rPr>
                <w:b/>
                <w:sz w:val="18"/>
              </w:rPr>
              <w:t>Variance Explained</w:t>
            </w:r>
          </w:p>
        </w:tc>
      </w:tr>
      <w:tr>
        <w:tc>
          <w:tcPr>
            <w:tcW w:type="dxa" w:w="2929"/>
          </w:tcPr>
          <w:p>
            <w:r>
              <w:rPr>
                <w:sz w:val="18"/>
              </w:rPr>
              <w:t>c (matrix)</w:t>
            </w:r>
          </w:p>
        </w:tc>
        <w:tc>
          <w:tcPr>
            <w:tcW w:type="dxa" w:w="2929"/>
          </w:tcPr>
          <w:p>
            <w:r>
              <w:rPr>
                <w:sz w:val="18"/>
              </w:rPr>
              <w:t>**0.671**</w:t>
            </w:r>
          </w:p>
        </w:tc>
        <w:tc>
          <w:tcPr>
            <w:tcW w:type="dxa" w:w="2929"/>
          </w:tcPr>
          <w:p>
            <w:r>
              <w:rPr>
                <w:sz w:val="18"/>
              </w:rPr>
              <w:t>**98.9%**</w:t>
            </w:r>
          </w:p>
        </w:tc>
      </w:tr>
      <w:tr>
        <w:tc>
          <w:tcPr>
            <w:tcW w:type="dxa" w:w="2929"/>
          </w:tcPr>
          <w:p>
            <w:r>
              <w:rPr>
                <w:sz w:val="18"/>
              </w:rPr>
              <w:t>κ (dispersion)</w:t>
            </w:r>
          </w:p>
        </w:tc>
        <w:tc>
          <w:tcPr>
            <w:tcW w:type="dxa" w:w="2929"/>
          </w:tcPr>
          <w:p>
            <w:r>
              <w:rPr>
                <w:sz w:val="18"/>
              </w:rPr>
              <w:t>0.011</w:t>
            </w:r>
          </w:p>
        </w:tc>
        <w:tc>
          <w:tcPr>
            <w:tcW w:type="dxa" w:w="2929"/>
          </w:tcPr>
          <w:p>
            <w:r>
              <w:rPr>
                <w:sz w:val="18"/>
              </w:rPr>
              <w:t>1.1%</w:t>
            </w:r>
          </w:p>
        </w:tc>
      </w:tr>
      <w:tr>
        <w:tc>
          <w:tcPr>
            <w:tcW w:type="dxa" w:w="2929"/>
          </w:tcPr>
          <w:p>
            <w:r>
              <w:rPr>
                <w:sz w:val="18"/>
              </w:rPr>
              <w:t>k₁ (fibers)</w:t>
            </w:r>
          </w:p>
        </w:tc>
        <w:tc>
          <w:tcPr>
            <w:tcW w:type="dxa" w:w="2929"/>
          </w:tcPr>
          <w:p>
            <w:r>
              <w:rPr>
                <w:sz w:val="18"/>
              </w:rPr>
              <w:t>0.000</w:t>
            </w:r>
          </w:p>
        </w:tc>
        <w:tc>
          <w:tcPr>
            <w:tcW w:type="dxa" w:w="2929"/>
          </w:tcPr>
          <w:p>
            <w:r>
              <w:rPr>
                <w:sz w:val="18"/>
              </w:rPr>
              <w:t>&lt; 0.02%</w:t>
            </w:r>
          </w:p>
        </w:tc>
      </w:tr>
      <w:tr>
        <w:tc>
          <w:tcPr>
            <w:tcW w:type="dxa" w:w="2929"/>
          </w:tcPr>
          <w:p>
            <w:r>
              <w:rPr>
                <w:sz w:val="18"/>
              </w:rPr>
              <w:t>k₂ (stiffening)</w:t>
            </w:r>
          </w:p>
        </w:tc>
        <w:tc>
          <w:tcPr>
            <w:tcW w:type="dxa" w:w="2929"/>
          </w:tcPr>
          <w:p>
            <w:r>
              <w:rPr>
                <w:sz w:val="18"/>
              </w:rPr>
              <w:t>0.000</w:t>
            </w:r>
          </w:p>
        </w:tc>
        <w:tc>
          <w:tcPr>
            <w:tcW w:type="dxa" w:w="2929"/>
          </w:tcPr>
          <w:p>
            <w:r>
              <w:rPr>
                <w:sz w:val="18"/>
              </w:rPr>
              <w:t>0.0%</w:t>
            </w:r>
          </w:p>
        </w:tc>
      </w:tr>
    </w:tbl>
    <w:p>
      <w:pPr>
        <w:pStyle w:val="Heading2"/>
      </w:pPr>
      <w:r>
        <w:t>B.6 Software Requirements</w:t>
      </w:r>
    </w:p>
    <w:tbl>
      <w:tblPr>
        <w:tblStyle w:val="LightGrid-Accent1"/>
        <w:tblW w:type="auto" w:w="0"/>
        <w:tblLook w:firstColumn="1" w:firstRow="1" w:lastColumn="0" w:lastRow="0" w:noHBand="0" w:noVBand="1" w:val="04A0"/>
      </w:tblPr>
      <w:tblGrid>
        <w:gridCol w:w="2929"/>
        <w:gridCol w:w="2929"/>
        <w:gridCol w:w="2929"/>
      </w:tblGrid>
      <w:tr>
        <w:tc>
          <w:tcPr>
            <w:tcW w:type="dxa" w:w="2929"/>
          </w:tcPr>
          <w:p>
            <w:r>
              <w:rPr>
                <w:b/>
                <w:sz w:val="18"/>
              </w:rPr>
              <w:t>Component</w:t>
            </w:r>
          </w:p>
        </w:tc>
        <w:tc>
          <w:tcPr>
            <w:tcW w:type="dxa" w:w="2929"/>
          </w:tcPr>
          <w:p>
            <w:r>
              <w:rPr>
                <w:b/>
                <w:sz w:val="18"/>
              </w:rPr>
              <w:t>Version</w:t>
            </w:r>
          </w:p>
        </w:tc>
        <w:tc>
          <w:tcPr>
            <w:tcW w:type="dxa" w:w="2929"/>
          </w:tcPr>
          <w:p>
            <w:r>
              <w:rPr>
                <w:b/>
                <w:sz w:val="18"/>
              </w:rPr>
              <w:t>Source</w:t>
            </w:r>
          </w:p>
        </w:tc>
      </w:tr>
      <w:tr>
        <w:tc>
          <w:tcPr>
            <w:tcW w:type="dxa" w:w="2929"/>
          </w:tcPr>
          <w:p>
            <w:r>
              <w:rPr>
                <w:sz w:val="18"/>
              </w:rPr>
              <w:t>FEBio</w:t>
            </w:r>
          </w:p>
        </w:tc>
        <w:tc>
          <w:tcPr>
            <w:tcW w:type="dxa" w:w="2929"/>
          </w:tcPr>
          <w:p>
            <w:r>
              <w:rPr>
                <w:sz w:val="18"/>
              </w:rPr>
              <w:t>4.12</w:t>
            </w:r>
          </w:p>
        </w:tc>
        <w:tc>
          <w:tcPr>
            <w:tcW w:type="dxa" w:w="2929"/>
          </w:tcPr>
          <w:p>
            <w:r>
              <w:rPr>
                <w:sz w:val="18"/>
              </w:rPr>
              <w:t>febio.org</w:t>
            </w:r>
          </w:p>
        </w:tc>
      </w:tr>
      <w:tr>
        <w:tc>
          <w:tcPr>
            <w:tcW w:type="dxa" w:w="2929"/>
          </w:tcPr>
          <w:p>
            <w:r>
              <w:rPr>
                <w:sz w:val="18"/>
              </w:rPr>
              <w:t>Python</w:t>
            </w:r>
          </w:p>
        </w:tc>
        <w:tc>
          <w:tcPr>
            <w:tcW w:type="dxa" w:w="2929"/>
          </w:tcPr>
          <w:p>
            <w:r>
              <w:rPr>
                <w:sz w:val="18"/>
              </w:rPr>
              <w:t>≥ 3.8</w:t>
            </w:r>
          </w:p>
        </w:tc>
        <w:tc>
          <w:tcPr>
            <w:tcW w:type="dxa" w:w="2929"/>
          </w:tcPr>
          <w:p>
            <w:r>
              <w:rPr>
                <w:sz w:val="18"/>
              </w:rPr>
              <w:t>—</w:t>
            </w:r>
          </w:p>
        </w:tc>
      </w:tr>
      <w:tr>
        <w:tc>
          <w:tcPr>
            <w:tcW w:type="dxa" w:w="2929"/>
          </w:tcPr>
          <w:p>
            <w:r>
              <w:rPr>
                <w:sz w:val="18"/>
              </w:rPr>
              <w:t>NumPy</w:t>
            </w:r>
          </w:p>
        </w:tc>
        <w:tc>
          <w:tcPr>
            <w:tcW w:type="dxa" w:w="2929"/>
          </w:tcPr>
          <w:p>
            <w:r>
              <w:rPr>
                <w:sz w:val="18"/>
              </w:rPr>
              <w:t>≥ 1.20</w:t>
            </w:r>
          </w:p>
        </w:tc>
        <w:tc>
          <w:tcPr>
            <w:tcW w:type="dxa" w:w="2929"/>
          </w:tcPr>
          <w:p>
            <w:r>
              <w:rPr>
                <w:sz w:val="18"/>
              </w:rPr>
              <w:t>`pip install numpy`</w:t>
            </w:r>
          </w:p>
        </w:tc>
      </w:tr>
      <w:tr>
        <w:tc>
          <w:tcPr>
            <w:tcW w:type="dxa" w:w="2929"/>
          </w:tcPr>
          <w:p>
            <w:r>
              <w:rPr>
                <w:sz w:val="18"/>
              </w:rPr>
              <w:t>Pandas</w:t>
            </w:r>
          </w:p>
        </w:tc>
        <w:tc>
          <w:tcPr>
            <w:tcW w:type="dxa" w:w="2929"/>
          </w:tcPr>
          <w:p>
            <w:r>
              <w:rPr>
                <w:sz w:val="18"/>
              </w:rPr>
              <w:t>≥ 1.3</w:t>
            </w:r>
          </w:p>
        </w:tc>
        <w:tc>
          <w:tcPr>
            <w:tcW w:type="dxa" w:w="2929"/>
          </w:tcPr>
          <w:p>
            <w:r>
              <w:rPr>
                <w:sz w:val="18"/>
              </w:rPr>
              <w:t>`pip install pandas`</w:t>
            </w:r>
          </w:p>
        </w:tc>
      </w:tr>
      <w:tr>
        <w:tc>
          <w:tcPr>
            <w:tcW w:type="dxa" w:w="2929"/>
          </w:tcPr>
          <w:p>
            <w:r>
              <w:rPr>
                <w:sz w:val="18"/>
              </w:rPr>
              <w:t>SciPy</w:t>
            </w:r>
          </w:p>
        </w:tc>
        <w:tc>
          <w:tcPr>
            <w:tcW w:type="dxa" w:w="2929"/>
          </w:tcPr>
          <w:p>
            <w:r>
              <w:rPr>
                <w:sz w:val="18"/>
              </w:rPr>
              <w:t>≥ 1.7</w:t>
            </w:r>
          </w:p>
        </w:tc>
        <w:tc>
          <w:tcPr>
            <w:tcW w:type="dxa" w:w="2929"/>
          </w:tcPr>
          <w:p>
            <w:r>
              <w:rPr>
                <w:sz w:val="18"/>
              </w:rPr>
              <w:t>`pip install scipy`</w:t>
            </w:r>
          </w:p>
        </w:tc>
      </w:tr>
    </w:tbl>
    <w:p>
      <w:pPr>
        <w:pStyle w:val="Heading3"/>
      </w:pPr>
      <w:r>
        <w:t>Full Pipeline Execution</w:t>
      </w:r>
    </w:p>
    <w:p>
      <w:pPr>
        <w:pStyle w:val="CodeBlock"/>
      </w:pPr>
      <w:r>
        <w:t>python run_parametric_campaign.py --dry-run --jobs 4 # Generate models</w:t>
      </w:r>
    </w:p>
    <w:p>
      <w:pPr>
        <w:pStyle w:val="CodeBlock"/>
      </w:pPr>
      <w:r>
        <w:t>python run_parametric_campaign.py --jobs 4 # Execute campaign</w:t>
      </w:r>
    </w:p>
    <w:p>
      <w:pPr>
        <w:pStyle w:val="CodeBlock"/>
      </w:pPr>
      <w:r>
        <w:t>python extract_parametric_vectors.py --campaign results/campaign_summary.json</w:t>
      </w:r>
    </w:p>
    <w:p>
      <w:pPr>
        <w:pStyle w:val="CodeBlock"/>
      </w:pPr>
      <w:r>
        <w:t>python analyze_phenotype_discrimination.py</w:t>
      </w:r>
    </w:p>
    <w:p>
      <w:pPr>
        <w:pStyle w:val="Heading2"/>
      </w:pPr>
      <w:r>
        <w:t>B.7 Reproducibility</w:t>
      </w:r>
    </w:p>
    <w:p>
      <w:r>
        <w:t>All input files (`.feb`), binary outputs (`.xplt`), solver logs, and data extractions are versioned. Scripts are deterministic: given identical input parameters, the same `.feb` file is generated byte-for-byte. Random seed is fixed at `seed=42`.</w:t>
      </w:r>
    </w:p>
    <w:p>
      <w:r>
        <w:t>&lt;!-- GPT revision applied --&gt;</w:t>
      </w:r>
    </w:p>
    <w:p>
      <w:pPr>
        <w:pStyle w:val="Heading1"/>
      </w:pPr>
      <w:r>
        <w:t>Appendix C — AVBC Terminology Glossary</w:t>
      </w:r>
    </w:p>
    <w:p>
      <w:pPr>
        <w:pStyle w:val="Heading2"/>
      </w:pPr>
      <w:r>
        <w:t>Biomechanical Terms</w:t>
      </w:r>
    </w:p>
    <w:p>
      <w:r/>
      <w:r>
        <w:rPr>
          <w:b/>
        </w:rPr>
        <w:t>Flattening</w:t>
      </w:r>
      <w:r>
        <w:t xml:space="preserve"> (</w:t>
      </w:r>
      <w:r>
        <w:rPr>
          <w:i/>
        </w:rPr>
        <w:t>Aplanamento</w:t>
      </w:r>
      <w:r>
        <w:t>)</w:t>
      </w:r>
    </w:p>
    <w:p>
      <w:r>
        <w:t>Reduction of central corneal curvature, measured as decrease in K-steep or K-mean. In the AVBC framework, flattening is mediated by the VR vector and controlled by total implant volume (thickness × arc).</w:t>
      </w:r>
    </w:p>
    <w:p>
      <w:r/>
      <w:r>
        <w:rPr>
          <w:b/>
        </w:rPr>
        <w:t>Anisotropy</w:t>
      </w:r>
      <w:r/>
    </w:p>
    <w:p>
      <w:r>
        <w:t>Material property where mechanical behavior varies with direction. The corneal stroma is anisotropic: stiffer along nasal-temporal and superior-inferior meridians (cardinal fibers) than in oblique directions.</w:t>
      </w:r>
    </w:p>
    <w:p>
      <w:r/>
      <w:r>
        <w:rPr>
          <w:b/>
        </w:rPr>
        <w:t>AVBC</w:t>
      </w:r>
      <w:r>
        <w:t xml:space="preserve"> — Corneal Biomechanical Vector Analysis</w:t>
      </w:r>
    </w:p>
    <w:p>
      <w:r>
        <w:t>Surgical planning framework for ICRS that decomposes the biomechanical ring effect into three independent vectors (VR, VT, Vτ), replacing empirical nomogram-based selection.</w:t>
      </w:r>
    </w:p>
    <w:p>
      <w:r/>
      <w:r>
        <w:rPr>
          <w:b/>
        </w:rPr>
        <w:t>Hoop restriction</w:t>
      </w:r>
      <w:r>
        <w:t xml:space="preserve"> (</w:t>
      </w:r>
      <w:r>
        <w:rPr>
          <w:i/>
        </w:rPr>
        <w:t>Cintagem</w:t>
      </w:r>
      <w:r>
        <w:t>)</w:t>
      </w:r>
    </w:p>
    <w:p>
      <w:r>
        <w:t>Circumferential restriction effect exerted by the ICRS on the peripheral stroma. Analogous to a barrel hoop: prevents radial expansion under IOP. Governs the VT vector and is controlled by arc length.</w:t>
      </w:r>
    </w:p>
    <w:p>
      <w:r/>
      <w:r>
        <w:rPr>
          <w:b/>
        </w:rPr>
        <w:t>CXL</w:t>
      </w:r>
      <w:r>
        <w:t xml:space="preserve"> — Corneal Collagen Crosslinking</w:t>
      </w:r>
    </w:p>
    <w:p>
      <w:r>
        <w:t>Procedure that reinforces interfibrillar collagen cross-links using riboflavin and UVA radiation. Increases the HGO model parameter k₁ (fibrillar stiffness).</w:t>
      </w:r>
    </w:p>
    <w:p>
      <w:r/>
      <w:r>
        <w:rPr>
          <w:b/>
        </w:rPr>
        <w:t>Apical displacement</w:t>
      </w:r>
      <w:r>
        <w:t xml:space="preserve"> (δ_apex)</w:t>
      </w:r>
    </w:p>
    <w:p>
      <w:r>
        <w:t>Vertical displacement of the corneal apex under intraocular pressure. Primary deformation metric in FEM simulations. Canonical baseline value: 360.9 μm (without ring).</w:t>
      </w:r>
    </w:p>
    <w:p>
      <w:r/>
      <w:r>
        <w:rPr>
          <w:b/>
        </w:rPr>
        <w:t>Mechanical Neutral Axis (MNA)</w:t>
      </w:r>
      <w:r>
        <w:t xml:space="preserve"> (</w:t>
      </w:r>
      <w:r>
        <w:rPr>
          <w:i/>
        </w:rPr>
        <w:t>Eixo Neutro Mecânico, ENM</w:t>
      </w:r>
      <w:r>
        <w:t>)</w:t>
      </w:r>
    </w:p>
    <w:p>
      <w:r>
        <w:t>Axis dividing the cornea into two halves with approximately equal biomechanical properties, determined by posterior elevation and minimum thickness. Diverges from the steepest curvature axis (K-steep) in up to 40% of cases. ICRS should be positioned relative to the MNA, not K-steep.</w:t>
      </w:r>
    </w:p>
    <w:p>
      <w:r/>
      <w:r>
        <w:rPr>
          <w:b/>
        </w:rPr>
        <w:t>Volumetric School</w:t>
      </w:r>
      <w:r>
        <w:t xml:space="preserve"> (</w:t>
      </w:r>
      <w:r>
        <w:rPr>
          <w:i/>
        </w:rPr>
        <w:t>Escola Volumétrica</w:t>
      </w:r>
      <w:r>
        <w:t>)</w:t>
      </w:r>
    </w:p>
    <w:p>
      <w:r>
        <w:t>Paradigm explaining the ICRS effect through volume displacement: the ring occupies physical volume in the incompressible stroma, forcing adjacent tissue to displace radially and anteriorly. Foundation: Kling &amp; Marcos (IOVS, 2013).</w:t>
      </w:r>
    </w:p>
    <w:p>
      <w:r/>
      <w:r>
        <w:rPr>
          <w:b/>
        </w:rPr>
        <w:t>FEM</w:t>
      </w:r>
      <w:r>
        <w:t xml:space="preserve"> — Finite Element Method</w:t>
      </w:r>
    </w:p>
    <w:p>
      <w:r>
        <w:t>Computational technique for solving partial differential equations in complex geometries. In the AVBC context, used to simulate corneal response to ICRS insertion.</w:t>
      </w:r>
    </w:p>
    <w:p>
      <w:r/>
      <w:r>
        <w:rPr>
          <w:b/>
        </w:rPr>
        <w:t>FEBio</w:t>
      </w:r>
      <w:r/>
    </w:p>
    <w:p>
      <w:r>
        <w:t>Open-source finite element software (University of Utah) specialized in biomechanics. Version used: FEBio 4.12. Natively supports HGO constitutive model.</w:t>
      </w:r>
    </w:p>
    <w:p>
      <w:r/>
      <w:r>
        <w:rPr>
          <w:b/>
        </w:rPr>
        <w:t>HGO</w:t>
      </w:r>
      <w:r>
        <w:t xml:space="preserve"> — Holzapfel–Gasser–Ogden Model</w:t>
      </w:r>
    </w:p>
    <w:p>
      <w:r>
        <w:t>Anisotropic hyperelastic constitutive model for fiber-reinforced materials. Decomposes strain energy into isotropic matrix contribution (c) and anisotropic fiber contributions (k₁, k₂, κ). Reference: Holzapfel, Gasser &amp; Ogden (</w:t>
      </w:r>
      <w:r>
        <w:rPr>
          <w:i/>
        </w:rPr>
        <w:t>J Elasticity</w:t>
      </w:r>
      <w:r>
        <w:t>, 2000).</w:t>
      </w:r>
    </w:p>
    <w:p>
      <w:r/>
      <w:r>
        <w:rPr>
          <w:b/>
        </w:rPr>
        <w:t>Hoop stress</w:t>
      </w:r>
      <w:r>
        <w:t xml:space="preserve"> — Tangential stress</w:t>
      </w:r>
    </w:p>
    <w:p>
      <w:r>
        <w:t>Circumferential stress in a pressurized shell (like the cornea under IOP). Governs the tendency for radial expansion. ICRS interrupts this stress by creating a mechanical barrier (see Hoop restriction).</w:t>
      </w:r>
    </w:p>
    <w:p>
      <w:r/>
      <w:r>
        <w:rPr>
          <w:b/>
        </w:rPr>
        <w:t>ICRS</w:t>
      </w:r>
      <w:r>
        <w:t xml:space="preserve"> — Intrastromal Corneal Ring Segment</w:t>
      </w:r>
    </w:p>
    <w:p>
      <w:r>
        <w:t>PMMA implant inserted into the corneal stroma to modify curvature, astigmatism, and aberrations. Commercial types: Intacs, Ferrara Ring, Keraring.</w:t>
      </w:r>
    </w:p>
    <w:p>
      <w:r/>
      <w:r>
        <w:rPr>
          <w:b/>
        </w:rPr>
        <w:t>Incompressibility</w:t>
      </w:r>
      <w:r/>
    </w:p>
    <w:p>
      <w:r>
        <w:t>Material property of resistance to volume change. The corneal stroma (78% water) is nearly incompressible: when the ICRS occupies volume, adjacent tissue must displace, not compress.</w:t>
      </w:r>
    </w:p>
    <w:p>
      <w:pPr>
        <w:pStyle w:val="Heading2"/>
      </w:pPr>
      <w:r>
        <w:t>HGO Constitutive Parameters</w:t>
      </w:r>
    </w:p>
    <w:tbl>
      <w:tblPr>
        <w:tblStyle w:val="LightGrid-Accent1"/>
        <w:tblW w:type="auto" w:w="0"/>
        <w:tblLook w:firstColumn="1" w:firstRow="1" w:lastColumn="0" w:lastRow="0" w:noHBand="0" w:noVBand="1" w:val="04A0"/>
      </w:tblPr>
      <w:tblGrid>
        <w:gridCol w:w="2197"/>
        <w:gridCol w:w="2197"/>
        <w:gridCol w:w="2197"/>
        <w:gridCol w:w="2197"/>
      </w:tblGrid>
      <w:tr>
        <w:tc>
          <w:tcPr>
            <w:tcW w:type="dxa" w:w="2197"/>
          </w:tcPr>
          <w:p>
            <w:r>
              <w:rPr>
                <w:b/>
                <w:sz w:val="18"/>
              </w:rPr>
              <w:t>Parameter</w:t>
            </w:r>
          </w:p>
        </w:tc>
        <w:tc>
          <w:tcPr>
            <w:tcW w:type="dxa" w:w="2197"/>
          </w:tcPr>
          <w:p>
            <w:r>
              <w:rPr>
                <w:b/>
                <w:sz w:val="18"/>
              </w:rPr>
              <w:t>Symbol</w:t>
            </w:r>
          </w:p>
        </w:tc>
        <w:tc>
          <w:tcPr>
            <w:tcW w:type="dxa" w:w="2197"/>
          </w:tcPr>
          <w:p>
            <w:r>
              <w:rPr>
                <w:b/>
                <w:sz w:val="18"/>
              </w:rPr>
              <w:t>Canonical Value</w:t>
            </w:r>
          </w:p>
        </w:tc>
        <w:tc>
          <w:tcPr>
            <w:tcW w:type="dxa" w:w="2197"/>
          </w:tcPr>
          <w:p>
            <w:r>
              <w:rPr>
                <w:b/>
                <w:sz w:val="18"/>
              </w:rPr>
              <w:t>Clinical Meaning</w:t>
            </w:r>
          </w:p>
        </w:tc>
      </w:tr>
      <w:tr>
        <w:tc>
          <w:tcPr>
            <w:tcW w:type="dxa" w:w="2197"/>
          </w:tcPr>
          <w:p>
            <w:r>
              <w:rPr>
                <w:sz w:val="18"/>
              </w:rPr>
              <w:t>Matrix stiffness</w:t>
            </w:r>
          </w:p>
        </w:tc>
        <w:tc>
          <w:tcPr>
            <w:tcW w:type="dxa" w:w="2197"/>
          </w:tcPr>
          <w:p>
            <w:r>
              <w:rPr>
                <w:sz w:val="18"/>
              </w:rPr>
              <w:t>c</w:t>
            </w:r>
          </w:p>
        </w:tc>
        <w:tc>
          <w:tcPr>
            <w:tcW w:type="dxa" w:w="2197"/>
          </w:tcPr>
          <w:p>
            <w:r>
              <w:rPr>
                <w:sz w:val="18"/>
              </w:rPr>
              <w:t>0.05 MPa</w:t>
            </w:r>
          </w:p>
        </w:tc>
        <w:tc>
          <w:tcPr>
            <w:tcW w:type="dxa" w:w="2197"/>
          </w:tcPr>
          <w:p>
            <w:r>
              <w:rPr>
                <w:sz w:val="18"/>
              </w:rPr>
              <w:t>Proteoglycan degradation → keratoconus. **Dominant parameter.**</w:t>
            </w:r>
          </w:p>
        </w:tc>
      </w:tr>
      <w:tr>
        <w:tc>
          <w:tcPr>
            <w:tcW w:type="dxa" w:w="2197"/>
          </w:tcPr>
          <w:p>
            <w:r>
              <w:rPr>
                <w:sz w:val="18"/>
              </w:rPr>
              <w:t>Fibrillar stiffness</w:t>
            </w:r>
          </w:p>
        </w:tc>
        <w:tc>
          <w:tcPr>
            <w:tcW w:type="dxa" w:w="2197"/>
          </w:tcPr>
          <w:p>
            <w:r>
              <w:rPr>
                <w:sz w:val="18"/>
              </w:rPr>
              <w:t>k₁</w:t>
            </w:r>
          </w:p>
        </w:tc>
        <w:tc>
          <w:tcPr>
            <w:tcW w:type="dxa" w:w="2197"/>
          </w:tcPr>
          <w:p>
            <w:r>
              <w:rPr>
                <w:sz w:val="18"/>
              </w:rPr>
              <w:t>0.22 MPa</w:t>
            </w:r>
          </w:p>
        </w:tc>
        <w:tc>
          <w:tcPr>
            <w:tcW w:type="dxa" w:w="2197"/>
          </w:tcPr>
          <w:p>
            <w:r>
              <w:rPr>
                <w:sz w:val="18"/>
              </w:rPr>
              <w:t>Collagen weakening; CXL increases k₁.</w:t>
            </w:r>
          </w:p>
        </w:tc>
      </w:tr>
      <w:tr>
        <w:tc>
          <w:tcPr>
            <w:tcW w:type="dxa" w:w="2197"/>
          </w:tcPr>
          <w:p>
            <w:r>
              <w:rPr>
                <w:sz w:val="18"/>
              </w:rPr>
              <w:t>Exponential stiffening</w:t>
            </w:r>
          </w:p>
        </w:tc>
        <w:tc>
          <w:tcPr>
            <w:tcW w:type="dxa" w:w="2197"/>
          </w:tcPr>
          <w:p>
            <w:r>
              <w:rPr>
                <w:sz w:val="18"/>
              </w:rPr>
              <w:t>k₂</w:t>
            </w:r>
          </w:p>
        </w:tc>
        <w:tc>
          <w:tcPr>
            <w:tcW w:type="dxa" w:w="2197"/>
          </w:tcPr>
          <w:p>
            <w:r>
              <w:rPr>
                <w:sz w:val="18"/>
              </w:rPr>
              <w:t>100</w:t>
            </w:r>
          </w:p>
        </w:tc>
        <w:tc>
          <w:tcPr>
            <w:tcW w:type="dxa" w:w="2197"/>
          </w:tcPr>
          <w:p>
            <w:r>
              <w:rPr>
                <w:sz w:val="18"/>
              </w:rPr>
              <w:t>Nonlinear fiber response to large deformations.</w:t>
            </w:r>
          </w:p>
        </w:tc>
      </w:tr>
      <w:tr>
        <w:tc>
          <w:tcPr>
            <w:tcW w:type="dxa" w:w="2197"/>
          </w:tcPr>
          <w:p>
            <w:r>
              <w:rPr>
                <w:sz w:val="18"/>
              </w:rPr>
              <w:t>Fiber dispersion</w:t>
            </w:r>
          </w:p>
        </w:tc>
        <w:tc>
          <w:tcPr>
            <w:tcW w:type="dxa" w:w="2197"/>
          </w:tcPr>
          <w:p>
            <w:r>
              <w:rPr>
                <w:sz w:val="18"/>
              </w:rPr>
              <w:t>κ</w:t>
            </w:r>
          </w:p>
        </w:tc>
        <w:tc>
          <w:tcPr>
            <w:tcW w:type="dxa" w:w="2197"/>
          </w:tcPr>
          <w:p>
            <w:r>
              <w:rPr>
                <w:sz w:val="18"/>
              </w:rPr>
              <w:t>0.09</w:t>
            </w:r>
          </w:p>
        </w:tc>
        <w:tc>
          <w:tcPr>
            <w:tcW w:type="dxa" w:w="2197"/>
          </w:tcPr>
          <w:p>
            <w:r>
              <w:rPr>
                <w:sz w:val="18"/>
              </w:rPr>
              <w:t>Lamellar disorganization; κ → 1/3 = total isotropy.</w:t>
            </w:r>
          </w:p>
        </w:tc>
      </w:tr>
      <w:tr>
        <w:tc>
          <w:tcPr>
            <w:tcW w:type="dxa" w:w="2197"/>
          </w:tcPr>
          <w:p>
            <w:r>
              <w:rPr>
                <w:sz w:val="18"/>
              </w:rPr>
              <w:t>Bulk modulus</w:t>
            </w:r>
          </w:p>
        </w:tc>
        <w:tc>
          <w:tcPr>
            <w:tcW w:type="dxa" w:w="2197"/>
          </w:tcPr>
          <w:p>
            <w:r>
              <w:rPr>
                <w:sz w:val="18"/>
              </w:rPr>
              <w:t>k</w:t>
            </w:r>
          </w:p>
        </w:tc>
        <w:tc>
          <w:tcPr>
            <w:tcW w:type="dxa" w:w="2197"/>
          </w:tcPr>
          <w:p>
            <w:r>
              <w:rPr>
                <w:sz w:val="18"/>
              </w:rPr>
              <w:t>4.76 MPa</w:t>
            </w:r>
          </w:p>
        </w:tc>
        <w:tc>
          <w:tcPr>
            <w:tcW w:type="dxa" w:w="2197"/>
          </w:tcPr>
          <w:p>
            <w:r>
              <w:rPr>
                <w:sz w:val="18"/>
              </w:rPr>
              <w:t>Enforces near-incompressibility.</w:t>
            </w:r>
          </w:p>
        </w:tc>
      </w:tr>
    </w:tbl>
    <w:p>
      <w:pPr>
        <w:pStyle w:val="Heading2"/>
      </w:pPr>
      <w:r>
        <w:t>AVBC Vectors</w:t>
      </w:r>
    </w:p>
    <w:p>
      <w:r/>
      <w:r>
        <w:rPr>
          <w:b/>
        </w:rPr>
        <w:t>VR</w:t>
      </w:r>
      <w:r>
        <w:t xml:space="preserve"> — Radial Displacement Vector</w:t>
      </w:r>
    </w:p>
    <w:p>
      <w:r>
        <w:t>Quantifies the flattening effect. Controlled by ring thickness (injected volume). Insensitive to arc length in partial arcs. FEM range: 19.2–19.9 μm (partial arcs), 125.9 μm (full 360° ring).</w:t>
      </w:r>
    </w:p>
    <w:p>
      <w:r/>
      <w:r>
        <w:rPr>
          <w:b/>
        </w:rPr>
        <w:t>VT</w:t>
      </w:r>
      <w:r>
        <w:t xml:space="preserve"> — Tangential Stress Vector</w:t>
      </w:r>
    </w:p>
    <w:p>
      <w:r>
        <w:t>Quantifies astigmatism redistribution through circumferential belting. Controlled by arc length. Empirical equation: VT = −0.0018 × arc° + 7.79 (R² = 0.94). FEM range: 7.20–7.78 kPa.</w:t>
      </w:r>
    </w:p>
    <w:p>
      <w:r/>
      <w:r>
        <w:rPr>
          <w:b/>
        </w:rPr>
        <w:t>Vτ</w:t>
      </w:r>
      <w:r>
        <w:t xml:space="preserve"> — Asymmetric Torque Vector</w:t>
      </w:r>
    </w:p>
    <w:p>
      <w:r>
        <w:t>Quantifies apex repositioning. Controlled by thickness differential in progressive rings. Numerical zero for symmetric rings. FEM range: 9.31 μN·m (linear progressive) to 18.34 μN·m (parabolic progressive).</w:t>
      </w:r>
    </w:p>
    <w:p>
      <w:pPr>
        <w:pStyle w:val="Heading2"/>
      </w:pPr>
      <w:r>
        <w:t>Trimodal Classification (O/T/B Modules)</w:t>
      </w:r>
    </w:p>
    <w:p>
      <w:r/>
      <w:r>
        <w:rPr>
          <w:b/>
        </w:rPr>
        <w:t>O Module</w:t>
      </w:r>
      <w:r>
        <w:t xml:space="preserve"> — Optical Coherence Assessment</w:t>
      </w:r>
    </w:p>
    <w:p>
      <w:r>
        <w:t>Classifies visual recovery potential: O+ (BCVA ≥ 20/60, coma &lt; 2.5 μm) or O− (BCVA &lt; 20/60 or coma &gt; 3.5 μm).</w:t>
      </w:r>
    </w:p>
    <w:p>
      <w:r/>
      <w:r>
        <w:rPr>
          <w:b/>
        </w:rPr>
        <w:t>T Module</w:t>
      </w:r>
      <w:r>
        <w:t xml:space="preserve"> — Topographic Morphology</w:t>
      </w:r>
    </w:p>
    <w:p>
      <w:r>
        <w:t>Classifies the spatial cone configuration: Central, Crescent (paracentral), Peripheral (decentered), or Global (diffuse).</w:t>
      </w:r>
    </w:p>
    <w:p>
      <w:r/>
      <w:r>
        <w:rPr>
          <w:b/>
        </w:rPr>
        <w:t>B Module</w:t>
      </w:r>
      <w:r>
        <w:t xml:space="preserve"> — Biomechanical Selection</w:t>
      </w:r>
    </w:p>
    <w:p>
      <w:r>
        <w:t>Translates O+T classification into ring prescription using the three vectors. Determines the dominant vector and corresponding parameters.</w:t>
      </w:r>
    </w:p>
    <w:p>
      <w:pPr>
        <w:pStyle w:val="Heading2"/>
      </w:pPr>
      <w:r>
        <w:t>AVBC Correction Indices</w:t>
      </w:r>
    </w:p>
    <w:p>
      <w:r/>
      <w:r>
        <w:rPr>
          <w:b/>
        </w:rPr>
        <w:t>CI_R</w:t>
      </w:r>
      <w:r>
        <w:t xml:space="preserve"> — Radial Correction Index</w:t>
      </w:r>
    </w:p>
    <w:p>
      <w:r>
        <w:t>CI_R = ΔK_observed / ΔK_predicted. Target: 1.0 ± 0.15.</w:t>
      </w:r>
    </w:p>
    <w:p>
      <w:r/>
      <w:r>
        <w:rPr>
          <w:b/>
        </w:rPr>
        <w:t>CI_T</w:t>
      </w:r>
      <w:r>
        <w:t xml:space="preserve"> — Tangential Correction Index</w:t>
      </w:r>
    </w:p>
    <w:p>
      <w:r>
        <w:t>CI_T = ΔCyl_observed / ΔCyl_predicted. Target: 1.0 ± 0.15.</w:t>
      </w:r>
    </w:p>
    <w:p>
      <w:r/>
      <w:r>
        <w:rPr>
          <w:b/>
        </w:rPr>
        <w:t>ACE</w:t>
      </w:r>
      <w:r>
        <w:t xml:space="preserve"> — Axial Coherence Index</w:t>
      </w:r>
    </w:p>
    <w:p>
      <w:r>
        <w:t>ACEmin = minimum angle between steepest curvature axis and MNA. Screening threshold: ACEmin &lt; 28° predicts ≥ 3 lines of gain (AUC 0.82).</w:t>
      </w:r>
    </w:p>
    <w:p>
      <w:pPr>
        <w:pStyle w:val="Heading2"/>
      </w:pPr>
      <w:r>
        <w:t>Acronyms</w:t>
      </w:r>
    </w:p>
    <w:tbl>
      <w:tblPr>
        <w:tblStyle w:val="LightGrid-Accent1"/>
        <w:tblW w:type="auto" w:w="0"/>
        <w:tblLook w:firstColumn="1" w:firstRow="1" w:lastColumn="0" w:lastRow="0" w:noHBand="0" w:noVBand="1" w:val="04A0"/>
      </w:tblPr>
      <w:tblGrid>
        <w:gridCol w:w="4394"/>
        <w:gridCol w:w="4394"/>
      </w:tblGrid>
      <w:tr>
        <w:tc>
          <w:tcPr>
            <w:tcW w:type="dxa" w:w="4394"/>
          </w:tcPr>
          <w:p>
            <w:r>
              <w:rPr>
                <w:b/>
                <w:sz w:val="18"/>
              </w:rPr>
              <w:t>Acronym</w:t>
            </w:r>
          </w:p>
        </w:tc>
        <w:tc>
          <w:tcPr>
            <w:tcW w:type="dxa" w:w="4394"/>
          </w:tcPr>
          <w:p>
            <w:r>
              <w:rPr>
                <w:b/>
                <w:sz w:val="18"/>
              </w:rPr>
              <w:t>Meaning</w:t>
            </w:r>
          </w:p>
        </w:tc>
      </w:tr>
      <w:tr>
        <w:tc>
          <w:tcPr>
            <w:tcW w:type="dxa" w:w="4394"/>
          </w:tcPr>
          <w:p>
            <w:r>
              <w:rPr>
                <w:sz w:val="18"/>
              </w:rPr>
              <w:t>AVBC</w:t>
            </w:r>
          </w:p>
        </w:tc>
        <w:tc>
          <w:tcPr>
            <w:tcW w:type="dxa" w:w="4394"/>
          </w:tcPr>
          <w:p>
            <w:r>
              <w:rPr>
                <w:sz w:val="18"/>
              </w:rPr>
              <w:t>Corneal Biomechanical Vector Analysis</w:t>
            </w:r>
          </w:p>
        </w:tc>
      </w:tr>
      <w:tr>
        <w:tc>
          <w:tcPr>
            <w:tcW w:type="dxa" w:w="4394"/>
          </w:tcPr>
          <w:p>
            <w:r>
              <w:rPr>
                <w:sz w:val="18"/>
              </w:rPr>
              <w:t>AE</w:t>
            </w:r>
          </w:p>
        </w:tc>
        <w:tc>
          <w:tcPr>
            <w:tcW w:type="dxa" w:w="4394"/>
          </w:tcPr>
          <w:p>
            <w:r>
              <w:rPr>
                <w:sz w:val="18"/>
              </w:rPr>
              <w:t>Angle of Error (Alpins)</w:t>
            </w:r>
          </w:p>
        </w:tc>
      </w:tr>
      <w:tr>
        <w:tc>
          <w:tcPr>
            <w:tcW w:type="dxa" w:w="4394"/>
          </w:tcPr>
          <w:p>
            <w:r>
              <w:rPr>
                <w:sz w:val="18"/>
              </w:rPr>
              <w:t>BCVA</w:t>
            </w:r>
          </w:p>
        </w:tc>
        <w:tc>
          <w:tcPr>
            <w:tcW w:type="dxa" w:w="4394"/>
          </w:tcPr>
          <w:p>
            <w:r>
              <w:rPr>
                <w:sz w:val="18"/>
              </w:rPr>
              <w:t>Best Corrected Visual Acuity</w:t>
            </w:r>
          </w:p>
        </w:tc>
      </w:tr>
      <w:tr>
        <w:tc>
          <w:tcPr>
            <w:tcW w:type="dxa" w:w="4394"/>
          </w:tcPr>
          <w:p>
            <w:r>
              <w:rPr>
                <w:sz w:val="18"/>
              </w:rPr>
              <w:t>CI</w:t>
            </w:r>
          </w:p>
        </w:tc>
        <w:tc>
          <w:tcPr>
            <w:tcW w:type="dxa" w:w="4394"/>
          </w:tcPr>
          <w:p>
            <w:r>
              <w:rPr>
                <w:sz w:val="18"/>
              </w:rPr>
              <w:t>Correction Index</w:t>
            </w:r>
          </w:p>
        </w:tc>
      </w:tr>
      <w:tr>
        <w:tc>
          <w:tcPr>
            <w:tcW w:type="dxa" w:w="4394"/>
          </w:tcPr>
          <w:p>
            <w:r>
              <w:rPr>
                <w:sz w:val="18"/>
              </w:rPr>
              <w:t>CXL</w:t>
            </w:r>
          </w:p>
        </w:tc>
        <w:tc>
          <w:tcPr>
            <w:tcW w:type="dxa" w:w="4394"/>
          </w:tcPr>
          <w:p>
            <w:r>
              <w:rPr>
                <w:sz w:val="18"/>
              </w:rPr>
              <w:t>Corneal Collagen Crosslinking</w:t>
            </w:r>
          </w:p>
        </w:tc>
      </w:tr>
      <w:tr>
        <w:tc>
          <w:tcPr>
            <w:tcW w:type="dxa" w:w="4394"/>
          </w:tcPr>
          <w:p>
            <w:r>
              <w:rPr>
                <w:sz w:val="18"/>
              </w:rPr>
              <w:t>DV</w:t>
            </w:r>
          </w:p>
        </w:tc>
        <w:tc>
          <w:tcPr>
            <w:tcW w:type="dxa" w:w="4394"/>
          </w:tcPr>
          <w:p>
            <w:r>
              <w:rPr>
                <w:sz w:val="18"/>
              </w:rPr>
              <w:t>Difference Vector (Alpins)</w:t>
            </w:r>
          </w:p>
        </w:tc>
      </w:tr>
      <w:tr>
        <w:tc>
          <w:tcPr>
            <w:tcW w:type="dxa" w:w="4394"/>
          </w:tcPr>
          <w:p>
            <w:r>
              <w:rPr>
                <w:sz w:val="18"/>
              </w:rPr>
              <w:t>FEM</w:t>
            </w:r>
          </w:p>
        </w:tc>
        <w:tc>
          <w:tcPr>
            <w:tcW w:type="dxa" w:w="4394"/>
          </w:tcPr>
          <w:p>
            <w:r>
              <w:rPr>
                <w:sz w:val="18"/>
              </w:rPr>
              <w:t>Finite Element Method</w:t>
            </w:r>
          </w:p>
        </w:tc>
      </w:tr>
      <w:tr>
        <w:tc>
          <w:tcPr>
            <w:tcW w:type="dxa" w:w="4394"/>
          </w:tcPr>
          <w:p>
            <w:r>
              <w:rPr>
                <w:sz w:val="18"/>
              </w:rPr>
              <w:t>HGO</w:t>
            </w:r>
          </w:p>
        </w:tc>
        <w:tc>
          <w:tcPr>
            <w:tcW w:type="dxa" w:w="4394"/>
          </w:tcPr>
          <w:p>
            <w:r>
              <w:rPr>
                <w:sz w:val="18"/>
              </w:rPr>
              <w:t>Holzapfel–Gasser–Ogden</w:t>
            </w:r>
          </w:p>
        </w:tc>
      </w:tr>
      <w:tr>
        <w:tc>
          <w:tcPr>
            <w:tcW w:type="dxa" w:w="4394"/>
          </w:tcPr>
          <w:p>
            <w:r>
              <w:rPr>
                <w:sz w:val="18"/>
              </w:rPr>
              <w:t>HOA</w:t>
            </w:r>
          </w:p>
        </w:tc>
        <w:tc>
          <w:tcPr>
            <w:tcW w:type="dxa" w:w="4394"/>
          </w:tcPr>
          <w:p>
            <w:r>
              <w:rPr>
                <w:sz w:val="18"/>
              </w:rPr>
              <w:t>Higher-Order Aberrations</w:t>
            </w:r>
          </w:p>
        </w:tc>
      </w:tr>
      <w:tr>
        <w:tc>
          <w:tcPr>
            <w:tcW w:type="dxa" w:w="4394"/>
          </w:tcPr>
          <w:p>
            <w:r>
              <w:rPr>
                <w:sz w:val="18"/>
              </w:rPr>
              <w:t>ICRS</w:t>
            </w:r>
          </w:p>
        </w:tc>
        <w:tc>
          <w:tcPr>
            <w:tcW w:type="dxa" w:w="4394"/>
          </w:tcPr>
          <w:p>
            <w:r>
              <w:rPr>
                <w:sz w:val="18"/>
              </w:rPr>
              <w:t>Intrastromal Corneal Ring Segment</w:t>
            </w:r>
          </w:p>
        </w:tc>
      </w:tr>
      <w:tr>
        <w:tc>
          <w:tcPr>
            <w:tcW w:type="dxa" w:w="4394"/>
          </w:tcPr>
          <w:p>
            <w:r>
              <w:rPr>
                <w:sz w:val="18"/>
              </w:rPr>
              <w:t>IOP</w:t>
            </w:r>
          </w:p>
        </w:tc>
        <w:tc>
          <w:tcPr>
            <w:tcW w:type="dxa" w:w="4394"/>
          </w:tcPr>
          <w:p>
            <w:r>
              <w:rPr>
                <w:sz w:val="18"/>
              </w:rPr>
              <w:t>Intraocular Pressure</w:t>
            </w:r>
          </w:p>
        </w:tc>
      </w:tr>
      <w:tr>
        <w:tc>
          <w:tcPr>
            <w:tcW w:type="dxa" w:w="4394"/>
          </w:tcPr>
          <w:p>
            <w:r>
              <w:rPr>
                <w:sz w:val="18"/>
              </w:rPr>
              <w:t>MAE</w:t>
            </w:r>
          </w:p>
        </w:tc>
        <w:tc>
          <w:tcPr>
            <w:tcW w:type="dxa" w:w="4394"/>
          </w:tcPr>
          <w:p>
            <w:r>
              <w:rPr>
                <w:sz w:val="18"/>
              </w:rPr>
              <w:t>Mean Absolute Error</w:t>
            </w:r>
          </w:p>
        </w:tc>
      </w:tr>
      <w:tr>
        <w:tc>
          <w:tcPr>
            <w:tcW w:type="dxa" w:w="4394"/>
          </w:tcPr>
          <w:p>
            <w:r>
              <w:rPr>
                <w:sz w:val="18"/>
              </w:rPr>
              <w:t>MNA</w:t>
            </w:r>
          </w:p>
        </w:tc>
        <w:tc>
          <w:tcPr>
            <w:tcW w:type="dxa" w:w="4394"/>
          </w:tcPr>
          <w:p>
            <w:r>
              <w:rPr>
                <w:sz w:val="18"/>
              </w:rPr>
              <w:t>Mechanical Neutral Axis</w:t>
            </w:r>
          </w:p>
        </w:tc>
      </w:tr>
      <w:tr>
        <w:tc>
          <w:tcPr>
            <w:tcW w:type="dxa" w:w="4394"/>
          </w:tcPr>
          <w:p>
            <w:r>
              <w:rPr>
                <w:sz w:val="18"/>
              </w:rPr>
              <w:t>ORA</w:t>
            </w:r>
          </w:p>
        </w:tc>
        <w:tc>
          <w:tcPr>
            <w:tcW w:type="dxa" w:w="4394"/>
          </w:tcPr>
          <w:p>
            <w:r>
              <w:rPr>
                <w:sz w:val="18"/>
              </w:rPr>
              <w:t>Ocular Response Analyzer</w:t>
            </w:r>
          </w:p>
        </w:tc>
      </w:tr>
      <w:tr>
        <w:tc>
          <w:tcPr>
            <w:tcW w:type="dxa" w:w="4394"/>
          </w:tcPr>
          <w:p>
            <w:r>
              <w:rPr>
                <w:sz w:val="18"/>
              </w:rPr>
              <w:t>PMMA</w:t>
            </w:r>
          </w:p>
        </w:tc>
        <w:tc>
          <w:tcPr>
            <w:tcW w:type="dxa" w:w="4394"/>
          </w:tcPr>
          <w:p>
            <w:r>
              <w:rPr>
                <w:sz w:val="18"/>
              </w:rPr>
              <w:t>Polymethylmethacrylate</w:t>
            </w:r>
          </w:p>
        </w:tc>
      </w:tr>
      <w:tr>
        <w:tc>
          <w:tcPr>
            <w:tcW w:type="dxa" w:w="4394"/>
          </w:tcPr>
          <w:p>
            <w:r>
              <w:rPr>
                <w:sz w:val="18"/>
              </w:rPr>
              <w:t>SIA</w:t>
            </w:r>
          </w:p>
        </w:tc>
        <w:tc>
          <w:tcPr>
            <w:tcW w:type="dxa" w:w="4394"/>
          </w:tcPr>
          <w:p>
            <w:r>
              <w:rPr>
                <w:sz w:val="18"/>
              </w:rPr>
              <w:t>Surgically Induced Astigmatism (Alpins)</w:t>
            </w:r>
          </w:p>
        </w:tc>
      </w:tr>
      <w:tr>
        <w:tc>
          <w:tcPr>
            <w:tcW w:type="dxa" w:w="4394"/>
          </w:tcPr>
          <w:p>
            <w:r>
              <w:rPr>
                <w:sz w:val="18"/>
              </w:rPr>
              <w:t>TIA</w:t>
            </w:r>
          </w:p>
        </w:tc>
        <w:tc>
          <w:tcPr>
            <w:tcW w:type="dxa" w:w="4394"/>
          </w:tcPr>
          <w:p>
            <w:r>
              <w:rPr>
                <w:sz w:val="18"/>
              </w:rPr>
              <w:t>Target Induced Astigmatism (Alpins)</w:t>
            </w:r>
          </w:p>
        </w:tc>
      </w:tr>
      <w:tr>
        <w:tc>
          <w:tcPr>
            <w:tcW w:type="dxa" w:w="4394"/>
          </w:tcPr>
          <w:p>
            <w:r>
              <w:rPr>
                <w:sz w:val="18"/>
              </w:rPr>
              <w:t>UCVA</w:t>
            </w:r>
          </w:p>
        </w:tc>
        <w:tc>
          <w:tcPr>
            <w:tcW w:type="dxa" w:w="4394"/>
          </w:tcPr>
          <w:p>
            <w:r>
              <w:rPr>
                <w:sz w:val="18"/>
              </w:rPr>
              <w:t>Uncorrected Visual Acuity</w:t>
            </w:r>
          </w:p>
        </w:tc>
      </w:tr>
      <w:tr>
        <w:tc>
          <w:tcPr>
            <w:tcW w:type="dxa" w:w="4394"/>
          </w:tcPr>
          <w:p>
            <w:r>
              <w:rPr>
                <w:sz w:val="18"/>
              </w:rPr>
              <w:t>VR</w:t>
            </w:r>
          </w:p>
        </w:tc>
        <w:tc>
          <w:tcPr>
            <w:tcW w:type="dxa" w:w="4394"/>
          </w:tcPr>
          <w:p>
            <w:r>
              <w:rPr>
                <w:sz w:val="18"/>
              </w:rPr>
              <w:t>Radial Displacement Vector</w:t>
            </w:r>
          </w:p>
        </w:tc>
      </w:tr>
      <w:tr>
        <w:tc>
          <w:tcPr>
            <w:tcW w:type="dxa" w:w="4394"/>
          </w:tcPr>
          <w:p>
            <w:r>
              <w:rPr>
                <w:sz w:val="18"/>
              </w:rPr>
              <w:t>VT</w:t>
            </w:r>
          </w:p>
        </w:tc>
        <w:tc>
          <w:tcPr>
            <w:tcW w:type="dxa" w:w="4394"/>
          </w:tcPr>
          <w:p>
            <w:r>
              <w:rPr>
                <w:sz w:val="18"/>
              </w:rPr>
              <w:t>Tangential Stress Vector</w:t>
            </w:r>
          </w:p>
        </w:tc>
      </w:tr>
      <w:tr>
        <w:tc>
          <w:tcPr>
            <w:tcW w:type="dxa" w:w="4394"/>
          </w:tcPr>
          <w:p>
            <w:r>
              <w:rPr>
                <w:sz w:val="18"/>
              </w:rPr>
              <w:t>Vτ</w:t>
            </w:r>
          </w:p>
        </w:tc>
        <w:tc>
          <w:tcPr>
            <w:tcW w:type="dxa" w:w="4394"/>
          </w:tcPr>
          <w:p>
            <w:r>
              <w:rPr>
                <w:sz w:val="18"/>
              </w:rPr>
              <w:t>Asymmetric Torque Vector</w:t>
            </w:r>
          </w:p>
        </w:tc>
      </w:tr>
      <w:tr>
        <w:tc>
          <w:tcPr>
            <w:tcW w:type="dxa" w:w="4394"/>
          </w:tcPr>
          <w:p>
            <w:r>
              <w:rPr>
                <w:sz w:val="18"/>
              </w:rPr>
              <w:t>WAXS</w:t>
            </w:r>
          </w:p>
        </w:tc>
        <w:tc>
          <w:tcPr>
            <w:tcW w:type="dxa" w:w="4394"/>
          </w:tcPr>
          <w:p>
            <w:r>
              <w:rPr>
                <w:sz w:val="18"/>
              </w:rPr>
              <w:t>Wide-Angle X-ray Scattering</w:t>
            </w:r>
          </w:p>
        </w:tc>
      </w:tr>
    </w:tbl>
    <w:sectPr w:rsidR="00FC693F" w:rsidRPr="0006063C" w:rsidSect="00034616">
      <w:pgSz w:w="11906" w:h="16838"/>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color w:val="2D2D2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pageBreakBefore/>
      <w:spacing w:before="720" w:after="240"/>
      <w:outlineLvl w:val="0"/>
    </w:pPr>
    <w:rPr>
      <w:rFonts w:asciiTheme="majorHAnsi" w:eastAsiaTheme="majorEastAsia" w:hAnsiTheme="majorHAnsi" w:cstheme="majorBidi" w:ascii="Calibri" w:hAnsi="Calibri"/>
      <w:b/>
      <w:bCs/>
      <w:color w:val="1A3C6D"/>
      <w:sz w:val="44"/>
      <w:szCs w:val="28"/>
    </w:rPr>
  </w:style>
  <w:style w:type="paragraph" w:styleId="Heading2">
    <w:name w:val="heading 2"/>
    <w:basedOn w:val="Normal"/>
    <w:next w:val="Normal"/>
    <w:link w:val="Heading2Char"/>
    <w:uiPriority w:val="9"/>
    <w:unhideWhenUsed/>
    <w:qFormat/>
    <w:rsid w:val="00FC693F"/>
    <w:pPr>
      <w:keepNext/>
      <w:keepLines/>
      <w:spacing w:before="360" w:after="160"/>
      <w:outlineLvl w:val="1"/>
    </w:pPr>
    <w:rPr>
      <w:rFonts w:asciiTheme="majorHAnsi" w:eastAsiaTheme="majorEastAsia" w:hAnsiTheme="majorHAnsi" w:cstheme="majorBidi" w:ascii="Calibri" w:hAnsi="Calibri"/>
      <w:b/>
      <w:bCs/>
      <w:color w:val="2E5E8E"/>
      <w:sz w:val="32"/>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Calibri" w:hAnsi="Calibri"/>
      <w:b/>
      <w:bCs/>
      <w:color w:val="3A7CA5"/>
      <w:sz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BlockQuote">
    <w:name w:val="BlockQuote"/>
    <w:pPr>
      <w:spacing w:before="120" w:after="120"/>
      <w:ind w:left="850"/>
    </w:pPr>
    <w:rPr>
      <w:rFonts w:ascii="Calibri" w:hAnsi="Calibri"/>
      <w:i/>
      <w:color w:val="444444"/>
      <w:sz w:val="21"/>
    </w:rPr>
  </w:style>
  <w:style w:type="paragraph" w:customStyle="1" w:styleId="Alert">
    <w:name w:val="Alert"/>
    <w:pPr>
      <w:spacing w:before="160" w:after="160"/>
      <w:ind w:left="567"/>
    </w:pPr>
    <w:rPr>
      <w:rFonts w:ascii="Calibri" w:hAnsi="Calibri"/>
      <w:color w:val="1A3C6D"/>
      <w:sz w:val="21"/>
    </w:rPr>
  </w:style>
  <w:style w:type="paragraph" w:customStyle="1" w:styleId="CodeBlock">
    <w:name w:val="CodeBlock"/>
    <w:pPr>
      <w:spacing w:before="80" w:after="80"/>
      <w:ind w:left="567"/>
    </w:pPr>
    <w:rPr>
      <w:rFonts w:ascii="Consolas" w:hAnsi="Consolas"/>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