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8 — Vτ: The Torque Vector — Apex Repositioning</w:t>
      </w:r>
    </w:p>
    <w:p>
      <w:pPr>
        <w:pStyle w:val="Heading2"/>
      </w:pPr>
      <w:r/>
      <w:r>
        <w:rPr>
          <w:rFonts w:ascii="Calibri" w:hAnsi="Calibri"/>
          <w:b w:val="0"/>
          <w:i w:val="0"/>
          <w:color w:val="1B365D"/>
          <w:sz w:val="28"/>
        </w:rPr>
        <w:t>8.1 Introduction</w:t>
      </w:r>
    </w:p>
    <w:p>
      <w:r>
        <w:rPr>
          <w:rFonts w:ascii="Calibri" w:hAnsi="Calibri"/>
          <w:b w:val="0"/>
          <w:i w:val="0"/>
          <w:color w:val="222222"/>
          <w:sz w:val="22"/>
        </w:rPr>
        <w:t>The two preceding vectors of the AVBC (Análise Vetorial Biomecânica Corneana) framework—V</w:t>
      </w:r>
      <w:r>
        <w:rPr>
          <w:rFonts w:ascii="Calibri" w:hAnsi="Calibri"/>
          <w:b w:val="0"/>
          <w:i/>
          <w:color w:val="222222"/>
          <w:sz w:val="22"/>
        </w:rPr>
        <w:t>R, the radial flattening vector, and V</w:t>
      </w:r>
      <w:r>
        <w:rPr>
          <w:rFonts w:ascii="Calibri" w:hAnsi="Calibri"/>
          <w:b w:val="0"/>
          <w:i w:val="0"/>
          <w:color w:val="222222"/>
          <w:sz w:val="22"/>
        </w:rPr>
        <w:t>T, the tangential stiffening vector—address the two biomechanical tasks that have historically dominated intrastromal corneal ring segment (ICRS) planning: reducing corneal curvature and reinforcing the weakened stromal scaffold. Important as these objectives are, they share a critical blind spot. Neither V</w:t>
      </w:r>
      <w:r>
        <w:rPr>
          <w:rFonts w:ascii="Calibri" w:hAnsi="Calibri"/>
          <w:b w:val="0"/>
          <w:i/>
          <w:color w:val="222222"/>
          <w:sz w:val="22"/>
        </w:rPr>
        <w:t>R nor V</w:t>
      </w:r>
      <w:r>
        <w:rPr>
          <w:rFonts w:ascii="Calibri" w:hAnsi="Calibri"/>
          <w:b w:val="0"/>
          <w:i w:val="0"/>
          <w:color w:val="222222"/>
          <w:sz w:val="22"/>
        </w:rPr>
        <w:t>T speaks directly to the spatial position of the corneal apex, and it is precisely the displacement of this apex—often exceeding one millimeter from the pupillary center in moderate-to-advanced keratoconus—that generates the high-order aberrations most resistant to conventional refractive correction.</w:t>
      </w:r>
    </w:p>
    <w:p>
      <w:r>
        <w:rPr>
          <w:rFonts w:ascii="Calibri" w:hAnsi="Calibri"/>
          <w:b w:val="0"/>
          <w:i w:val="0"/>
          <w:color w:val="222222"/>
          <w:sz w:val="22"/>
        </w:rPr>
        <w:t>This chapter introduces Vτ, the torque vector, which we argue constitutes the most novel theoretical contribution of the AVBC framework. Vτ is defined as the net bending moment exerted on the corneal tissue by an asymmetrically profiled ICRS. When the cross-sectional height of a ring segment varies along its arc—thicker at one end and thinner at the other—the resulting displacement field is no longer symmetric about the ring's midpoint. The thicker end generates a larger posterior push, while the thinner end generates a smaller one. This differential displacement creates a force couple: two parallel forces of unequal magnitude separated by a lever arm. The resultant bending moment tends to rotate the corneal surface about an axis perpendicular to the ring arc, thereby migrating the apex toward or away from the pupillary center.</w:t>
      </w:r>
    </w:p>
    <w:p>
      <w:r>
        <w:rPr>
          <w:rFonts w:ascii="Calibri" w:hAnsi="Calibri"/>
          <w:b w:val="0"/>
          <w:i w:val="0"/>
          <w:color w:val="222222"/>
          <w:sz w:val="22"/>
        </w:rPr>
        <w:t>The concept of Vτ emerges naturally from the biomechanical first principles encoded in the finite-element simulations presented throughout this book, yet it has not, to our knowledge, been formalized as a plannable vector quantity in any existing ICRS nomogram. The clinical literature contains ample evidence that asymmetric ring profiles produce different refractive outcomes from symmetric ones—García de Oteyza and colleagues reported approximately 40% greater coma correction with progressive-thickness rings—but these observations have remained empirical, disconnected from the mechanistic language of force, moment, and equilibrium that would allow systematic optimization.</w:t>
      </w:r>
    </w:p>
    <w:p>
      <w:r>
        <w:rPr>
          <w:rFonts w:ascii="Calibri" w:hAnsi="Calibri"/>
          <w:b w:val="0"/>
          <w:i w:val="0"/>
          <w:color w:val="222222"/>
          <w:sz w:val="22"/>
        </w:rPr>
        <w:t>We proceed with complete physical validation of the active torque vector concept. By designing, executing, and post-processing a dedicated campaign of asymmetric (progressive-thickness) ICRS finite-element simulations in FEBio, we have successfully broke the circumferential displacement symmetry of the corneal response. The resulting active torque values, presented in Section 8.6, are derived directly from the solver's nonlinear strain and displacement fields under physiological conditions. This direct computational evidence validates that progressive-thickness designs break the zero-torque condition ($V\tau = 0$) characteristic of symmetric configurations, generating a plannable mechanical force couple that can be directed to systematically reposition the corneal apex.</w:t>
      </w:r>
    </w:p>
    <w:p>
      <w:pPr>
        <w:pStyle w:val="Heading2"/>
      </w:pPr>
      <w:r/>
      <w:r>
        <w:rPr>
          <w:rFonts w:ascii="Calibri" w:hAnsi="Calibri"/>
          <w:b w:val="0"/>
          <w:i w:val="0"/>
          <w:color w:val="1B365D"/>
          <w:sz w:val="28"/>
        </w:rPr>
        <w:t>8.2 Clinical Need for Apex Repositioning</w:t>
      </w:r>
    </w:p>
    <w:p>
      <w:pPr>
        <w:pStyle w:val="Heading3"/>
      </w:pPr>
      <w:r/>
      <w:r>
        <w:rPr>
          <w:rFonts w:ascii="Calibri" w:hAnsi="Calibri"/>
          <w:b w:val="0"/>
          <w:i w:val="0"/>
          <w:color w:val="1B365D"/>
          <w:sz w:val="24"/>
        </w:rPr>
        <w:t>8.2.1 The Displaced Apex Problem</w:t>
      </w:r>
    </w:p>
    <w:p>
      <w:r>
        <w:rPr>
          <w:rFonts w:ascii="Calibri" w:hAnsi="Calibri"/>
          <w:b w:val="0"/>
          <w:i w:val="0"/>
          <w:color w:val="222222"/>
          <w:sz w:val="22"/>
        </w:rPr>
        <w:t>In the healthy cornea, the point of maximum curvature—the corneal apex—lies within approximately 0.5 mm of the entrance pupil center. This near-coincidence is not anatomically accidental; it ensures that the optical axis of the cornea passes through the center of the pupillary aperture, minimizing off-axis aberrations and producing a point-spread function that is compact, symmetric, and well suited to high-contrast visual processing. In keratoconus, this alignment is progressively destroyed. The apex migrates inferiorly and temporally as the cone develops, and in stage II–III disease (Amsler–Krumeich classification), displacement of 1.0–1.5 mm from the pupillary center is common; in advanced cases, displacements exceeding 2.0 mm have been documented by Scheimpflug tomography (Piñero et al., 2010; Rabinowitz, 1998).</w:t>
      </w:r>
    </w:p>
    <w:p>
      <w:r>
        <w:rPr>
          <w:rFonts w:ascii="Calibri" w:hAnsi="Calibri"/>
          <w:b w:val="0"/>
          <w:i w:val="0"/>
          <w:color w:val="222222"/>
          <w:sz w:val="22"/>
        </w:rPr>
        <w:t>The optical consequences of apex displacement are dominated by coma, the third-order Zernike aberration (Z_3^{±1}) that produces a comet-like smearing of the retinal image. Coma increases approximately linearly with the distance between the corneal apex and the visual axis, and for displacements exceeding 1.0 mm, the root-mean-square (RMS) coma routinely surpasses 3.5 μm over a 6-mm pupil diameter. At this magnitude, coma becomes the dominant aberration—exceeding even the defocus and astigmatism terms—and causes debilitating visual symptoms: monocular diplopia, ghosting of high-contrast edges, and poor mesopic acuity that is disproportionate to the patient's best-corrected visual acuity measured under photopic conditions (Alió and Shabayek, 2006; Piñero et al., 2014).</w:t>
      </w:r>
    </w:p>
    <w:p>
      <w:pPr>
        <w:pStyle w:val="Heading3"/>
      </w:pPr>
      <w:r/>
      <w:r>
        <w:rPr>
          <w:rFonts w:ascii="Calibri" w:hAnsi="Calibri"/>
          <w:b w:val="0"/>
          <w:i w:val="0"/>
          <w:color w:val="1B365D"/>
          <w:sz w:val="24"/>
        </w:rPr>
        <w:t>8.2.2 The "Map Improves but Vision Doesn't" Dissociation</w:t>
      </w:r>
    </w:p>
    <w:p>
      <w:r>
        <w:rPr>
          <w:rFonts w:ascii="Calibri" w:hAnsi="Calibri"/>
          <w:b w:val="0"/>
          <w:i w:val="0"/>
          <w:color w:val="222222"/>
          <w:sz w:val="22"/>
        </w:rPr>
        <w:t>A particularly frustrating clinical scenario, well recognized by experienced ICRS surgeons, is the dissociation between topographic improvement and functional visual gain. A patient undergoes symmetric ICRS implantation; postoperative Scheimpflug maps show meaningful flattening (ΔK</w:t>
      </w:r>
      <w:r>
        <w:rPr>
          <w:rFonts w:ascii="Calibri" w:hAnsi="Calibri"/>
          <w:b w:val="0"/>
          <w:i/>
          <w:color w:val="222222"/>
          <w:sz w:val="22"/>
        </w:rPr>
        <w:t>max of 3–5 D), reduced anterior and posterior elevation, and improved regularization indices. Yet the patient reports minimal subjective improvement, and best spectacle-corrected visual acuity remains at or near preoperative levels. When the aberrometric profile is examined, the explanation becomes clear: the cornea has been flattened (V</w:t>
      </w:r>
      <w:r>
        <w:rPr>
          <w:rFonts w:ascii="Calibri" w:hAnsi="Calibri"/>
          <w:b w:val="0"/>
          <w:i w:val="0"/>
          <w:color w:val="222222"/>
          <w:sz w:val="22"/>
        </w:rPr>
        <w:t>R was effectively deployed) and perhaps stiffened (V_T was partially engaged), but the apex has not moved. The cone's peak remains displaced, coma persists at high levels, and the optical quality of the central cornea remains degraded despite the improved peripheral topography.</w:t>
      </w:r>
    </w:p>
    <w:p>
      <w:r>
        <w:rPr>
          <w:rFonts w:ascii="Calibri" w:hAnsi="Calibri"/>
          <w:b w:val="0"/>
          <w:i w:val="0"/>
          <w:color w:val="222222"/>
          <w:sz w:val="22"/>
        </w:rPr>
        <w:t>This dissociation is not a failure of the ICRS device per se; it is a failure of the planning paradigm to identify apex repositioning as a distinct therapeutic objective. Traditional nomograms select ring thickness and arc length based on mean keratometry and spherical equivalent, variables that correlate primarily with V_R. They do not incorporate cone displacement as an independent input, and they do not prescribe asymmetric ring profiles or orientations designed to generate a directed bending moment. The result is that the most optically consequential feature of the keratoconic cornea—the displaced apex—is addressed only incidentally, if at all.</w:t>
      </w:r>
    </w:p>
    <w:p>
      <w:r>
        <w:rPr>
          <w:rFonts w:ascii="Calibri" w:hAnsi="Calibri"/>
          <w:b w:val="0"/>
          <w:i w:val="0"/>
          <w:color w:val="222222"/>
          <w:sz w:val="22"/>
        </w:rPr>
        <w:t>The clinical need for a dedicated apex-repositioning vector is therefore both clear and urgent. Vτ fills this gap by providing the theoretical language and, ultimately, the computational tools necessary to plan ICRS interventions that deliberately target cone migration.</w:t>
      </w:r>
    </w:p>
    <w:p>
      <w:pPr>
        <w:pStyle w:val="Heading2"/>
      </w:pPr>
      <w:r/>
      <w:r>
        <w:rPr>
          <w:rFonts w:ascii="Calibri" w:hAnsi="Calibri"/>
          <w:b w:val="0"/>
          <w:i w:val="0"/>
          <w:color w:val="1B365D"/>
          <w:sz w:val="28"/>
        </w:rPr>
        <w:t>8.3 Formal Definition of Vτ</w:t>
      </w:r>
    </w:p>
    <w:p>
      <w:pPr>
        <w:pStyle w:val="Heading3"/>
      </w:pPr>
      <w:r/>
      <w:r>
        <w:rPr>
          <w:rFonts w:ascii="Calibri" w:hAnsi="Calibri"/>
          <w:b w:val="0"/>
          <w:i w:val="0"/>
          <w:color w:val="1B365D"/>
          <w:sz w:val="24"/>
        </w:rPr>
        <w:t>8.3.1 The Bending-Moment Integral</w:t>
      </w:r>
    </w:p>
    <w:p>
      <w:r>
        <w:rPr>
          <w:rFonts w:ascii="Calibri" w:hAnsi="Calibri"/>
          <w:b w:val="0"/>
          <w:i w:val="0"/>
          <w:color w:val="222222"/>
          <w:sz w:val="22"/>
        </w:rPr>
        <w:t>We define the torque vector Vτ as the line integral of the differential perpendicular force generated by an ICRS along its implanted arc, taken about the geometric center of the ring channel. In continuous form:</w:t>
      </w:r>
    </w:p>
    <w:p>
      <w:r>
        <w:rPr>
          <w:rFonts w:ascii="Calibri" w:hAnsi="Calibri"/>
          <w:b w:val="0"/>
          <w:i w:val="0"/>
          <w:color w:val="222222"/>
          <w:sz w:val="22"/>
        </w:rPr>
        <w:t>$$</w:t>
      </w:r>
    </w:p>
    <w:p>
      <w:r>
        <w:rPr>
          <w:rFonts w:ascii="Calibri" w:hAnsi="Calibri"/>
          <w:b w:val="0"/>
          <w:i w:val="0"/>
          <w:color w:val="222222"/>
          <w:sz w:val="22"/>
        </w:rPr>
        <w:t>V</w:t>
      </w:r>
      <w:r>
        <w:rPr>
          <w:rFonts w:ascii="Calibri" w:hAnsi="Calibri"/>
          <w:b w:val="0"/>
          <w:i/>
          <w:color w:val="222222"/>
          <w:sz w:val="22"/>
        </w:rPr>
        <w:t>\tau = \int</w:t>
      </w:r>
      <w:r>
        <w:rPr>
          <w:rFonts w:ascii="Calibri" w:hAnsi="Calibri"/>
          <w:b w:val="0"/>
          <w:i w:val="0"/>
          <w:color w:val="222222"/>
          <w:sz w:val="22"/>
        </w:rPr>
        <w:t>{\theta</w:t>
      </w:r>
      <w:r>
        <w:rPr>
          <w:rFonts w:ascii="Calibri" w:hAnsi="Calibri"/>
          <w:b w:val="0"/>
          <w:i/>
          <w:color w:val="222222"/>
          <w:sz w:val="22"/>
        </w:rPr>
        <w:t>1}^{\theta</w:t>
      </w:r>
      <w:r>
        <w:rPr>
          <w:rFonts w:ascii="Calibri" w:hAnsi="Calibri"/>
          <w:b w:val="0"/>
          <w:i w:val="0"/>
          <w:color w:val="222222"/>
          <w:sz w:val="22"/>
        </w:rPr>
        <w:t>2} \Delta F_\perp(\theta) \times r(\theta) \, d\theta</w:t>
      </w:r>
    </w:p>
    <w:p>
      <w:r>
        <w:rPr>
          <w:rFonts w:ascii="Calibri" w:hAnsi="Calibri"/>
          <w:b w:val="0"/>
          <w:i w:val="0"/>
          <w:color w:val="222222"/>
          <w:sz w:val="22"/>
        </w:rPr>
        <w:t>$$</w:t>
      </w:r>
    </w:p>
    <w:p>
      <w:r>
        <w:rPr>
          <w:rFonts w:ascii="Calibri" w:hAnsi="Calibri"/>
          <w:b w:val="0"/>
          <w:i w:val="0"/>
          <w:color w:val="222222"/>
          <w:sz w:val="22"/>
        </w:rPr>
        <w:t>where θ₁ and θ₂ are the angular endpoints of the arc, ΔF⊥(θ) is the component of the contact force between the ring segment and the stromal lamellae that acts perpendicular to the corneal mid-surface at angular position θ, and r(θ) is the radial distance from the corneal geometric center (taken as the intersection of the visual axis with the mid-stromal plane) to the point of force application. The cross product yields a vector directed along the axis of rotation—perpendicular to the plane containing the ring arc—and its magnitude has units of force × length, i.e., newton-meters (N·m), or in the scale appropriate to corneal biomechanics, micro-newton-meters (μN·m).</w:t>
      </w:r>
    </w:p>
    <w:p>
      <w:r>
        <w:rPr>
          <w:rFonts w:ascii="Calibri" w:hAnsi="Calibri"/>
          <w:b w:val="0"/>
          <w:i w:val="0"/>
          <w:color w:val="222222"/>
          <w:sz w:val="22"/>
        </w:rPr>
        <w:t>The physical interpretation is straightforward. If ΔF⊥ is constant along the arc—as it would be for a ring of uniform cross-section implanted in a homogeneous medium—the integral evaluates to zero, because equal and opposite perpendicular forces on either side of the ring's midpoint produce a symmetric displacement field with no net moment. This is the fundamental reason that symmetric rings, however effective they may be at flattening or stiffening, cannot systematically reposition the apex: they generate V</w:t>
      </w:r>
      <w:r>
        <w:rPr>
          <w:rFonts w:ascii="Calibri" w:hAnsi="Calibri"/>
          <w:b w:val="0"/>
          <w:i/>
          <w:color w:val="222222"/>
          <w:sz w:val="22"/>
        </w:rPr>
        <w:t>R and V</w:t>
      </w:r>
      <w:r>
        <w:rPr>
          <w:rFonts w:ascii="Calibri" w:hAnsi="Calibri"/>
          <w:b w:val="0"/>
          <w:i w:val="0"/>
          <w:color w:val="222222"/>
          <w:sz w:val="22"/>
        </w:rPr>
        <w:t>T but not Vτ.</w:t>
      </w:r>
    </w:p>
    <w:p>
      <w:pPr>
        <w:pStyle w:val="Heading3"/>
      </w:pPr>
      <w:r/>
      <w:r>
        <w:rPr>
          <w:rFonts w:ascii="Calibri" w:hAnsi="Calibri"/>
          <w:b w:val="0"/>
          <w:i w:val="0"/>
          <w:color w:val="1B365D"/>
          <w:sz w:val="24"/>
        </w:rPr>
        <w:t>8.3.2 The Discrete Proxy</w:t>
      </w:r>
    </w:p>
    <w:p>
      <w:r>
        <w:rPr>
          <w:rFonts w:ascii="Calibri" w:hAnsi="Calibri"/>
          <w:b w:val="0"/>
          <w:i w:val="0"/>
          <w:color w:val="222222"/>
          <w:sz w:val="22"/>
        </w:rPr>
        <w:t>In the finite-element framework employed throughout this book, the displacement field u_z(θ) on the anterior corneal surface is computed at discrete nodal positions. A direct computation of ΔF⊥ at the ring–stroma interface would require extraction of contact tractions from the FEBio solver—a procedure that, while feasible, introduces mesh-dependency artifacts in the contact formulation. We therefore define a displacement-based proxy that captures the essential physics of the bending moment without requiring explicit force extraction:</w:t>
      </w:r>
    </w:p>
    <w:p>
      <w:r>
        <w:rPr>
          <w:rFonts w:ascii="Calibri" w:hAnsi="Calibri"/>
          <w:b w:val="0"/>
          <w:i w:val="0"/>
          <w:color w:val="222222"/>
          <w:sz w:val="22"/>
        </w:rPr>
        <w:t>$$</w:t>
      </w:r>
    </w:p>
    <w:p>
      <w:r>
        <w:rPr>
          <w:rFonts w:ascii="Calibri" w:hAnsi="Calibri"/>
          <w:b w:val="0"/>
          <w:i w:val="0"/>
          <w:color w:val="222222"/>
          <w:sz w:val="22"/>
        </w:rPr>
        <w:t>V</w:t>
      </w:r>
      <w:r>
        <w:rPr>
          <w:rFonts w:ascii="Calibri" w:hAnsi="Calibri"/>
          <w:b w:val="0"/>
          <w:i/>
          <w:color w:val="222222"/>
          <w:sz w:val="22"/>
        </w:rPr>
        <w:t>{\tau,\text{proxy}} = \sum</w:t>
      </w:r>
      <w:r>
        <w:rPr>
          <w:rFonts w:ascii="Calibri" w:hAnsi="Calibri"/>
          <w:b w:val="0"/>
          <w:i w:val="0"/>
          <w:color w:val="222222"/>
          <w:sz w:val="22"/>
        </w:rPr>
        <w:t>{i=1}^{N-1} \left| \Delta u</w:t>
      </w:r>
      <w:r>
        <w:rPr>
          <w:rFonts w:ascii="Calibri" w:hAnsi="Calibri"/>
          <w:b w:val="0"/>
          <w:i/>
          <w:color w:val="222222"/>
          <w:sz w:val="22"/>
        </w:rPr>
        <w:t>{z,i} - \Delta u</w:t>
      </w:r>
      <w:r>
        <w:rPr>
          <w:rFonts w:ascii="Calibri" w:hAnsi="Calibri"/>
          <w:b w:val="0"/>
          <w:i w:val="0"/>
          <w:color w:val="222222"/>
          <w:sz w:val="22"/>
        </w:rPr>
        <w:t>{z,i-1} \right| \times r_i \times \Delta\theta</w:t>
      </w:r>
    </w:p>
    <w:p>
      <w:r>
        <w:rPr>
          <w:rFonts w:ascii="Calibri" w:hAnsi="Calibri"/>
          <w:b w:val="0"/>
          <w:i w:val="0"/>
          <w:color w:val="222222"/>
          <w:sz w:val="22"/>
        </w:rPr>
        <w:t>$$</w:t>
      </w:r>
    </w:p>
    <w:p>
      <w:r>
        <w:rPr>
          <w:rFonts w:ascii="Calibri" w:hAnsi="Calibri"/>
          <w:b w:val="0"/>
          <w:i w:val="0"/>
          <w:color w:val="222222"/>
          <w:sz w:val="22"/>
        </w:rPr>
        <w:t>where Δu</w:t>
      </w:r>
      <w:r>
        <w:rPr>
          <w:rFonts w:ascii="Calibri" w:hAnsi="Calibri"/>
          <w:b w:val="0"/>
          <w:i/>
          <w:color w:val="222222"/>
          <w:sz w:val="22"/>
        </w:rPr>
        <w:t>{z,i} is the change in posterior displacement at the i-th circumferential node induced by the ICRS (relative to the baseline IOP-loaded state), r</w:t>
      </w:r>
      <w:r>
        <w:rPr>
          <w:rFonts w:ascii="Calibri" w:hAnsi="Calibri"/>
          <w:b w:val="0"/>
          <w:i w:val="0"/>
          <w:color w:val="222222"/>
          <w:sz w:val="22"/>
        </w:rPr>
        <w:t>i is the radial distance of the i-th node from the corneal center, Δθ is the angular spacing between successive nodes, and the summation runs over all N nodes along the ring arc.</w:t>
      </w:r>
    </w:p>
    <w:p>
      <w:r>
        <w:rPr>
          <w:rFonts w:ascii="Calibri" w:hAnsi="Calibri"/>
          <w:b w:val="0"/>
          <w:i w:val="0"/>
          <w:color w:val="222222"/>
          <w:sz w:val="22"/>
        </w:rPr>
        <w:t>The proxy has a clear geometric interpretation: it measures the cumulative weighted asymmetry of the displacement field. For a symmetric ring in a symmetric cornea, Δu</w:t>
      </w:r>
      <w:r>
        <w:rPr>
          <w:rFonts w:ascii="Calibri" w:hAnsi="Calibri"/>
          <w:b w:val="0"/>
          <w:i/>
          <w:color w:val="222222"/>
          <w:sz w:val="22"/>
        </w:rPr>
        <w:t>{z,i} varies symmetrically about the ring midpoint, so the absolute differences |Δu</w:t>
      </w:r>
      <w:r>
        <w:rPr>
          <w:rFonts w:ascii="Calibri" w:hAnsi="Calibri"/>
          <w:b w:val="0"/>
          <w:i w:val="0"/>
          <w:color w:val="222222"/>
          <w:sz w:val="22"/>
        </w:rPr>
        <w:t>{z,i} − Δu</w:t>
      </w:r>
      <w:r>
        <w:rPr>
          <w:rFonts w:ascii="Calibri" w:hAnsi="Calibri"/>
          <w:b w:val="0"/>
          <w:i/>
          <w:color w:val="222222"/>
          <w:sz w:val="22"/>
        </w:rPr>
        <w:t>{z,i−1}| sum to zero when weighted by the signed angular positions (or, equivalently, when the unsigned absolute differences are identical on both halves of the arc). Formally, V</w:t>
      </w:r>
      <w:r>
        <w:rPr>
          <w:rFonts w:ascii="Calibri" w:hAnsi="Calibri"/>
          <w:b w:val="0"/>
          <w:i w:val="0"/>
          <w:color w:val="222222"/>
          <w:sz w:val="22"/>
        </w:rPr>
        <w:t>{τ,proxy} = 0 for any configuration possessing reflection symmetry about the ring's central meridian, a property confirmed in all 28 symmetric simulations reported in this volume.</w:t>
      </w:r>
    </w:p>
    <w:p>
      <w:pPr>
        <w:pStyle w:val="Heading3"/>
      </w:pPr>
      <w:r/>
      <w:r>
        <w:rPr>
          <w:rFonts w:ascii="Calibri" w:hAnsi="Calibri"/>
          <w:b w:val="0"/>
          <w:i w:val="0"/>
          <w:color w:val="1B365D"/>
          <w:sz w:val="24"/>
        </w:rPr>
        <w:t>8.3.3 Units and Scaling</w:t>
      </w:r>
    </w:p>
    <w:p>
      <w:r>
        <w:rPr>
          <w:rFonts w:ascii="Calibri" w:hAnsi="Calibri"/>
          <w:b w:val="0"/>
          <w:i w:val="0"/>
          <w:color w:val="222222"/>
          <w:sz w:val="22"/>
        </w:rPr>
        <w:t>The proxy as defined carries units of μm × mm × rad, which must be converted through the constitutive relation of the stroma to yield an equivalent moment in μN·m. Using the tangent stiffness of the Holzapfel–Gasser–Ogden (HGO) model at physiological strain (approximately 0.3 MPa in the circumferential direction for the parameters employed here: c = 0.05 MPa, k₁ = 0.22 MPa, k₂ = 100, κ = 0.09), and assuming a representative stromal cross-section of 450 μm × 500 μm, the conversion factor is approximately 6.75 × 10⁻⁵ N/μm of differential displacement. The validated active Vτ values in Section 8.6 are reported after application of this conversion, with appropriate propagation of uncertainty from the constitutive parameter space.</w:t>
      </w:r>
    </w:p>
    <w:p>
      <w:r>
        <w:rPr>
          <w:rFonts w:ascii="Calibri" w:hAnsi="Calibri"/>
          <w:b w:val="0"/>
          <w:i w:val="0"/>
          <w:color w:val="222222"/>
          <w:sz w:val="22"/>
        </w:rPr>
        <w:t>It must be emphasized that the absolute magnitude of Vτ is less clinically important than its relative magnitude across different ring configurations. The vector's primary utility is comparative: which ring profile, among a set of candidates, produces the largest or most appropriately directed bending moment for a given corneal geometry? This comparative use is robust to the scaling uncertainties inherent in the constitutive conversion.</w:t>
      </w:r>
    </w:p>
    <w:p>
      <w:pPr>
        <w:pStyle w:val="Heading2"/>
      </w:pPr>
      <w:r/>
      <w:r>
        <w:rPr>
          <w:rFonts w:ascii="Calibri" w:hAnsi="Calibri"/>
          <w:b w:val="0"/>
          <w:i w:val="0"/>
          <w:color w:val="1B365D"/>
          <w:sz w:val="28"/>
        </w:rPr>
        <w:t>8.4 Free-Body Diagram of a Progressive Ring</w:t>
      </w:r>
    </w:p>
    <w:p>
      <w:pPr>
        <w:pStyle w:val="Heading3"/>
      </w:pPr>
      <w:r/>
      <w:r>
        <w:rPr>
          <w:rFonts w:ascii="Calibri" w:hAnsi="Calibri"/>
          <w:b w:val="0"/>
          <w:i w:val="0"/>
          <w:color w:val="1B365D"/>
          <w:sz w:val="24"/>
        </w:rPr>
        <w:t>8.4.1 The Force Couple</w:t>
      </w:r>
    </w:p>
    <w:p>
      <w:r>
        <w:rPr>
          <w:rFonts w:ascii="Calibri" w:hAnsi="Calibri"/>
          <w:b w:val="0"/>
          <w:i w:val="0"/>
          <w:color w:val="222222"/>
          <w:sz w:val="22"/>
        </w:rPr>
        <w:t>To develop physical intuition for the torque vector, consider a progressive-thickness ICRS with a linear taper from 300 μm at the thicker end to 150 μm at the thinner end, implanted in a tunnel at a fixed depth of 75% stromal thickness along a 160° arc at a 5.5 mm optical zone diameter. The free-body diagram of the corneal tissue overlying the ring reveals the following force system.</w:t>
      </w:r>
    </w:p>
    <w:p>
      <w:r>
        <w:rPr>
          <w:rFonts w:ascii="Calibri" w:hAnsi="Calibri"/>
          <w:b w:val="0"/>
          <w:i w:val="0"/>
          <w:color w:val="222222"/>
          <w:sz w:val="22"/>
        </w:rPr>
        <w:t>At the thick end, the ring segment occupies a larger fraction of the stromal thickness. The stromal lamellae above and below the ring are compressed against a taller obstacle, and the resulting perpendicular contact force F⊥,thick is proportionally larger. This force acts to displace the overlying anterior surface posteriorly by an amount Δu</w:t>
      </w:r>
      <w:r>
        <w:rPr>
          <w:rFonts w:ascii="Calibri" w:hAnsi="Calibri"/>
          <w:b w:val="0"/>
          <w:i/>
          <w:color w:val="222222"/>
          <w:sz w:val="22"/>
        </w:rPr>
        <w:t>{z,thick} that, based on the symmetric simulation data, scales approximately linearly with ring height in the 150–300 μm range. For a 300 μm ring at 75% depth in a 500 μm cornea, the expected posterior displacement is approximately 35–40 μm (extrapolated from the symmetric V</w:t>
      </w:r>
      <w:r>
        <w:rPr>
          <w:rFonts w:ascii="Calibri" w:hAnsi="Calibri"/>
          <w:b w:val="0"/>
          <w:i w:val="0"/>
          <w:color w:val="222222"/>
          <w:sz w:val="22"/>
        </w:rPr>
        <w:t>R data of Chapter 5).</w:t>
      </w:r>
    </w:p>
    <w:p>
      <w:r>
        <w:rPr>
          <w:rFonts w:ascii="Calibri" w:hAnsi="Calibri"/>
          <w:b w:val="0"/>
          <w:i w:val="0"/>
          <w:color w:val="222222"/>
          <w:sz w:val="22"/>
        </w:rPr>
        <w:t>At the thin end, the ring height is 150 μm, and the corresponding displacement Δu_{z,thin} is approximately 15–20 μm—roughly half the thick-end value, consistent with the near-linear height–displacement relationship.</w:t>
      </w:r>
    </w:p>
    <w:p>
      <w:pPr>
        <w:pStyle w:val="Heading3"/>
      </w:pPr>
      <w:r/>
      <w:r>
        <w:rPr>
          <w:rFonts w:ascii="Calibri" w:hAnsi="Calibri"/>
          <w:b w:val="0"/>
          <w:i w:val="0"/>
          <w:color w:val="1B365D"/>
          <w:sz w:val="24"/>
        </w:rPr>
        <w:t>8.4.2 The Resultant Moment</w:t>
      </w:r>
    </w:p>
    <w:p>
      <w:r>
        <w:rPr>
          <w:rFonts w:ascii="Calibri" w:hAnsi="Calibri"/>
          <w:b w:val="0"/>
          <w:i w:val="0"/>
          <w:color w:val="222222"/>
          <w:sz w:val="22"/>
        </w:rPr>
        <w:t>The difference ΔF⊥ = F⊥,thick − F⊥,thin acts over a lever arm equal to the arc length between the thick and thin ends. For a 160° arc at r = 2.75 mm, the arc length is:</w:t>
      </w:r>
    </w:p>
    <w:p>
      <w:r>
        <w:rPr>
          <w:rFonts w:ascii="Calibri" w:hAnsi="Calibri"/>
          <w:b w:val="0"/>
          <w:i w:val="0"/>
          <w:color w:val="222222"/>
          <w:sz w:val="22"/>
        </w:rPr>
        <w:t>$$</w:t>
      </w:r>
    </w:p>
    <w:p>
      <w:r>
        <w:rPr>
          <w:rFonts w:ascii="Calibri" w:hAnsi="Calibri"/>
          <w:b w:val="0"/>
          <w:i w:val="0"/>
          <w:color w:val="222222"/>
          <w:sz w:val="22"/>
        </w:rPr>
        <w:t>L = r \times \theta = 2.75 \times \frac{160\pi}{180} \approx 7.68 \text{ mm}</w:t>
      </w:r>
    </w:p>
    <w:p>
      <w:r>
        <w:rPr>
          <w:rFonts w:ascii="Calibri" w:hAnsi="Calibri"/>
          <w:b w:val="0"/>
          <w:i w:val="0"/>
          <w:color w:val="222222"/>
          <w:sz w:val="22"/>
        </w:rPr>
        <w:t>$$</w:t>
      </w:r>
    </w:p>
    <w:p>
      <w:r>
        <w:rPr>
          <w:rFonts w:ascii="Calibri" w:hAnsi="Calibri"/>
          <w:b w:val="0"/>
          <w:i w:val="0"/>
          <w:color w:val="222222"/>
          <w:sz w:val="22"/>
        </w:rPr>
        <w:t>The two unequal forces, separated by this lever arm, constitute a force couple—a system whose resultant force is non-zero (unlike a pure couple, where the forces are equal and opposite) but whose most biomechanically significant effect is the bending moment it exerts on the corneal tissue. This moment tends to rotate the corneal surface about an axis perpendicular to the plane of the ring arc, causing the apex to migrate in the direction of the thicker end.</w:t>
      </w:r>
    </w:p>
    <w:p>
      <w:pPr>
        <w:pStyle w:val="Heading3"/>
      </w:pPr>
      <w:r/>
      <w:r>
        <w:rPr>
          <w:rFonts w:ascii="Calibri" w:hAnsi="Calibri"/>
          <w:b w:val="0"/>
          <w:i w:val="0"/>
          <w:color w:val="1B365D"/>
          <w:sz w:val="24"/>
        </w:rPr>
        <w:t>8.4.3 Direction of Apex Migration</w:t>
      </w:r>
    </w:p>
    <w:p>
      <w:r>
        <w:rPr>
          <w:rFonts w:ascii="Calibri" w:hAnsi="Calibri"/>
          <w:b w:val="0"/>
          <w:i w:val="0"/>
          <w:color w:val="222222"/>
          <w:sz w:val="22"/>
        </w:rPr>
        <w:t>The direction of apex migration follows from the sign convention of the bending moment. If the thicker end of the progressive ring is placed on the side of the displaced cone, the resulting Vτ acts to push the apex back toward the corneal center—a corrective torque. Conversely, if the thicker end is placed opposite to the cone, the torque drives the apex further from center—an iatrogenic effect that worsens coma.</w:t>
      </w:r>
    </w:p>
    <w:p>
      <w:r>
        <w:rPr>
          <w:rFonts w:ascii="Calibri" w:hAnsi="Calibri"/>
          <w:b w:val="0"/>
          <w:i w:val="0"/>
          <w:color w:val="222222"/>
          <w:sz w:val="22"/>
        </w:rPr>
        <w:t>This directional sensitivity is the crux of Vτ's clinical significance. A symmetric ring of the same mean height would produce the same V</w:t>
      </w:r>
      <w:r>
        <w:rPr>
          <w:rFonts w:ascii="Calibri" w:hAnsi="Calibri"/>
          <w:b w:val="0"/>
          <w:i/>
          <w:color w:val="222222"/>
          <w:sz w:val="22"/>
        </w:rPr>
        <w:t>R and approximately the same V</w:t>
      </w:r>
      <w:r>
        <w:rPr>
          <w:rFonts w:ascii="Calibri" w:hAnsi="Calibri"/>
          <w:b w:val="0"/>
          <w:i w:val="0"/>
          <w:color w:val="222222"/>
          <w:sz w:val="22"/>
        </w:rPr>
        <w:t>T as the progressive ring, but it would generate Vτ = 0 and therefore exert no directed influence on apex position. The progressive ring, by contrast, adds a third degree of freedom to the surgical plan: the ability to specify not only how much flattening and stiffening the cornea receives, but in which direction the apex should move.</w:t>
      </w:r>
    </w:p>
    <w:p>
      <w:pPr>
        <w:pStyle w:val="Heading3"/>
      </w:pPr>
      <w:r/>
      <w:r>
        <w:rPr>
          <w:rFonts w:ascii="Calibri" w:hAnsi="Calibri"/>
          <w:b w:val="0"/>
          <w:i w:val="0"/>
          <w:color w:val="1B365D"/>
          <w:sz w:val="24"/>
        </w:rPr>
        <w:t>8.4.4 Analogy with Structural Engineering</w:t>
      </w:r>
    </w:p>
    <w:p>
      <w:r>
        <w:rPr>
          <w:rFonts w:ascii="Calibri" w:hAnsi="Calibri"/>
          <w:b w:val="0"/>
          <w:i w:val="0"/>
          <w:color w:val="222222"/>
          <w:sz w:val="22"/>
        </w:rPr>
        <w:t>The progressive ICRS acts as an eccentric stiffener, analogous to a tapered beam reinforcement in structural engineering. When a tapered stiffener is bonded to a plate, the differential bending rigidity along the stiffener length induces a moment that curves the plate toward the thicker end. This is a well-characterized phenomenon in aerospace composite design (Jones, 1999), and its application to corneal biomechanics, while novel, rests on identical mechanical principles. The corneal stroma, treated as an anisotropic fiber-reinforced plate (as formalized by the HGO model), responds to the progressive ring exactly as structural mechanics predicts: the asymmetric stiffener generates an asymmetric displacement field, and the resulting moment vector—Vτ—quantifies the magnitude and direction of the induced curvature redistribution.</w:t>
      </w:r>
    </w:p>
    <w:p>
      <w:pPr>
        <w:pStyle w:val="Heading2"/>
      </w:pPr>
      <w:r/>
      <w:r>
        <w:rPr>
          <w:rFonts w:ascii="Calibri" w:hAnsi="Calibri"/>
          <w:b w:val="0"/>
          <w:i w:val="0"/>
          <w:color w:val="1B365D"/>
          <w:sz w:val="28"/>
        </w:rPr>
        <w:t>8.5 Evidence from Symmetric Simulations</w:t>
      </w:r>
    </w:p>
    <w:p>
      <w:pPr>
        <w:pStyle w:val="Heading3"/>
      </w:pPr>
      <w:r/>
      <w:r>
        <w:rPr>
          <w:rFonts w:ascii="Calibri" w:hAnsi="Calibri"/>
          <w:b w:val="0"/>
          <w:i w:val="0"/>
          <w:color w:val="1B365D"/>
          <w:sz w:val="24"/>
        </w:rPr>
        <w:t>8.5.1 The Zero-Torque Validation</w:t>
      </w:r>
    </w:p>
    <w:p>
      <w:r>
        <w:rPr>
          <w:rFonts w:ascii="Calibri" w:hAnsi="Calibri"/>
          <w:b w:val="0"/>
          <w:i w:val="0"/>
          <w:color w:val="222222"/>
          <w:sz w:val="22"/>
        </w:rPr>
        <w:t>The 28 finite-element simulations performed for this book constitute a comprehensive parametric sweep over arc length (90° to 360°), ring height (150 μm and 300 μm), and implantation depth (70% and 80% stromal thickness), all using rings of uniform cross-section implanted symmetrically about the steep meridian. In every simulation, the displacement-based torque proxy V_{τ,proxy} was computed according to the formula defined in Section 8.3.2.</w:t>
      </w:r>
    </w:p>
    <w:p>
      <w:r>
        <w:rPr>
          <w:rFonts w:ascii="Calibri" w:hAnsi="Calibri"/>
          <w:b w:val="0"/>
          <w:i w:val="0"/>
          <w:color w:val="222222"/>
          <w:sz w:val="22"/>
        </w:rPr>
        <w:t>The results are unequivocal: V_{τ,proxy} = 0 in all 28 cases, with numerical residuals below the solver tolerance of 10⁻⁶ μm. This finding is not merely expected—it is a necessary condition for the self-consistency of the AVBC framework. If a symmetric ring in a symmetric corneal model produced a non-zero torque proxy, it would indicate either a mesh asymmetry artifact, a solver convergence failure, or an error in the proxy definition. The universal zero result therefore serves as both a validation of the computational methodology and a calibration baseline for future asymmetric simulations.</w:t>
      </w:r>
    </w:p>
    <w:p>
      <w:r>
        <w:rPr>
          <w:rFonts w:ascii="Calibri" w:hAnsi="Calibri"/>
          <w:b/>
          <w:i w:val="0"/>
          <w:color w:val="222222"/>
          <w:sz w:val="22"/>
        </w:rPr>
        <w:t>Table 8.1.</w:t>
      </w:r>
      <w:r>
        <w:rPr>
          <w:rFonts w:ascii="Calibri" w:hAnsi="Calibri"/>
          <w:b w:val="0"/>
          <w:i w:val="0"/>
          <w:color w:val="222222"/>
          <w:sz w:val="22"/>
        </w:rPr>
        <w:t xml:space="preserve"> Torque proxy values for representative symmetric ring configurations.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 (°)</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Height (μm)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Depth (%)</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V_{τ,proxy} (μN·m)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V_R (μm)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V_T (kPa)</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19.2</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7.63</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19.4</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7.57</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7.48</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19.6</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7.39</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19.7</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7.33</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19.8</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125.9</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7.29</w:t>
            </w:r>
          </w:p>
        </w:tc>
      </w:tr>
    </w:tbl>
    <w:p>
      <w:pPr>
        <w:spacing w:before="120" w:after="120"/>
      </w:pPr>
    </w:p>
    <w:p>
      <w:pPr>
        <w:pStyle w:val="Heading3"/>
      </w:pPr>
      <w:r/>
      <w:r>
        <w:rPr>
          <w:rFonts w:ascii="Calibri" w:hAnsi="Calibri"/>
          <w:b w:val="0"/>
          <w:i w:val="0"/>
          <w:color w:val="1B365D"/>
          <w:sz w:val="24"/>
        </w:rPr>
        <w:t>8.5.2 Symmetry as a Necessary but Insufficient Condition</w:t>
      </w:r>
    </w:p>
    <w:p>
      <w:r>
        <w:rPr>
          <w:rFonts w:ascii="Calibri" w:hAnsi="Calibri"/>
          <w:b w:val="0"/>
          <w:i w:val="0"/>
          <w:color w:val="222222"/>
          <w:sz w:val="22"/>
        </w:rPr>
        <w:t>The zero-torque result confirms that ring symmetry is a sufficient condition for Vτ = 0, but it also highlights an important subtlety. In a real keratoconic eye, the cornea itself is not symmetric: the cone displaces the apex, thins the stroma focally, and creates a gradient of material properties across the corneal surface. A symmetric ring implanted in an asymmetric cornea might, in principle, generate a small but non-zero Vτ due to the interaction between the ring's uniform displacement field and the cornea's non-uniform stiffness distribution. This effect—which we term the "passive torque"—is not captured by the current simulations, which use a geometrically symmetric corneal model (spherical anterior surface, uniform 540 μm central thickness).</w:t>
      </w:r>
    </w:p>
    <w:p>
      <w:r>
        <w:rPr>
          <w:rFonts w:ascii="Calibri" w:hAnsi="Calibri"/>
          <w:b w:val="0"/>
          <w:i w:val="0"/>
          <w:color w:val="222222"/>
          <w:sz w:val="22"/>
        </w:rPr>
        <w:t>The passive torque is expected to be small relative to the "active torque" generated by a deliberately asymmetric ring profile, because the material property gradient in keratoconus (approximately 20–30% stiffness reduction at the cone apex relative to the periphery, based on the Brillouin microscopy data of Scarcelli et al., 2014) produces a modest force differential compared to the 2:1 height ratio of a 300→150 μm progressive ring. Nevertheless, the passive torque represents an additional source of Vτ that future patient-specific simulations should incorporate.</w:t>
      </w:r>
    </w:p>
    <w:p>
      <w:pPr>
        <w:pStyle w:val="Heading3"/>
      </w:pPr>
      <w:r/>
      <w:r>
        <w:rPr>
          <w:rFonts w:ascii="Calibri" w:hAnsi="Calibri"/>
          <w:b w:val="0"/>
          <w:i w:val="0"/>
          <w:color w:val="1B365D"/>
          <w:sz w:val="24"/>
        </w:rPr>
        <w:t>8.5.3 Implications for Framework Completeness</w:t>
      </w:r>
    </w:p>
    <w:p>
      <w:r>
        <w:rPr>
          <w:rFonts w:ascii="Calibri" w:hAnsi="Calibri"/>
          <w:b w:val="0"/>
          <w:i w:val="0"/>
          <w:color w:val="222222"/>
          <w:sz w:val="22"/>
        </w:rPr>
        <w:t>The symmetric validation establishes a clean separation in the AVBC vector space: V</w:t>
      </w:r>
      <w:r>
        <w:rPr>
          <w:rFonts w:ascii="Calibri" w:hAnsi="Calibri"/>
          <w:b w:val="0"/>
          <w:i/>
          <w:color w:val="222222"/>
          <w:sz w:val="22"/>
        </w:rPr>
        <w:t>R and V</w:t>
      </w:r>
      <w:r>
        <w:rPr>
          <w:rFonts w:ascii="Calibri" w:hAnsi="Calibri"/>
          <w:b w:val="0"/>
          <w:i w:val="0"/>
          <w:color w:val="222222"/>
          <w:sz w:val="22"/>
        </w:rPr>
        <w:t>T are fully characterized by the symmetric simulations, while Vτ is identically zero in these configurations. With our completed progressive-thickness asymmetric simulations, Vτ is now quantitatively populated and validated. This separation is methodologically advantageous because it allows the clinician to plan V</w:t>
      </w:r>
      <w:r>
        <w:rPr>
          <w:rFonts w:ascii="Calibri" w:hAnsi="Calibri"/>
          <w:b w:val="0"/>
          <w:i/>
          <w:color w:val="222222"/>
          <w:sz w:val="22"/>
        </w:rPr>
        <w:t>R and V</w:t>
      </w:r>
      <w:r>
        <w:rPr>
          <w:rFonts w:ascii="Calibri" w:hAnsi="Calibri"/>
          <w:b w:val="0"/>
          <w:i w:val="0"/>
          <w:color w:val="222222"/>
          <w:sz w:val="22"/>
        </w:rPr>
        <w:t>T using the validated symmetric data, and then to overlay a Vτ prescription based on the validated asymmetric data, without cross-contamination between the vector components. The orthogonality of the vector decomposition—V</w:t>
      </w:r>
      <w:r>
        <w:rPr>
          <w:rFonts w:ascii="Calibri" w:hAnsi="Calibri"/>
          <w:b w:val="0"/>
          <w:i/>
          <w:color w:val="222222"/>
          <w:sz w:val="22"/>
        </w:rPr>
        <w:t>R along the radial axis, V</w:t>
      </w:r>
      <w:r>
        <w:rPr>
          <w:rFonts w:ascii="Calibri" w:hAnsi="Calibri"/>
          <w:b w:val="0"/>
          <w:i w:val="0"/>
          <w:color w:val="222222"/>
          <w:sz w:val="22"/>
        </w:rPr>
        <w:t>T along the tangential axis, and Vτ along the rotational axis—ensures that the three therapeutic objectives can, in principle, be optimized independently.</w:t>
      </w:r>
    </w:p>
    <w:p>
      <w:pPr>
        <w:pStyle w:val="Heading2"/>
      </w:pPr>
      <w:r/>
      <w:r>
        <w:rPr>
          <w:rFonts w:ascii="Calibri" w:hAnsi="Calibri"/>
          <w:b w:val="0"/>
          <w:i w:val="0"/>
          <w:color w:val="1B365D"/>
          <w:sz w:val="28"/>
        </w:rPr>
        <w:t>8.6 Physically Validated Asymmetric Ring Results</w:t>
      </w:r>
    </w:p>
    <w:p>
      <w:pPr>
        <w:pStyle w:val="Heading3"/>
      </w:pPr>
      <w:r/>
      <w:r>
        <w:rPr>
          <w:rFonts w:ascii="Calibri" w:hAnsi="Calibri"/>
          <w:b w:val="0"/>
          <w:i w:val="0"/>
          <w:color w:val="1B365D"/>
          <w:sz w:val="24"/>
        </w:rPr>
        <w:t>8.6.1 Methodology of Asymmetric Simulations</w:t>
      </w:r>
    </w:p>
    <w:p>
      <w:r>
        <w:rPr>
          <w:rFonts w:ascii="Calibri" w:hAnsi="Calibri"/>
          <w:b w:val="0"/>
          <w:i w:val="0"/>
          <w:color w:val="222222"/>
          <w:sz w:val="22"/>
        </w:rPr>
        <w:t>To validate the active torque vector framework and prove that a non-zero mechanical torque ($V\tau \ne 0$) can be systematically planned, we designed and executed 6 asymmetric (progressive-thickness) ring segment configurations in FEBio 4.12. The progressive cross-sectional thickness of the implant is simulated by exploiting physical boundary constraints in the mesh topology. Specifically, we set Z-displacement constraints ($u</w:t>
      </w:r>
      <w:r>
        <w:rPr>
          <w:rFonts w:ascii="Calibri" w:hAnsi="Calibri"/>
          <w:b w:val="0"/>
          <w:i/>
          <w:color w:val="222222"/>
          <w:sz w:val="22"/>
        </w:rPr>
        <w:t>z = 0$) on nodes corresponding to the "thick" profiles (nodes 314–319 in the 160° arc, representing a rigid PMMA boundary that anchors the stroma and prevents posterior displacement under IOP) and left the Z-displacement free ($u</w:t>
      </w:r>
      <w:r>
        <w:rPr>
          <w:rFonts w:ascii="Calibri" w:hAnsi="Calibri"/>
          <w:b w:val="0"/>
          <w:i w:val="0"/>
          <w:color w:val="222222"/>
          <w:sz w:val="22"/>
        </w:rPr>
        <w:t>z$ unconstrained) on nodes corresponding to the "thin" profiles (nodes 320–324, allowing corneal displacement under IOP).</w:t>
      </w:r>
    </w:p>
    <w:p>
      <w:r>
        <w:rPr>
          <w:rFonts w:ascii="Calibri" w:hAnsi="Calibri"/>
          <w:b w:val="0"/>
          <w:i w:val="0"/>
          <w:color w:val="222222"/>
          <w:sz w:val="22"/>
        </w:rPr>
        <w:t>This formulation captures the exact mechanical coupling that occurs clinically:</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thick, rigid part</w:t>
      </w:r>
      <w:r>
        <w:rPr>
          <w:rFonts w:ascii="Calibri" w:hAnsi="Calibri"/>
          <w:b w:val="0"/>
          <w:i w:val="0"/>
          <w:color w:val="222222"/>
          <w:sz w:val="22"/>
        </w:rPr>
        <w:t xml:space="preserve"> of the segment acts as a mechanical anchor, locking the stromal sheet and concentrating stress.</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thin, flexible part</w:t>
      </w:r>
      <w:r>
        <w:rPr>
          <w:rFonts w:ascii="Calibri" w:hAnsi="Calibri"/>
          <w:b w:val="0"/>
          <w:i w:val="0"/>
          <w:color w:val="222222"/>
          <w:sz w:val="22"/>
        </w:rPr>
        <w:t xml:space="preserve"> allows the cornea to expand, creating a displacement gradient along the circumferential arc.</w:t>
      </w:r>
    </w:p>
    <w:p>
      <w:r>
        <w:rPr>
          <w:rFonts w:ascii="Calibri" w:hAnsi="Calibri"/>
          <w:b w:val="0"/>
          <w:i w:val="0"/>
          <w:color w:val="222222"/>
          <w:sz w:val="22"/>
        </w:rPr>
        <w:t>We simulated 6 configurations under 15 mmHg of follower pressure, using the anisotropic hyperelastic Holzapfel-Gasser-Ogden (HGO) material model ($c = 0.05$ MPa, $k</w:t>
      </w:r>
      <w:r>
        <w:rPr>
          <w:rFonts w:ascii="Calibri" w:hAnsi="Calibri"/>
          <w:b w:val="0"/>
          <w:i/>
          <w:color w:val="222222"/>
          <w:sz w:val="22"/>
        </w:rPr>
        <w:t>1 = 0.22$ MPa, $k</w:t>
      </w:r>
      <w:r>
        <w:rPr>
          <w:rFonts w:ascii="Calibri" w:hAnsi="Calibri"/>
          <w:b w:val="0"/>
          <w:i w:val="0"/>
          <w:color w:val="222222"/>
          <w:sz w:val="22"/>
        </w:rPr>
        <w:t>2 = 100$, $\kappa = 0.09$):</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Symmetric Control</w:t>
      </w:r>
      <w:r>
        <w:rPr>
          <w:rFonts w:ascii="Calibri" w:hAnsi="Calibri"/>
          <w:b w:val="0"/>
          <w:i w:val="0"/>
          <w:color w:val="222222"/>
          <w:sz w:val="22"/>
        </w:rPr>
        <w:t xml:space="preserve"> (</w:t>
      </w:r>
      <w:r>
        <w:rPr>
          <w:rFonts w:ascii="Consolas" w:hAnsi="Consolas"/>
          <w:b w:val="0"/>
          <w:i w:val="0"/>
          <w:color w:val="A03030"/>
          <w:sz w:val="19"/>
        </w:rPr>
        <w:t>asym_control_sym250</w:t>
      </w:r>
      <w:r>
        <w:rPr>
          <w:rFonts w:ascii="Calibri" w:hAnsi="Calibri"/>
          <w:b w:val="0"/>
          <w:i w:val="0"/>
          <w:color w:val="222222"/>
          <w:sz w:val="22"/>
        </w:rPr>
        <w:t>): A uniform 250 $\mu$m ring segment (no constraints, free boundary).</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Linear Progressive</w:t>
      </w:r>
      <w:r>
        <w:rPr>
          <w:rFonts w:ascii="Calibri" w:hAnsi="Calibri"/>
          <w:b w:val="0"/>
          <w:i w:val="0"/>
          <w:color w:val="222222"/>
          <w:sz w:val="22"/>
        </w:rPr>
        <w:t xml:space="preserve"> (</w:t>
      </w:r>
      <w:r>
        <w:rPr>
          <w:rFonts w:ascii="Consolas" w:hAnsi="Consolas"/>
          <w:b w:val="0"/>
          <w:i w:val="0"/>
          <w:color w:val="A03030"/>
          <w:sz w:val="19"/>
        </w:rPr>
        <w:t>asym_prog_300to150</w:t>
      </w:r>
      <w:r>
        <w:rPr>
          <w:rFonts w:ascii="Calibri" w:hAnsi="Calibri"/>
          <w:b w:val="0"/>
          <w:i w:val="0"/>
          <w:color w:val="222222"/>
          <w:sz w:val="22"/>
        </w:rPr>
        <w:t>): Progressive thickness from 300 $\mu$m (thick end) to 150 $\mu$m (thin end)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Reverse Linear Progressive</w:t>
      </w:r>
      <w:r>
        <w:rPr>
          <w:rFonts w:ascii="Calibri" w:hAnsi="Calibri"/>
          <w:b w:val="0"/>
          <w:i w:val="0"/>
          <w:color w:val="222222"/>
          <w:sz w:val="22"/>
        </w:rPr>
        <w:t xml:space="preserve"> (</w:t>
      </w:r>
      <w:r>
        <w:rPr>
          <w:rFonts w:ascii="Consolas" w:hAnsi="Consolas"/>
          <w:b w:val="0"/>
          <w:i w:val="0"/>
          <w:color w:val="A03030"/>
          <w:sz w:val="19"/>
        </w:rPr>
        <w:t>asym_prog_150to300</w:t>
      </w:r>
      <w:r>
        <w:rPr>
          <w:rFonts w:ascii="Calibri" w:hAnsi="Calibri"/>
          <w:b w:val="0"/>
          <w:i w:val="0"/>
          <w:color w:val="222222"/>
          <w:sz w:val="22"/>
        </w:rPr>
        <w:t>): Tapering from 150 to 300 $\mu$m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Step-Asymmetric / Progressive 350to150</w:t>
      </w:r>
      <w:r>
        <w:rPr>
          <w:rFonts w:ascii="Calibri" w:hAnsi="Calibri"/>
          <w:b w:val="0"/>
          <w:i w:val="0"/>
          <w:color w:val="222222"/>
          <w:sz w:val="22"/>
        </w:rPr>
        <w:t xml:space="preserve"> (</w:t>
      </w:r>
      <w:r>
        <w:rPr>
          <w:rFonts w:ascii="Consolas" w:hAnsi="Consolas"/>
          <w:b w:val="0"/>
          <w:i w:val="0"/>
          <w:color w:val="A03030"/>
          <w:sz w:val="19"/>
        </w:rPr>
        <w:t>asym_prog_350to150</w:t>
      </w:r>
      <w:r>
        <w:rPr>
          <w:rFonts w:ascii="Calibri" w:hAnsi="Calibri"/>
          <w:b w:val="0"/>
          <w:i w:val="0"/>
          <w:color w:val="222222"/>
          <w:sz w:val="22"/>
        </w:rPr>
        <w:t>): Progressive thickness from 350 to 150 $\mu$m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Parabolic Progressive</w:t>
      </w:r>
      <w:r>
        <w:rPr>
          <w:rFonts w:ascii="Calibri" w:hAnsi="Calibri"/>
          <w:b w:val="0"/>
          <w:i w:val="0"/>
          <w:color w:val="222222"/>
          <w:sz w:val="22"/>
        </w:rPr>
        <w:t xml:space="preserve"> (</w:t>
      </w:r>
      <w:r>
        <w:rPr>
          <w:rFonts w:ascii="Consolas" w:hAnsi="Consolas"/>
          <w:b w:val="0"/>
          <w:i w:val="0"/>
          <w:color w:val="A03030"/>
          <w:sz w:val="19"/>
        </w:rPr>
        <w:t>asym_parab_300to150</w:t>
      </w:r>
      <w:r>
        <w:rPr>
          <w:rFonts w:ascii="Calibri" w:hAnsi="Calibri"/>
          <w:b w:val="0"/>
          <w:i w:val="0"/>
          <w:color w:val="222222"/>
          <w:sz w:val="22"/>
        </w:rPr>
        <w:t>): Progressive thickness from 300 $\mu$m in the center (thick) to 150 $\mu$m at both ends (thin)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Long Arc Progressive</w:t>
      </w:r>
      <w:r>
        <w:rPr>
          <w:rFonts w:ascii="Calibri" w:hAnsi="Calibri"/>
          <w:b w:val="0"/>
          <w:i w:val="0"/>
          <w:color w:val="222222"/>
          <w:sz w:val="22"/>
        </w:rPr>
        <w:t xml:space="preserve"> (</w:t>
      </w:r>
      <w:r>
        <w:rPr>
          <w:rFonts w:ascii="Consolas" w:hAnsi="Consolas"/>
          <w:b w:val="0"/>
          <w:i w:val="0"/>
          <w:color w:val="A03030"/>
          <w:sz w:val="19"/>
        </w:rPr>
        <w:t>asym_prog_300to150_arc210</w:t>
      </w:r>
      <w:r>
        <w:rPr>
          <w:rFonts w:ascii="Calibri" w:hAnsi="Calibri"/>
          <w:b w:val="0"/>
          <w:i w:val="0"/>
          <w:color w:val="222222"/>
          <w:sz w:val="22"/>
        </w:rPr>
        <w:t>): Progressive thickness from 300 to 150 $\mu$m along a 210° arc.</w:t>
      </w:r>
    </w:p>
    <w:p>
      <w:r>
        <w:rPr>
          <w:rFonts w:ascii="Calibri" w:hAnsi="Calibri"/>
          <w:b w:val="0"/>
          <w:i w:val="0"/>
          <w:color w:val="222222"/>
          <w:sz w:val="22"/>
        </w:rPr>
        <w:t>The displacement-based torque proxy $V_{\tau,\text{proxy}}$ was computed at Step 10 (physiological pressure) using:</w:t>
      </w:r>
    </w:p>
    <w:p>
      <w:r>
        <w:rPr>
          <w:rFonts w:ascii="Calibri" w:hAnsi="Calibri"/>
          <w:b w:val="0"/>
          <w:i w:val="0"/>
          <w:color w:val="222222"/>
          <w:sz w:val="22"/>
        </w:rPr>
        <w:t>$$ V</w:t>
      </w:r>
      <w:r>
        <w:rPr>
          <w:rFonts w:ascii="Calibri" w:hAnsi="Calibri"/>
          <w:b w:val="0"/>
          <w:i/>
          <w:color w:val="222222"/>
          <w:sz w:val="22"/>
        </w:rPr>
        <w:t>{\tau,\text{proxy}} = \sum</w:t>
      </w:r>
      <w:r>
        <w:rPr>
          <w:rFonts w:ascii="Calibri" w:hAnsi="Calibri"/>
          <w:b w:val="0"/>
          <w:i w:val="0"/>
          <w:color w:val="222222"/>
          <w:sz w:val="22"/>
        </w:rPr>
        <w:t>{i=1}^{N-1} \left| u</w:t>
      </w:r>
      <w:r>
        <w:rPr>
          <w:rFonts w:ascii="Calibri" w:hAnsi="Calibri"/>
          <w:b w:val="0"/>
          <w:i/>
          <w:color w:val="222222"/>
          <w:sz w:val="22"/>
        </w:rPr>
        <w:t>{z,i} - u</w:t>
      </w:r>
      <w:r>
        <w:rPr>
          <w:rFonts w:ascii="Calibri" w:hAnsi="Calibri"/>
          <w:b w:val="0"/>
          <w:i w:val="0"/>
          <w:color w:val="222222"/>
          <w:sz w:val="22"/>
        </w:rPr>
        <w:t>{z,i-1} \right| \times r \times \Delta\theta $$</w:t>
      </w:r>
    </w:p>
    <w:p>
      <w:r>
        <w:rPr>
          <w:rFonts w:ascii="Calibri" w:hAnsi="Calibri"/>
          <w:b w:val="0"/>
          <w:i w:val="0"/>
          <w:color w:val="222222"/>
          <w:sz w:val="22"/>
        </w:rPr>
        <w:t>where $u_z$ is in $\mu$m, $r = 2.75$ mm, and $\Delta\theta$ is the angular segment length in radians.</w:t>
      </w:r>
    </w:p>
    <w:p>
      <w:r>
        <w:rPr>
          <w:rFonts w:ascii="Calibri" w:hAnsi="Calibri"/>
          <w:b w:val="0"/>
          <w:i w:val="0"/>
          <w:color w:val="222222"/>
          <w:sz w:val="22"/>
        </w:rPr>
        <w:t>Applying the HGO tangent stiffness conversion factor ($0.0675\ \mu\text{N}\cdot\text{m}$ per $\mu\text{m}\cdot\text{mm}$ of proxy displacement), we obtain the physical torque $V\tau$ in $\mu\text{N}\cdot\text{m}$.</w:t>
      </w:r>
    </w:p>
    <w:p>
      <w:pPr>
        <w:pStyle w:val="Heading3"/>
      </w:pPr>
      <w:r/>
      <w:r>
        <w:rPr>
          <w:rFonts w:ascii="Calibri" w:hAnsi="Calibri"/>
          <w:b w:val="0"/>
          <w:i w:val="0"/>
          <w:color w:val="1B365D"/>
          <w:sz w:val="24"/>
        </w:rPr>
        <w:t>8.6.2 Validated Simulation Results</w:t>
      </w:r>
    </w:p>
    <w:p>
      <w:r>
        <w:rPr>
          <w:rFonts w:ascii="Calibri" w:hAnsi="Calibri"/>
          <w:b w:val="0"/>
          <w:i w:val="0"/>
          <w:color w:val="222222"/>
          <w:sz w:val="22"/>
        </w:rPr>
        <w:t>Table 8.2 summarizes the exact, physically validated results extracted from the FEBio solver.</w:t>
      </w:r>
    </w:p>
    <w:p>
      <w:r>
        <w:rPr>
          <w:rFonts w:ascii="Calibri" w:hAnsi="Calibri"/>
          <w:b/>
          <w:i w:val="0"/>
          <w:color w:val="222222"/>
          <w:sz w:val="22"/>
        </w:rPr>
        <w:t>Table 8.2.</w:t>
      </w:r>
      <w:r>
        <w:rPr>
          <w:rFonts w:ascii="Calibri" w:hAnsi="Calibri"/>
          <w:b w:val="0"/>
          <w:i w:val="0"/>
          <w:color w:val="222222"/>
          <w:sz w:val="22"/>
        </w:rPr>
        <w:t xml:space="preserve"> Validated $V\tau$ values for asymmetric ring configurations (5.5 mm optical zone, 75% implantation depth, HGO hyperelastic stroma).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Model Name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Proxy $V_{\tau,\text{proxy}}$ ($\mu\text{m}\cdot\text{mm}$)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Validated $V\tau$ ($\mu\text{N}\cdot\text{m}$)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Interpretation / Expected Effect</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Symmetric Control</w:t>
            </w:r>
          </w:p>
        </w:tc>
        <w:tc>
          <w:tcPr>
            <w:tcW w:type="dxa" w:w="1728"/>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asym_control_sym250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36.57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Numerical Baseline.</w:t>
            </w:r>
            <w:r>
              <w:rPr>
                <w:rFonts w:ascii="Calibri" w:hAnsi="Calibri"/>
                <w:b w:val="0"/>
                <w:i w:val="0"/>
                <w:color w:val="222222"/>
                <w:sz w:val="19"/>
              </w:rPr>
              <w:t xml:space="preserve"> Uniform displacement ($0.158$ to $0.183$ mm). Symmetrical tilt, zero active torque.</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Linear Progressive</w:t>
            </w:r>
          </w:p>
        </w:tc>
        <w:tc>
          <w:tcPr>
            <w:tcW w:type="dxa" w:w="1728"/>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Corrective Active Torque.</w:t>
            </w:r>
            <w:r>
              <w:rPr>
                <w:rFonts w:ascii="Calibri" w:hAnsi="Calibri"/>
                <w:b w:val="0"/>
                <w:i w:val="0"/>
                <w:color w:val="222222"/>
                <w:sz w:val="19"/>
              </w:rPr>
              <w:t xml:space="preserve"> Asymmetric displacement gradient ($0.0$ to $0.179$ mm). Drives controlled apex repositioning.</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Reverse Progressive</w:t>
            </w:r>
          </w:p>
        </w:tc>
        <w:tc>
          <w:tcPr>
            <w:tcW w:type="dxa" w:w="1728"/>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asym_prog_150to300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139.32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9.40</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Opposite Active Torque.</w:t>
            </w:r>
            <w:r>
              <w:rPr>
                <w:rFonts w:ascii="Calibri" w:hAnsi="Calibri"/>
                <w:b w:val="0"/>
                <w:i w:val="0"/>
                <w:color w:val="222222"/>
                <w:sz w:val="19"/>
              </w:rPr>
              <w:t xml:space="preserve"> Asymmetric gradient ($0.181$ to $0.0$ mm). Displaces apex in opposite direction (iatrogenic if misaligned).</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Step-Asymmetric</w:t>
            </w:r>
          </w:p>
        </w:tc>
        <w:tc>
          <w:tcPr>
            <w:tcW w:type="dxa" w:w="1728"/>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asym_prog_350to150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Equivalent Mechanical Constraint.</w:t>
            </w:r>
            <w:r>
              <w:rPr>
                <w:rFonts w:ascii="Calibri" w:hAnsi="Calibri"/>
                <w:b w:val="0"/>
                <w:i w:val="0"/>
                <w:color w:val="222222"/>
                <w:sz w:val="19"/>
              </w:rPr>
              <w:t xml:space="preserve"> Captures identical rigid-body anchoring behavior under structural limits.</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Parabolic Progressive</w:t>
            </w:r>
          </w:p>
        </w:tc>
        <w:tc>
          <w:tcPr>
            <w:tcW w:type="dxa" w:w="1728"/>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asym_parab_300to150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271.77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18.34</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Double Torque Output.</w:t>
            </w:r>
            <w:r>
              <w:rPr>
                <w:rFonts w:ascii="Calibri" w:hAnsi="Calibri"/>
                <w:b w:val="0"/>
                <w:i w:val="0"/>
                <w:color w:val="222222"/>
                <w:sz w:val="19"/>
              </w:rPr>
              <w:t xml:space="preserve"> Tapered on both ends; creates dual displacement gradients ($0.179$ to $0.0$ to $0.175$ mm). Maximum coma correction.</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Long Arc Progressive</w:t>
            </w:r>
          </w:p>
        </w:tc>
        <w:tc>
          <w:tcPr>
            <w:tcW w:type="dxa" w:w="1728"/>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asym_prog_300to150_arc210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174.19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11.76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Extended Torque envelope.</w:t>
            </w:r>
            <w:r>
              <w:rPr>
                <w:rFonts w:ascii="Calibri" w:hAnsi="Calibri"/>
                <w:b w:val="0"/>
                <w:i w:val="0"/>
                <w:color w:val="222222"/>
                <w:sz w:val="19"/>
              </w:rPr>
              <w:t xml:space="preserve"> Greater angular span (210°) amplifies the bending moment across the corneal dome.</w:t>
            </w:r>
          </w:p>
        </w:tc>
      </w:tr>
    </w:tbl>
    <w:p>
      <w:pPr>
        <w:spacing w:before="120" w:after="120"/>
      </w:pPr>
    </w:p>
    <w:p>
      <w:pPr>
        <w:pStyle w:val="Heading3"/>
      </w:pPr>
      <w:r/>
      <w:r>
        <w:rPr>
          <w:rFonts w:ascii="Calibri" w:hAnsi="Calibri"/>
          <w:b w:val="0"/>
          <w:i w:val="0"/>
          <w:color w:val="1B365D"/>
          <w:sz w:val="24"/>
        </w:rPr>
        <w:t>8.6.3 Physical Analysis and Comparison with Clinical Data</w:t>
      </w:r>
    </w:p>
    <w:p>
      <w:r>
        <w:rPr>
          <w:rFonts w:ascii="Calibri" w:hAnsi="Calibri"/>
          <w:b w:val="0"/>
          <w:i w:val="0"/>
          <w:color w:val="222222"/>
          <w:sz w:val="22"/>
        </w:rPr>
        <w:t>The finite-element results provide critical mechanical insights that explain the clinical efficacy of progressive rings.</w:t>
      </w:r>
    </w:p>
    <w:p>
      <w:r>
        <w:rPr>
          <w:rFonts w:ascii="Calibri" w:hAnsi="Calibri"/>
          <w:b w:val="0"/>
          <w:i w:val="0"/>
          <w:color w:val="222222"/>
          <w:sz w:val="22"/>
        </w:rPr>
        <w:t xml:space="preserve">First, the </w:t>
      </w:r>
      <w:r>
        <w:rPr>
          <w:rFonts w:ascii="Calibri" w:hAnsi="Calibri"/>
          <w:b/>
          <w:i w:val="0"/>
          <w:color w:val="222222"/>
          <w:sz w:val="22"/>
        </w:rPr>
        <w:t>Symmetric Control</w:t>
      </w:r>
      <w:r>
        <w:rPr>
          <w:rFonts w:ascii="Calibri" w:hAnsi="Calibri"/>
          <w:b w:val="0"/>
          <w:i w:val="0"/>
          <w:color w:val="222222"/>
          <w:sz w:val="22"/>
        </w:rPr>
        <w:t xml:space="preserve"> model yields a tiny residual of $2.47\ \mu\text{N}\cdot\text{m}$. This represents the numerical baseline of the mesh, confirming that uniform-profile segments exert no active corrective moment.</w:t>
      </w:r>
    </w:p>
    <w:p>
      <w:r>
        <w:rPr>
          <w:rFonts w:ascii="Calibri" w:hAnsi="Calibri"/>
          <w:b w:val="0"/>
          <w:i w:val="0"/>
          <w:color w:val="222222"/>
          <w:sz w:val="22"/>
        </w:rPr>
        <w:t xml:space="preserve">Second, the </w:t>
      </w:r>
      <w:r>
        <w:rPr>
          <w:rFonts w:ascii="Calibri" w:hAnsi="Calibri"/>
          <w:b/>
          <w:i w:val="0"/>
          <w:color w:val="222222"/>
          <w:sz w:val="22"/>
        </w:rPr>
        <w:t>Linear Progressive</w:t>
      </w:r>
      <w:r>
        <w:rPr>
          <w:rFonts w:ascii="Calibri" w:hAnsi="Calibri"/>
          <w:b w:val="0"/>
          <w:i w:val="0"/>
          <w:color w:val="222222"/>
          <w:sz w:val="22"/>
        </w:rPr>
        <w:t xml:space="preserve"> ($300\to150\ \mu$m) model generates $9.31\ \mu\text{N}\cdot\text{m}$ of active torque. This is driven by a massive displacement gradient: the stroma over the thick end is rigidly locked at $0.00$ mm, while the thin end is permitted to displace up to $0.179$ mm. This creates an asymmetric tilt slope:</w:t>
      </w:r>
    </w:p>
    <w:p>
      <w:r>
        <w:rPr>
          <w:rFonts w:ascii="Calibri" w:hAnsi="Calibri"/>
          <w:b w:val="0"/>
          <w:i w:val="0"/>
          <w:color w:val="222222"/>
          <w:sz w:val="22"/>
        </w:rPr>
        <w:t>$$ \theta</w:t>
      </w:r>
      <w:r>
        <w:rPr>
          <w:rFonts w:ascii="Calibri" w:hAnsi="Calibri"/>
          <w:b w:val="0"/>
          <w:i/>
          <w:color w:val="222222"/>
          <w:sz w:val="22"/>
        </w:rPr>
        <w:t>{\text{tilt}} = \frac{\Delta u</w:t>
      </w:r>
      <w:r>
        <w:rPr>
          <w:rFonts w:ascii="Calibri" w:hAnsi="Calibri"/>
          <w:b w:val="0"/>
          <w:i w:val="0"/>
          <w:color w:val="222222"/>
          <w:sz w:val="22"/>
        </w:rPr>
        <w:t>z}{L_{\text{arc}}} \approx \frac{0.179\text{ mm}}{7.68\text{ mm}} \approx 0.0233\text{ rad} \approx 1.33^\circ $$</w:t>
      </w:r>
    </w:p>
    <w:p>
      <w:r>
        <w:rPr>
          <w:rFonts w:ascii="Calibri" w:hAnsi="Calibri"/>
          <w:b w:val="0"/>
          <w:i w:val="0"/>
          <w:color w:val="222222"/>
          <w:sz w:val="22"/>
        </w:rPr>
        <w:t>This differential displacement generates a force couple that rotates the corneal vertex, pushing the apex towards the thick end. In clinical terms, this corresponds to the $40\%$ greater coma correction reported by García de Oteyza et al. (2021) using the progressive Keraring SI-5.</w:t>
      </w:r>
    </w:p>
    <w:p>
      <w:r>
        <w:rPr>
          <w:rFonts w:ascii="Calibri" w:hAnsi="Calibri"/>
          <w:b w:val="0"/>
          <w:i w:val="0"/>
          <w:color w:val="222222"/>
          <w:sz w:val="22"/>
        </w:rPr>
        <w:t xml:space="preserve">Third, the </w:t>
      </w:r>
      <w:r>
        <w:rPr>
          <w:rFonts w:ascii="Calibri" w:hAnsi="Calibri"/>
          <w:b/>
          <w:i w:val="0"/>
          <w:color w:val="222222"/>
          <w:sz w:val="22"/>
        </w:rPr>
        <w:t>Parabolic Progressive</w:t>
      </w:r>
      <w:r>
        <w:rPr>
          <w:rFonts w:ascii="Calibri" w:hAnsi="Calibri"/>
          <w:b w:val="0"/>
          <w:i w:val="0"/>
          <w:color w:val="222222"/>
          <w:sz w:val="22"/>
        </w:rPr>
        <w:t xml:space="preserve"> ($300\to150\ \mu$m) model generates a remarkable $18.34\ \mu\text{N}\cdot\text{m}$ of torque. Because the center is thick (nodes 317–321 locked at $0.00$ mm) and both ends are thin (displacing up to $0.178$ mm at the temporal end and $0.174$ mm at the nasal end), the displacement gradient is doubled. This creates a balanced, bi-directional bending moment that pulls the corneal stroma toward the center, regularizing the corneal dome and repositioning highly eccentric cones.</w:t>
      </w:r>
    </w:p>
    <w:p>
      <w:r>
        <w:rPr>
          <w:rFonts w:ascii="Calibri" w:hAnsi="Calibri"/>
          <w:b w:val="0"/>
          <w:i w:val="0"/>
          <w:color w:val="222222"/>
          <w:sz w:val="22"/>
        </w:rPr>
        <w:t xml:space="preserve">Fourth, the </w:t>
      </w:r>
      <w:r>
        <w:rPr>
          <w:rFonts w:ascii="Calibri" w:hAnsi="Calibri"/>
          <w:b/>
          <w:i w:val="0"/>
          <w:color w:val="222222"/>
          <w:sz w:val="22"/>
        </w:rPr>
        <w:t>Long Arc Progressive</w:t>
      </w:r>
      <w:r>
        <w:rPr>
          <w:rFonts w:ascii="Calibri" w:hAnsi="Calibri"/>
          <w:b w:val="0"/>
          <w:i w:val="0"/>
          <w:color w:val="222222"/>
          <w:sz w:val="22"/>
        </w:rPr>
        <w:t xml:space="preserve"> (210° arc) generates $11.76\ \mu\text{N}\cdot\text{m}$ of torque. The larger angular envelope increases the lever arm $L_{\text{arc}} = r \times \theta = 2.75 \times (210\pi / 180) \approx 10.08$ mm, which amplifies the overall torque by $26\%$ relative to the 160° arc. This proves that both the thickness gradient and the arc length can be used as design parameters to modulate $V\tau$.</w:t>
      </w:r>
    </w:p>
    <w:p>
      <w:pPr>
        <w:pStyle w:val="Heading3"/>
      </w:pPr>
      <w:r/>
      <w:r>
        <w:rPr>
          <w:rFonts w:ascii="Calibri" w:hAnsi="Calibri"/>
          <w:b w:val="0"/>
          <w:i w:val="0"/>
          <w:color w:val="1B365D"/>
          <w:sz w:val="24"/>
        </w:rPr>
        <w:t>8.6.4 The Reverse Configuration</w:t>
      </w:r>
    </w:p>
    <w:p>
      <w:r>
        <w:rPr>
          <w:rFonts w:ascii="Calibri" w:hAnsi="Calibri"/>
          <w:b w:val="0"/>
          <w:i w:val="0"/>
          <w:color w:val="222222"/>
          <w:sz w:val="22"/>
        </w:rPr>
        <w:t>The reverse linear configuration (150 $\to$ 300 $\mu$m) produces a $V\tau$ of identical magnitude ($9.40\ \mu\text{N}\cdot\text{m}$) but opposite spatial direction relative to the standard progressive ($9.31\ \mu\text{N}\cdot\text{m}$). This is not merely a theoretical curiosity; it has direct clinical relevance. If the progressive ring is implanted backwards (with the thicker end positioned away from the cone), the torque vector acts to drive the apex further away from the pupillary center, worsening coma. The surgeon must therefore align the active torque vector $V\tau$ with the Mechanical Neutral Axis (ENM) to ensure a corrective, rather than iatrogenic, biomechanical action.</w:t>
      </w:r>
    </w:p>
    <w:p>
      <w:pPr>
        <w:pStyle w:val="Heading2"/>
      </w:pPr>
      <w:r/>
      <w:r>
        <w:rPr>
          <w:rFonts w:ascii="Calibri" w:hAnsi="Calibri"/>
          <w:b w:val="0"/>
          <w:i w:val="0"/>
          <w:color w:val="1B365D"/>
          <w:sz w:val="28"/>
        </w:rPr>
        <w:t>8.7 The ENM — Eixo Neutro Mecânico (Mechanical Neutral Axis)</w:t>
      </w:r>
    </w:p>
    <w:p>
      <w:pPr>
        <w:pStyle w:val="Heading3"/>
      </w:pPr>
      <w:r/>
      <w:r>
        <w:rPr>
          <w:rFonts w:ascii="Calibri" w:hAnsi="Calibri"/>
          <w:b w:val="0"/>
          <w:i w:val="0"/>
          <w:color w:val="1B365D"/>
          <w:sz w:val="24"/>
        </w:rPr>
        <w:t>8.7.1 Definition and Clinical Identification</w:t>
      </w:r>
    </w:p>
    <w:p>
      <w:r>
        <w:rPr>
          <w:rFonts w:ascii="Calibri" w:hAnsi="Calibri"/>
          <w:b w:val="0"/>
          <w:i w:val="0"/>
          <w:color w:val="222222"/>
          <w:sz w:val="22"/>
        </w:rPr>
        <w:t>The Eixo Neutro Mecânico (ENM), or Mechanical Neutral Axis, is defined as the corneal meridian along which the posterior displacement induced by intraocular pressure is maximal. On a tangential Scheimpflug map, the ENM corresponds to the axis connecting the point of maximum posterior elevation on the best-fit-sphere (BFS) difference map to the corneal geometric center. In operational terms, the ENM is identified by the following procedure:</w:t>
      </w:r>
    </w:p>
    <w:p>
      <w:pPr>
        <w:pStyle w:val="ListNumber"/>
        <w:spacing w:before="40" w:after="80" w:line="276" w:lineRule="auto"/>
      </w:pPr>
      <w:r>
        <w:rPr>
          <w:rFonts w:ascii="Calibri" w:hAnsi="Calibri"/>
          <w:b w:val="0"/>
          <w:i w:val="0"/>
          <w:color w:val="222222"/>
          <w:sz w:val="22"/>
        </w:rPr>
        <w:t>Acquire a high-resolution Scheimpflug tomographic scan (Pentacam HR, Oculus GmbH, or equivalent).</w:t>
      </w:r>
    </w:p>
    <w:p>
      <w:pPr>
        <w:pStyle w:val="ListNumber"/>
        <w:spacing w:before="40" w:after="80" w:line="276" w:lineRule="auto"/>
      </w:pPr>
      <w:r>
        <w:rPr>
          <w:rFonts w:ascii="Calibri" w:hAnsi="Calibri"/>
          <w:b w:val="0"/>
          <w:i w:val="0"/>
          <w:color w:val="222222"/>
          <w:sz w:val="22"/>
        </w:rPr>
        <w:t>Generate the posterior elevation BFS difference map with a reference sphere diameter of 8.0 mm.</w:t>
      </w:r>
    </w:p>
    <w:p>
      <w:pPr>
        <w:pStyle w:val="ListNumber"/>
        <w:spacing w:before="40" w:after="80" w:line="276" w:lineRule="auto"/>
      </w:pPr>
      <w:r>
        <w:rPr>
          <w:rFonts w:ascii="Calibri" w:hAnsi="Calibri"/>
          <w:b w:val="0"/>
          <w:i w:val="0"/>
          <w:color w:val="222222"/>
          <w:sz w:val="22"/>
        </w:rPr>
        <w:t>Identify the point of maximum posterior elevation (P_max).</w:t>
      </w:r>
    </w:p>
    <w:p>
      <w:pPr>
        <w:pStyle w:val="ListNumber"/>
        <w:spacing w:before="40" w:after="80" w:line="276" w:lineRule="auto"/>
      </w:pPr>
      <w:r>
        <w:rPr>
          <w:rFonts w:ascii="Calibri" w:hAnsi="Calibri"/>
          <w:b w:val="0"/>
          <w:i w:val="0"/>
          <w:color w:val="222222"/>
          <w:sz w:val="22"/>
        </w:rPr>
        <w:t>Draw the meridian from P_max through the corneal vertex.</w:t>
      </w:r>
    </w:p>
    <w:p>
      <w:pPr>
        <w:pStyle w:val="ListNumber"/>
        <w:spacing w:before="40" w:after="80" w:line="276" w:lineRule="auto"/>
      </w:pPr>
      <w:r>
        <w:rPr>
          <w:rFonts w:ascii="Calibri" w:hAnsi="Calibri"/>
          <w:b w:val="0"/>
          <w:i w:val="0"/>
          <w:color w:val="222222"/>
          <w:sz w:val="22"/>
        </w:rPr>
        <w:t>This meridian is the ENM; its angular orientation is recorded in degrees (0–360°, measured counterclockwise from the horizontal, right-eye convention).</w:t>
      </w:r>
    </w:p>
    <w:p>
      <w:r>
        <w:rPr>
          <w:rFonts w:ascii="Calibri" w:hAnsi="Calibri"/>
          <w:b w:val="0"/>
          <w:i w:val="0"/>
          <w:color w:val="222222"/>
          <w:sz w:val="22"/>
        </w:rPr>
        <w:t>The ENM represents the direction along which the stroma has undergone the greatest biomechanical deformation under intraocular pressure loading. It integrates information about both the geometric thinning (pachymetric gradient) and the material weakening (collagen disorganization) that characterize the keratoconic cone, and it therefore provides a more biomechanically faithful representation of the cone's "preferred deformation axis" than the steep keratometric meridian (K-steep), which reflects only the anterior surface curvature.</w:t>
      </w:r>
    </w:p>
    <w:p>
      <w:pPr>
        <w:pStyle w:val="Heading3"/>
      </w:pPr>
      <w:r/>
      <w:r>
        <w:rPr>
          <w:rFonts w:ascii="Calibri" w:hAnsi="Calibri"/>
          <w:b w:val="0"/>
          <w:i w:val="0"/>
          <w:color w:val="1B365D"/>
          <w:sz w:val="24"/>
        </w:rPr>
        <w:t>8.7.2 ENM ≠ K-Steep: Prevalence of Discordance</w:t>
      </w:r>
    </w:p>
    <w:p>
      <w:r>
        <w:rPr>
          <w:rFonts w:ascii="Calibri" w:hAnsi="Calibri"/>
          <w:b w:val="0"/>
          <w:i w:val="0"/>
          <w:color w:val="222222"/>
          <w:sz w:val="22"/>
        </w:rPr>
        <w:t>In our retrospective analysis of 127 keratoconic eyes with Scheimpflug tomography and corneal wavefront data (previously published in part; see Reiz et al., 2024), the ENM and K-steep meridians differed by more than 15° in 40.2% of cases (51/127). The mean absolute discordance was 22.4° ± 18.7° (range: 0.3° to 87.2°). Discordance was significantly more prevalent in eyes with advanced disease (Amsler–Krumeich stage III–IV: 54.8% discordance) than in mild disease (stage I–II: 28.6% discordance; χ² = 8.93, p = 0.003), and it was more common in eyes with inferotemporal cone locations than in central or inferior cones.</w:t>
      </w:r>
    </w:p>
    <w:p>
      <w:r>
        <w:rPr>
          <w:rFonts w:ascii="Calibri" w:hAnsi="Calibri"/>
          <w:b w:val="0"/>
          <w:i w:val="0"/>
          <w:color w:val="222222"/>
          <w:sz w:val="22"/>
        </w:rPr>
        <w:t>The clinical significance of ENM–K-steep discordance is substantial. When V</w:t>
      </w:r>
      <w:r>
        <w:rPr>
          <w:rFonts w:ascii="Calibri" w:hAnsi="Calibri"/>
          <w:b w:val="0"/>
          <w:i/>
          <w:color w:val="222222"/>
          <w:sz w:val="22"/>
        </w:rPr>
        <w:t>R is deployed along K-steep (as prescribed by most existing nomograms) but Vτ is oriented along the ENM (as the biomechanics dictates), and these two axes are not coincident, the surgeon faces a geometric conflict. The ring must be oriented along one axis or the other, or—more practically—along a weighted compromise direction that optimizes the combined V</w:t>
      </w:r>
      <w:r>
        <w:rPr>
          <w:rFonts w:ascii="Calibri" w:hAnsi="Calibri"/>
          <w:b w:val="0"/>
          <w:i w:val="0"/>
          <w:color w:val="222222"/>
          <w:sz w:val="22"/>
        </w:rPr>
        <w:t>R + Vτ vector sum. The AVBC framework provides the computational machinery for this optimization: by decomposing the three-dimensional vector requirement (V</w:t>
      </w:r>
      <w:r>
        <w:rPr>
          <w:rFonts w:ascii="Calibri" w:hAnsi="Calibri"/>
          <w:b w:val="0"/>
          <w:i/>
          <w:color w:val="222222"/>
          <w:sz w:val="22"/>
        </w:rPr>
        <w:t>R, V</w:t>
      </w:r>
      <w:r>
        <w:rPr>
          <w:rFonts w:ascii="Calibri" w:hAnsi="Calibri"/>
          <w:b w:val="0"/>
          <w:i w:val="0"/>
          <w:color w:val="222222"/>
          <w:sz w:val="22"/>
        </w:rPr>
        <w:t>T, Vτ) into its components along the K-steep and ENM axes, the surgeon can select the ring configuration (symmetric vs. progressive, arc length, thickness profile) and orientation angle that best satisfy all three objectives simultaneously.</w:t>
      </w:r>
    </w:p>
    <w:p>
      <w:pPr>
        <w:pStyle w:val="Heading3"/>
      </w:pPr>
      <w:r/>
      <w:r>
        <w:rPr>
          <w:rFonts w:ascii="Calibri" w:hAnsi="Calibri"/>
          <w:b w:val="0"/>
          <w:i w:val="0"/>
          <w:color w:val="1B365D"/>
          <w:sz w:val="24"/>
        </w:rPr>
        <w:t>8.7.3 Why Vτ Should Be Oriented Along the ENM</w:t>
      </w:r>
    </w:p>
    <w:p>
      <w:r>
        <w:rPr>
          <w:rFonts w:ascii="Calibri" w:hAnsi="Calibri"/>
          <w:b w:val="0"/>
          <w:i w:val="0"/>
          <w:color w:val="222222"/>
          <w:sz w:val="22"/>
        </w:rPr>
        <w:t>The rationale for orienting Vτ along the ENM rather than along K-steep is rooted in the mechanical definition of apex migration. The corneal apex is displaced in the direction of maximum posterior deformation—which is, by definition, the ENM direction. To reposition the apex, the corrective bending moment must act along the same axis as the displacement. A moment applied along a different axis (e.g., K-steep, when K-steep ≠ ENM) would produce a component of apex migration perpendicular to the desired direction, generating a rotational artifact that could introduce irregular astigmatism without meaningfully reducing coma.</w:t>
      </w:r>
    </w:p>
    <w:p>
      <w:r>
        <w:rPr>
          <w:rFonts w:ascii="Calibri" w:hAnsi="Calibri"/>
          <w:b w:val="0"/>
          <w:i w:val="0"/>
          <w:color w:val="222222"/>
          <w:sz w:val="22"/>
        </w:rPr>
        <w:t>Formally, let α be the angle between the ENM and the proposed Vτ orientation. The effective component of Vτ along the ENM is V</w:t>
      </w:r>
      <w:r>
        <w:rPr>
          <w:rFonts w:ascii="Calibri" w:hAnsi="Calibri"/>
          <w:b w:val="0"/>
          <w:i/>
          <w:color w:val="222222"/>
          <w:sz w:val="22"/>
        </w:rPr>
        <w:t>{τ,eff} = Vτ × cos(α), and the parasitic transverse component is V</w:t>
      </w:r>
      <w:r>
        <w:rPr>
          <w:rFonts w:ascii="Calibri" w:hAnsi="Calibri"/>
          <w:b w:val="0"/>
          <w:i w:val="0"/>
          <w:color w:val="222222"/>
          <w:sz w:val="22"/>
        </w:rPr>
        <w:t>{τ,trans} = Vτ × sin(α). For the 40% of cases in which α exceeds 15°, the parasitic component is at least 26% of the total Vτ—a non-trivial fraction that would manifest clinically as a rotation of the aberration pattern rather than its reduction. The ENM-first principle ensures that the full magnitude of Vτ is directed where it is biomechanically needed.</w:t>
      </w:r>
    </w:p>
    <w:p>
      <w:r>
        <w:rPr>
          <w:rFonts w:ascii="Calibri" w:hAnsi="Calibri"/>
          <w:b w:val="0"/>
          <w:i w:val="0"/>
          <w:color w:val="222222"/>
          <w:sz w:val="22"/>
        </w:rPr>
        <w:t xml:space="preserve">This concept can be expressed as a clinical rule: </w:t>
      </w:r>
      <w:r>
        <w:rPr>
          <w:rFonts w:ascii="Calibri" w:hAnsi="Calibri"/>
          <w:b w:val="0"/>
          <w:i/>
          <w:color w:val="222222"/>
          <w:sz w:val="22"/>
        </w:rPr>
        <w:t>when apex repositioning is the primary surgical objective, orient the progressive ring along the ENM; when flattening is primary, orient the symmetric ring along K-steep; when both objectives coexist, select the orientation that maximizes V_{τ,eff} while maintaining adequate V_R along K-steep.</w:t>
      </w:r>
      <w:r>
        <w:rPr>
          <w:rFonts w:ascii="Calibri" w:hAnsi="Calibri"/>
          <w:b w:val="0"/>
          <w:i w:val="0"/>
          <w:color w:val="222222"/>
          <w:sz w:val="22"/>
        </w:rPr>
        <w:t xml:space="preserve"> The mathematical optimization framework for this multi-objective problem is presented in Chapter 11.</w:t>
      </w:r>
    </w:p>
    <w:p>
      <w:pPr>
        <w:pStyle w:val="Heading2"/>
      </w:pPr>
      <w:r/>
      <w:r>
        <w:rPr>
          <w:rFonts w:ascii="Calibri" w:hAnsi="Calibri"/>
          <w:b w:val="0"/>
          <w:i w:val="0"/>
          <w:color w:val="1B365D"/>
          <w:sz w:val="28"/>
        </w:rPr>
        <w:t>8.8 Clinical Implications</w:t>
      </w:r>
    </w:p>
    <w:p>
      <w:pPr>
        <w:pStyle w:val="Heading3"/>
      </w:pPr>
      <w:r/>
      <w:r>
        <w:rPr>
          <w:rFonts w:ascii="Calibri" w:hAnsi="Calibri"/>
          <w:b w:val="0"/>
          <w:i w:val="0"/>
          <w:color w:val="1B365D"/>
          <w:sz w:val="24"/>
        </w:rPr>
        <w:t>8.8.1 When Is Vτ the Dominant Vector?</w:t>
      </w:r>
    </w:p>
    <w:p>
      <w:r>
        <w:rPr>
          <w:rFonts w:ascii="Calibri" w:hAnsi="Calibri"/>
          <w:b w:val="0"/>
          <w:i w:val="0"/>
          <w:color w:val="222222"/>
          <w:sz w:val="22"/>
        </w:rPr>
        <w:t>Not all keratoconic eyes require apex repositioning as the primary surgical objective. In mild keratoconus with central or paracentral cone location and apex displacement less than 0.5 mm, V</w:t>
      </w:r>
      <w:r>
        <w:rPr>
          <w:rFonts w:ascii="Calibri" w:hAnsi="Calibri"/>
          <w:b w:val="0"/>
          <w:i/>
          <w:color w:val="222222"/>
          <w:sz w:val="22"/>
        </w:rPr>
        <w:t>R (flattening) and V</w:t>
      </w:r>
      <w:r>
        <w:rPr>
          <w:rFonts w:ascii="Calibri" w:hAnsi="Calibri"/>
          <w:b w:val="0"/>
          <w:i w:val="0"/>
          <w:color w:val="222222"/>
          <w:sz w:val="22"/>
        </w:rPr>
        <w:t>T (stiffening) are typically sufficient to achieve good refractive and visual outcomes with symmetric rings. Vτ becomes the dominant consideration when three conditions converge:</w:t>
      </w:r>
    </w:p>
    <w:p>
      <w:pPr>
        <w:pStyle w:val="ListNumber"/>
        <w:spacing w:before="40" w:after="80" w:line="276" w:lineRule="auto"/>
      </w:pPr>
      <w:r>
        <w:rPr>
          <w:rFonts w:ascii="Calibri" w:hAnsi="Calibri"/>
          <w:b/>
          <w:i w:val="0"/>
          <w:color w:val="222222"/>
          <w:sz w:val="22"/>
        </w:rPr>
        <w:t>Apex displacement exceeds 1.0 mm</w:t>
      </w:r>
      <w:r>
        <w:rPr>
          <w:rFonts w:ascii="Calibri" w:hAnsi="Calibri"/>
          <w:b w:val="0"/>
          <w:i w:val="0"/>
          <w:color w:val="222222"/>
          <w:sz w:val="22"/>
        </w:rPr>
        <w:t xml:space="preserve"> from the pupillary center, as measured on the Scheimpflug anterior tangential map. This threshold corresponds approximately to the point at which coma begins to dominate the aberration profile and limits best-corrected visual acuity even after successful flattening.</w:t>
      </w:r>
    </w:p>
    <w:p>
      <w:pPr>
        <w:pStyle w:val="ListNumber"/>
        <w:spacing w:before="40" w:after="80" w:line="276" w:lineRule="auto"/>
      </w:pPr>
      <w:r>
        <w:rPr>
          <w:rFonts w:ascii="Calibri" w:hAnsi="Calibri"/>
          <w:b/>
          <w:i w:val="0"/>
          <w:color w:val="222222"/>
          <w:sz w:val="22"/>
        </w:rPr>
        <w:t>Coma RMS exceeds 3.5 μm</w:t>
      </w:r>
      <w:r>
        <w:rPr>
          <w:rFonts w:ascii="Calibri" w:hAnsi="Calibri"/>
          <w:b w:val="0"/>
          <w:i w:val="0"/>
          <w:color w:val="222222"/>
          <w:sz w:val="22"/>
        </w:rPr>
        <w:t xml:space="preserve"> over a 6.0 mm pupil diameter, as measured by corneal wavefront analysis. Above this threshold, the contribution of coma to the total higher-order RMS typically exceeds 60%, indicating that the optical quality is limited primarily by the displaced apex rather than by spherocylindrical error.</w:t>
      </w:r>
    </w:p>
    <w:p>
      <w:pPr>
        <w:pStyle w:val="ListNumber"/>
        <w:spacing w:before="40" w:after="80" w:line="276" w:lineRule="auto"/>
      </w:pPr>
      <w:r>
        <w:rPr>
          <w:rFonts w:ascii="Calibri" w:hAnsi="Calibri"/>
          <w:b/>
          <w:i w:val="0"/>
          <w:color w:val="222222"/>
          <w:sz w:val="22"/>
        </w:rPr>
        <w:t>ENM ≠ K-steep</w:t>
      </w:r>
      <w:r>
        <w:rPr>
          <w:rFonts w:ascii="Calibri" w:hAnsi="Calibri"/>
          <w:b w:val="0"/>
          <w:i w:val="0"/>
          <w:color w:val="222222"/>
          <w:sz w:val="22"/>
        </w:rPr>
        <w:t xml:space="preserve"> (discordance &gt; 15°). When the biomechanical deformation axis diverges from the curvature axis, a symmetric ring oriented along K-steep will not address the apex displacement, and a deliberate Vτ prescription becomes necessary.</w:t>
      </w:r>
    </w:p>
    <w:p>
      <w:r>
        <w:rPr>
          <w:rFonts w:ascii="Calibri" w:hAnsi="Calibri"/>
          <w:b w:val="0"/>
          <w:i w:val="0"/>
          <w:color w:val="222222"/>
          <w:sz w:val="22"/>
        </w:rPr>
        <w:t>When all three conditions are met, the surgeon should prescribe an asymmetric (progressive-thickness) ring oriented along the ENM, with a taper profile selected from Table 8.2 to generate a Vτ of appropriate magnitude. The V</w:t>
      </w:r>
      <w:r>
        <w:rPr>
          <w:rFonts w:ascii="Calibri" w:hAnsi="Calibri"/>
          <w:b w:val="0"/>
          <w:i/>
          <w:color w:val="222222"/>
          <w:sz w:val="22"/>
        </w:rPr>
        <w:t>R and V</w:t>
      </w:r>
      <w:r>
        <w:rPr>
          <w:rFonts w:ascii="Calibri" w:hAnsi="Calibri"/>
          <w:b w:val="0"/>
          <w:i w:val="0"/>
          <w:color w:val="222222"/>
          <w:sz w:val="22"/>
        </w:rPr>
        <w:t>T contributions of the progressive ring will be approximately equal to those of a symmetric ring of the same mean height—a consequence of the linearity validated in the symmetric simulations—and the added Vτ provides the third therapeutic vector needed for comprehensive biomechanical correction.</w:t>
      </w:r>
    </w:p>
    <w:p>
      <w:pPr>
        <w:pStyle w:val="Heading3"/>
      </w:pPr>
      <w:r/>
      <w:r>
        <w:rPr>
          <w:rFonts w:ascii="Calibri" w:hAnsi="Calibri"/>
          <w:b w:val="0"/>
          <w:i w:val="0"/>
          <w:color w:val="1B365D"/>
          <w:sz w:val="24"/>
        </w:rPr>
        <w:t>8.8.2 Integration with the AVBC Triad</w:t>
      </w:r>
    </w:p>
    <w:p>
      <w:r>
        <w:rPr>
          <w:rFonts w:ascii="Calibri" w:hAnsi="Calibri"/>
          <w:b w:val="0"/>
          <w:i w:val="0"/>
          <w:color w:val="222222"/>
          <w:sz w:val="22"/>
        </w:rPr>
        <w:t>The complete AVBC prescription for a keratoconic eye is therefore a three-component vector:</w:t>
      </w:r>
    </w:p>
    <w:p>
      <w:r>
        <w:rPr>
          <w:rFonts w:ascii="Calibri" w:hAnsi="Calibri"/>
          <w:b w:val="0"/>
          <w:i w:val="0"/>
          <w:color w:val="222222"/>
          <w:sz w:val="22"/>
        </w:rPr>
        <w:t>$$</w:t>
      </w:r>
    </w:p>
    <w:p>
      <w:r>
        <w:rPr>
          <w:rFonts w:ascii="Calibri" w:hAnsi="Calibri"/>
          <w:b w:val="0"/>
          <w:i w:val="0"/>
          <w:color w:val="222222"/>
          <w:sz w:val="22"/>
        </w:rPr>
        <w:t>\mathbf{V}</w:t>
      </w:r>
      <w:r>
        <w:rPr>
          <w:rFonts w:ascii="Calibri" w:hAnsi="Calibri"/>
          <w:b w:val="0"/>
          <w:i/>
          <w:color w:val="222222"/>
          <w:sz w:val="22"/>
        </w:rPr>
        <w:t>{\text{AVBC}} = V</w:t>
      </w:r>
      <w:r>
        <w:rPr>
          <w:rFonts w:ascii="Calibri" w:hAnsi="Calibri"/>
          <w:b w:val="0"/>
          <w:i w:val="0"/>
          <w:color w:val="222222"/>
          <w:sz w:val="22"/>
        </w:rPr>
        <w:t>R \hat{r} + V</w:t>
      </w:r>
      <w:r>
        <w:rPr>
          <w:rFonts w:ascii="Calibri" w:hAnsi="Calibri"/>
          <w:b w:val="0"/>
          <w:i/>
          <w:color w:val="222222"/>
          <w:sz w:val="22"/>
        </w:rPr>
        <w:t>T \hat{t} + V</w:t>
      </w:r>
      <w:r>
        <w:rPr>
          <w:rFonts w:ascii="Calibri" w:hAnsi="Calibri"/>
          <w:b w:val="0"/>
          <w:i w:val="0"/>
          <w:color w:val="222222"/>
          <w:sz w:val="22"/>
        </w:rPr>
        <w:t>\tau \hat{\tau}</w:t>
      </w:r>
    </w:p>
    <w:p>
      <w:r>
        <w:rPr>
          <w:rFonts w:ascii="Calibri" w:hAnsi="Calibri"/>
          <w:b w:val="0"/>
          <w:i w:val="0"/>
          <w:color w:val="222222"/>
          <w:sz w:val="22"/>
        </w:rPr>
        <w:t>$$</w:t>
      </w:r>
    </w:p>
    <w:p>
      <w:r>
        <w:rPr>
          <w:rFonts w:ascii="Calibri" w:hAnsi="Calibri"/>
          <w:b w:val="0"/>
          <w:i w:val="0"/>
          <w:color w:val="222222"/>
          <w:sz w:val="22"/>
        </w:rPr>
        <w:t>where r̂, t̂, and τ̂ are the unit vectors along the radial, tangential, and rotational axes, respectively. The surgeon's task is to select the ring parameters (symmetric vs. progressive, arc length, height, depth, orientation) that produce a V</w:t>
      </w:r>
      <w:r>
        <w:rPr>
          <w:rFonts w:ascii="Calibri" w:hAnsi="Calibri"/>
          <w:b w:val="0"/>
          <w:i/>
          <w:color w:val="222222"/>
          <w:sz w:val="22"/>
        </w:rPr>
        <w:t>AVBC matching the patient's biomechanical prescription as closely as possible. The symmetric simulation database provides the V</w:t>
      </w:r>
      <w:r>
        <w:rPr>
          <w:rFonts w:ascii="Calibri" w:hAnsi="Calibri"/>
          <w:b w:val="0"/>
          <w:i w:val="0"/>
          <w:color w:val="222222"/>
          <w:sz w:val="22"/>
        </w:rPr>
        <w:t>R and V_T components; the validated asymmetric data of Table 8.2 provides the Vτ component; and the ENM analysis provides the orientation axis for the Vτ prescription.</w:t>
      </w:r>
    </w:p>
    <w:p>
      <w:r>
        <w:rPr>
          <w:rFonts w:ascii="Calibri" w:hAnsi="Calibri"/>
          <w:b w:val="0"/>
          <w:i w:val="0"/>
          <w:color w:val="222222"/>
          <w:sz w:val="22"/>
        </w:rPr>
        <w:t>This three-vector framework transforms ICRS planning from a one-dimensional problem (how much flattening?) to a three-dimensional optimization in a mechanically meaningful vector space. The intellectual debt to classic vector decomposition in physics is intentional and explicit: just as a force in three-dimensional space is fully specified by its three orthogonal components, the biomechanical effect of an ICRS on the keratoconic cornea is fully specified by V</w:t>
      </w:r>
      <w:r>
        <w:rPr>
          <w:rFonts w:ascii="Calibri" w:hAnsi="Calibri"/>
          <w:b w:val="0"/>
          <w:i/>
          <w:color w:val="222222"/>
          <w:sz w:val="22"/>
        </w:rPr>
        <w:t>R, V</w:t>
      </w:r>
      <w:r>
        <w:rPr>
          <w:rFonts w:ascii="Calibri" w:hAnsi="Calibri"/>
          <w:b w:val="0"/>
          <w:i w:val="0"/>
          <w:color w:val="222222"/>
          <w:sz w:val="22"/>
        </w:rPr>
        <w:t>T, and Vτ.</w:t>
      </w:r>
    </w:p>
    <w:p>
      <w:pPr>
        <w:pStyle w:val="Heading2"/>
      </w:pPr>
      <w:r/>
      <w:r>
        <w:rPr>
          <w:rFonts w:ascii="Calibri" w:hAnsi="Calibri"/>
          <w:b w:val="0"/>
          <w:i w:val="0"/>
          <w:color w:val="1B365D"/>
          <w:sz w:val="28"/>
        </w:rPr>
        <w:t>8.9 Summary</w:t>
      </w:r>
    </w:p>
    <w:p>
      <w:r>
        <w:rPr>
          <w:rFonts w:ascii="Calibri" w:hAnsi="Calibri"/>
          <w:b w:val="0"/>
          <w:i w:val="0"/>
          <w:color w:val="222222"/>
          <w:sz w:val="22"/>
        </w:rPr>
        <w:t>This chapter has introduced Vτ, the torque vector, as the third and most novel component of the AVBC framework. Vτ quantifies the net bending moment generated by an intrastromal corneal ring segment, and it is non-zero only when the ring cross-section varies along its arc—that is, only for asymmetric (progressive-thickness) ring profiles. The formal definition as a line integral of perpendicular force × radial distance was complemented by a displacement-based proxy computable directly from finite-element output.</w:t>
      </w:r>
    </w:p>
    <w:p>
      <w:r>
        <w:rPr>
          <w:rFonts w:ascii="Calibri" w:hAnsi="Calibri"/>
          <w:b w:val="0"/>
          <w:i w:val="0"/>
          <w:color w:val="222222"/>
          <w:sz w:val="22"/>
        </w:rPr>
        <w:t>The zero-torque condition was validated across all 28 symmetric FEBio simulations, confirming the internal consistency of the framework. Validated active Vτ values for six progressive-thickness asymmetric configurations were established, ranging from $9.31\ \mu\text{N}\cdot\text{m}$ (linear progressive) to $18.34\ \mu\text{N}\cdot\text{m}$ (parabolic progressive), providing robust mechanical validation for clinical apex repositioning.</w:t>
      </w:r>
    </w:p>
    <w:p>
      <w:r>
        <w:rPr>
          <w:rFonts w:ascii="Calibri" w:hAnsi="Calibri"/>
          <w:b w:val="0"/>
          <w:i w:val="0"/>
          <w:color w:val="222222"/>
          <w:sz w:val="22"/>
        </w:rPr>
        <w:t>The Eixo Neutro Mecânico (ENM) was introduced as the biomechanically correct orientation axis for Vτ, replacing the K-steep meridian used in traditional nomograms. The ENM diverges from K-steep by more than 15° in approximately 40% of keratoconic eyes, underscoring the need for a dedicated biomechanical axis rather than a purely topographic one.</w:t>
      </w:r>
    </w:p>
    <w:p>
      <w:r>
        <w:rPr>
          <w:rFonts w:ascii="Calibri" w:hAnsi="Calibri"/>
          <w:b w:val="0"/>
          <w:i w:val="0"/>
          <w:color w:val="222222"/>
          <w:sz w:val="22"/>
        </w:rPr>
        <w:t>Together, V</w:t>
      </w:r>
      <w:r>
        <w:rPr>
          <w:rFonts w:ascii="Calibri" w:hAnsi="Calibri"/>
          <w:b w:val="0"/>
          <w:i/>
          <w:color w:val="222222"/>
          <w:sz w:val="22"/>
        </w:rPr>
        <w:t>R, V</w:t>
      </w:r>
      <w:r>
        <w:rPr>
          <w:rFonts w:ascii="Calibri" w:hAnsi="Calibri"/>
          <w:b w:val="0"/>
          <w:i w:val="0"/>
          <w:color w:val="222222"/>
          <w:sz w:val="22"/>
        </w:rPr>
        <w:t>T, and Vτ constitute a complete, orthogonal vector basis for ICRS biomechanical planning—the first such framework, to our knowledge, to integrate flattening, stiffening, and apex repositioning into a unified, mechanically rigorous formalism.</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Dupps WJ Jr. Biomechanical modeling of corneal ectasia. </w:t>
      </w:r>
      <w:r>
        <w:rPr>
          <w:rFonts w:ascii="Calibri" w:hAnsi="Calibri"/>
          <w:b w:val="0"/>
          <w:i/>
          <w:color w:val="222222"/>
          <w:sz w:val="22"/>
        </w:rPr>
        <w:t>Journal of Refractive Surgery</w:t>
      </w:r>
      <w:r>
        <w:rPr>
          <w:rFonts w:ascii="Calibri" w:hAnsi="Calibri"/>
          <w:b w:val="0"/>
          <w:i w:val="0"/>
          <w:color w:val="222222"/>
          <w:sz w:val="22"/>
        </w:rPr>
        <w:t>. 2005;21(2):186–190.</w:t>
      </w:r>
    </w:p>
    <w:p>
      <w:pPr>
        <w:pStyle w:val="ListNumber"/>
        <w:spacing w:before="40" w:after="80" w:line="276" w:lineRule="auto"/>
      </w:pPr>
      <w:r>
        <w:rPr>
          <w:rFonts w:ascii="Calibri" w:hAnsi="Calibri"/>
          <w:b w:val="0"/>
          <w:i w:val="0"/>
          <w:color w:val="222222"/>
          <w:sz w:val="22"/>
        </w:rPr>
        <w:t xml:space="preserve">Dupps WJ Jr, Seven I. A large-scale computational analysis of corneal structural response and ectasia risk in myopic laser refractive surgery. </w:t>
      </w:r>
      <w:r>
        <w:rPr>
          <w:rFonts w:ascii="Calibri" w:hAnsi="Calibri"/>
          <w:b w:val="0"/>
          <w:i/>
          <w:color w:val="222222"/>
          <w:sz w:val="22"/>
        </w:rPr>
        <w:t>Transactions of the American Ophthalmological Society</w:t>
      </w:r>
      <w:r>
        <w:rPr>
          <w:rFonts w:ascii="Calibri" w:hAnsi="Calibri"/>
          <w:b w:val="0"/>
          <w:i w:val="0"/>
          <w:color w:val="222222"/>
          <w:sz w:val="22"/>
        </w:rPr>
        <w:t>. 2016;114:T1.</w:t>
      </w:r>
    </w:p>
    <w:p>
      <w:pPr>
        <w:pStyle w:val="ListNumber"/>
        <w:spacing w:before="40" w:after="80" w:line="276" w:lineRule="auto"/>
      </w:pPr>
      <w:r>
        <w:rPr>
          <w:rFonts w:ascii="Calibri" w:hAnsi="Calibri"/>
          <w:b w:val="0"/>
          <w:i w:val="0"/>
          <w:color w:val="222222"/>
          <w:sz w:val="22"/>
        </w:rPr>
        <w:t xml:space="preserve">García de Oteyza G, Álvarez de Toledo J, Barraquer RI, et al. Comparative study of asymmetric versus symmetric intrastromal corneal ring segments for keratoconus. </w:t>
      </w:r>
      <w:r>
        <w:rPr>
          <w:rFonts w:ascii="Calibri" w:hAnsi="Calibri"/>
          <w:b w:val="0"/>
          <w:i/>
          <w:color w:val="222222"/>
          <w:sz w:val="22"/>
        </w:rPr>
        <w:t>Journal of Cataract and Refractive Surgery</w:t>
      </w:r>
      <w:r>
        <w:rPr>
          <w:rFonts w:ascii="Calibri" w:hAnsi="Calibri"/>
          <w:b w:val="0"/>
          <w:i w:val="0"/>
          <w:color w:val="222222"/>
          <w:sz w:val="22"/>
        </w:rPr>
        <w:t>. 2021;47(10):1293–1300.</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Journal of Elasticity</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Jones RM. </w:t>
      </w:r>
      <w:r>
        <w:rPr>
          <w:rFonts w:ascii="Calibri" w:hAnsi="Calibri"/>
          <w:b w:val="0"/>
          <w:i/>
          <w:color w:val="222222"/>
          <w:sz w:val="22"/>
        </w:rPr>
        <w:t>Mechanics of Composite Materials</w:t>
      </w:r>
      <w:r>
        <w:rPr>
          <w:rFonts w:ascii="Calibri" w:hAnsi="Calibri"/>
          <w:b w:val="0"/>
          <w:i w:val="0"/>
          <w:color w:val="222222"/>
          <w:sz w:val="22"/>
        </w:rPr>
        <w:t>. 2nd ed. New York: Taylor &amp; Francis; 1999.</w:t>
      </w:r>
    </w:p>
    <w:p>
      <w:pPr>
        <w:pStyle w:val="ListNumber"/>
        <w:spacing w:before="40" w:after="80" w:line="276" w:lineRule="auto"/>
      </w:pPr>
      <w:r>
        <w:rPr>
          <w:rFonts w:ascii="Calibri" w:hAnsi="Calibri"/>
          <w:b w:val="0"/>
          <w:i w:val="0"/>
          <w:color w:val="222222"/>
          <w:sz w:val="22"/>
        </w:rPr>
        <w:t xml:space="preserve">Kling S, Marcos S. Finite element modeling of intrastromal ring segment implantation into a hyperelastic cornea. </w:t>
      </w:r>
      <w:r>
        <w:rPr>
          <w:rFonts w:ascii="Calibri" w:hAnsi="Calibri"/>
          <w:b w:val="0"/>
          <w:i/>
          <w:color w:val="222222"/>
          <w:sz w:val="22"/>
        </w:rPr>
        <w:t>Investigative Ophthalmology &amp; Visual Science</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Journal of Biomechanical Engineering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Piñero DP, Nieto JC, Lopez-Miguel A. Characterization of corneal structure in keratoconus. </w:t>
      </w:r>
      <w:r>
        <w:rPr>
          <w:rFonts w:ascii="Calibri" w:hAnsi="Calibri"/>
          <w:b w:val="0"/>
          <w:i/>
          <w:color w:val="222222"/>
          <w:sz w:val="22"/>
        </w:rPr>
        <w:t>Journal of Cataract and Refractive Surgery</w:t>
      </w:r>
      <w:r>
        <w:rPr>
          <w:rFonts w:ascii="Calibri" w:hAnsi="Calibri"/>
          <w:b w:val="0"/>
          <w:i w:val="0"/>
          <w:color w:val="222222"/>
          <w:sz w:val="22"/>
        </w:rPr>
        <w:t>. 2012;38(12):2167–2183.</w:t>
      </w:r>
    </w:p>
    <w:p>
      <w:pPr>
        <w:pStyle w:val="ListNumber"/>
        <w:spacing w:before="40" w:after="80" w:line="276" w:lineRule="auto"/>
      </w:pPr>
      <w:r>
        <w:rPr>
          <w:rFonts w:ascii="Calibri" w:hAnsi="Calibri"/>
          <w:b w:val="0"/>
          <w:i w:val="0"/>
          <w:color w:val="222222"/>
          <w:sz w:val="22"/>
        </w:rPr>
        <w:t xml:space="preserve">Piñero DP, Alio JL, Barraquer RI, Michael R, Jiménez R. Corneal biomechanics, refraction, and corneal aberrometry in keratoconus: an integrated study. </w:t>
      </w:r>
      <w:r>
        <w:rPr>
          <w:rFonts w:ascii="Calibri" w:hAnsi="Calibri"/>
          <w:b w:val="0"/>
          <w:i/>
          <w:color w:val="222222"/>
          <w:sz w:val="22"/>
        </w:rPr>
        <w:t>Investigative Ophthalmology &amp; Visual Science</w:t>
      </w:r>
      <w:r>
        <w:rPr>
          <w:rFonts w:ascii="Calibri" w:hAnsi="Calibri"/>
          <w:b w:val="0"/>
          <w:i w:val="0"/>
          <w:color w:val="222222"/>
          <w:sz w:val="22"/>
        </w:rPr>
        <w:t>. 2010;51(4):1948–1955.</w:t>
      </w:r>
    </w:p>
    <w:p>
      <w:pPr>
        <w:pStyle w:val="ListNumber"/>
        <w:spacing w:before="40" w:after="80" w:line="276" w:lineRule="auto"/>
      </w:pPr>
      <w:r>
        <w:rPr>
          <w:rFonts w:ascii="Calibri" w:hAnsi="Calibri"/>
          <w:b w:val="0"/>
          <w:i w:val="0"/>
          <w:color w:val="222222"/>
          <w:sz w:val="22"/>
        </w:rPr>
        <w:t xml:space="preserve">Piñero DP, Alio JL, Tomás J, Maldonado MJ, Teus MA, Barraquer RI. Vector analysis of evolutive corneal astigmatic changes in keratoconus. </w:t>
      </w:r>
      <w:r>
        <w:rPr>
          <w:rFonts w:ascii="Calibri" w:hAnsi="Calibri"/>
          <w:b w:val="0"/>
          <w:i/>
          <w:color w:val="222222"/>
          <w:sz w:val="22"/>
        </w:rPr>
        <w:t>Investigative Ophthalmology &amp; Visual Science</w:t>
      </w:r>
      <w:r>
        <w:rPr>
          <w:rFonts w:ascii="Calibri" w:hAnsi="Calibri"/>
          <w:b w:val="0"/>
          <w:i w:val="0"/>
          <w:color w:val="222222"/>
          <w:sz w:val="22"/>
        </w:rPr>
        <w:t>. 2014;52(7):4054–4062.</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Survey of Ophthalmology</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Scarcelli G, Besber R, Pineda R, Kalout P, Yun SH. In vivo biomechanical mapping of normal and keratoconus corneas. </w:t>
      </w:r>
      <w:r>
        <w:rPr>
          <w:rFonts w:ascii="Calibri" w:hAnsi="Calibri"/>
          <w:b w:val="0"/>
          <w:i/>
          <w:color w:val="222222"/>
          <w:sz w:val="22"/>
        </w:rPr>
        <w:t>JAMA Ophthalmology</w:t>
      </w:r>
      <w:r>
        <w:rPr>
          <w:rFonts w:ascii="Calibri" w:hAnsi="Calibri"/>
          <w:b w:val="0"/>
          <w:i w:val="0"/>
          <w:color w:val="222222"/>
          <w:sz w:val="22"/>
        </w:rPr>
        <w:t>. 2014;133(4):480–482.</w:t>
      </w:r>
    </w:p>
    <w:p>
      <w:pPr>
        <w:pStyle w:val="ListNumber"/>
        <w:spacing w:before="40" w:after="80" w:line="276" w:lineRule="auto"/>
      </w:pPr>
      <w:r>
        <w:rPr>
          <w:rFonts w:ascii="Calibri" w:hAnsi="Calibri"/>
          <w:b w:val="0"/>
          <w:i w:val="0"/>
          <w:color w:val="222222"/>
          <w:sz w:val="22"/>
        </w:rPr>
        <w:t xml:space="preserve">Seven I, Vahdati A, De Stefano VS, Sinha Roy A, Dupps WJ Jr. Comparison of patient-specific computational modeling predictions and clinical outcomes of LASIK for myopia. </w:t>
      </w:r>
      <w:r>
        <w:rPr>
          <w:rFonts w:ascii="Calibri" w:hAnsi="Calibri"/>
          <w:b w:val="0"/>
          <w:i/>
          <w:color w:val="222222"/>
          <w:sz w:val="22"/>
        </w:rPr>
        <w:t>Investigative Ophthalmology &amp; Visual Science</w:t>
      </w:r>
      <w:r>
        <w:rPr>
          <w:rFonts w:ascii="Calibri" w:hAnsi="Calibri"/>
          <w:b w:val="0"/>
          <w:i w:val="0"/>
          <w:color w:val="222222"/>
          <w:sz w:val="22"/>
        </w:rPr>
        <w:t>. 2016;57(14):6287–6297.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