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14 — The AVBC Software Platform: From Framework to Tool</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14.1 Introduction</w:t>
      </w:r>
    </w:p>
    <w:p>
      <w:r>
        <w:rPr>
          <w:rFonts w:ascii="Calibri" w:hAnsi="Calibri"/>
          <w:b w:val="0"/>
          <w:i w:val="0"/>
          <w:color w:val="222222"/>
          <w:sz w:val="22"/>
        </w:rPr>
        <w:t>A biomechanical framework, however elegant in theory, becomes clinically impactful only when it is accessible to the practicing surgeon. The AVBC classification — trimodal assessment, vector selection, ring prescription — involves quantitative criteria, FEM-derived predictions, and a structured decision tree that, while learnable, benefit from computational support. This chapter describes the architecture and workflow of an envisioned AVBC software platform that would automate the trimodal assessment and provide vector-based ring recommendations from standard clinical data.</w:t>
      </w:r>
    </w:p>
    <w:p>
      <w:r>
        <w:rPr>
          <w:rFonts w:ascii="Calibri" w:hAnsi="Calibri"/>
          <w:b w:val="0"/>
          <w:i w:val="0"/>
          <w:color w:val="222222"/>
          <w:sz w:val="22"/>
        </w:rPr>
        <w:t xml:space="preserve">The platform is conceived not as a replacement for clinical judgment but as a </w:t>
      </w:r>
      <w:r>
        <w:rPr>
          <w:rFonts w:ascii="Calibri" w:hAnsi="Calibri"/>
          <w:b/>
          <w:i w:val="0"/>
          <w:color w:val="222222"/>
          <w:sz w:val="22"/>
        </w:rPr>
        <w:t>decision support tool</w:t>
      </w:r>
      <w:r>
        <w:rPr>
          <w:rFonts w:ascii="Calibri" w:hAnsi="Calibri"/>
          <w:b w:val="0"/>
          <w:i w:val="0"/>
          <w:color w:val="222222"/>
          <w:sz w:val="22"/>
        </w:rPr>
        <w:t xml:space="preserve"> — analogous to the Barrett Universal II formula for IOL calculation or the Alpins ASSORT software for astigmatism analysis. The surgeon provides the input data, the software performs the biomechanical analysis, and the result is a ranked list of ring configurations with expected VR, VT, and Vτ values for each.</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14.2 System Architecture</w:t>
      </w:r>
    </w:p>
    <w:p>
      <w:pPr>
        <w:pStyle w:val="Heading3"/>
      </w:pPr>
      <w:r/>
      <w:r>
        <w:rPr>
          <w:rFonts w:ascii="Calibri" w:hAnsi="Calibri"/>
          <w:b w:val="0"/>
          <w:i w:val="0"/>
          <w:color w:val="1B365D"/>
          <w:sz w:val="24"/>
        </w:rPr>
        <w:t>14.2.1 Input Layer</w:t>
      </w:r>
    </w:p>
    <w:p>
      <w:r>
        <w:rPr>
          <w:rFonts w:ascii="Calibri" w:hAnsi="Calibri"/>
          <w:b w:val="0"/>
          <w:i w:val="0"/>
          <w:color w:val="222222"/>
          <w:sz w:val="22"/>
        </w:rPr>
        <w:t>The AVBC platform accepts standard clinical data from three sources:</w:t>
      </w:r>
    </w:p>
    <w:p>
      <w:pPr>
        <w:pStyle w:val="ListNumber"/>
        <w:spacing w:before="40" w:after="80" w:line="276" w:lineRule="auto"/>
      </w:pPr>
      <w:r>
        <w:rPr>
          <w:rFonts w:ascii="Calibri" w:hAnsi="Calibri"/>
          <w:b/>
          <w:i w:val="0"/>
          <w:color w:val="222222"/>
          <w:sz w:val="22"/>
        </w:rPr>
        <w:t>Corneal tomography (Pentacam/Galilei DICOM or CSV export):</w:t>
      </w:r>
    </w:p>
    <w:p>
      <w:pPr>
        <w:pStyle w:val="ListBullet"/>
        <w:spacing w:before="40" w:after="80" w:line="276" w:lineRule="auto"/>
      </w:pPr>
      <w:r>
        <w:rPr>
          <w:rFonts w:ascii="Calibri" w:hAnsi="Calibri"/>
          <w:b w:val="0"/>
          <w:i w:val="0"/>
          <w:color w:val="222222"/>
          <w:sz w:val="22"/>
        </w:rPr>
        <w:t>Sagittal curvature map → topographic classification (Module T)</w:t>
      </w:r>
    </w:p>
    <w:p>
      <w:pPr>
        <w:pStyle w:val="ListBullet"/>
        <w:spacing w:before="40" w:after="80" w:line="276" w:lineRule="auto"/>
      </w:pPr>
      <w:r>
        <w:rPr>
          <w:rFonts w:ascii="Calibri" w:hAnsi="Calibri"/>
          <w:b w:val="0"/>
          <w:i w:val="0"/>
          <w:color w:val="222222"/>
          <w:sz w:val="22"/>
        </w:rPr>
        <w:t>Posterior elevation map → ENM calculation</w:t>
      </w:r>
    </w:p>
    <w:p>
      <w:pPr>
        <w:pStyle w:val="ListBullet"/>
        <w:spacing w:before="40" w:after="80" w:line="276" w:lineRule="auto"/>
      </w:pPr>
      <w:r>
        <w:rPr>
          <w:rFonts w:ascii="Calibri" w:hAnsi="Calibri"/>
          <w:b w:val="0"/>
          <w:i w:val="0"/>
          <w:color w:val="222222"/>
          <w:sz w:val="22"/>
        </w:rPr>
        <w:t>Pachymetry map → depth constraints, ring safety margins</w:t>
      </w:r>
    </w:p>
    <w:p>
      <w:pPr>
        <w:pStyle w:val="ListBullet"/>
        <w:spacing w:before="40" w:after="80" w:line="276" w:lineRule="auto"/>
      </w:pPr>
      <w:r>
        <w:rPr>
          <w:rFonts w:ascii="Calibri" w:hAnsi="Calibri"/>
          <w:b w:val="0"/>
          <w:i w:val="0"/>
          <w:color w:val="222222"/>
          <w:sz w:val="22"/>
        </w:rPr>
        <w:t>K-steep, K-flat, KMax values</w:t>
      </w:r>
    </w:p>
    <w:p>
      <w:pPr>
        <w:pStyle w:val="ListNumber"/>
        <w:spacing w:before="40" w:after="80" w:line="276" w:lineRule="auto"/>
      </w:pPr>
      <w:r>
        <w:rPr>
          <w:rFonts w:ascii="Calibri" w:hAnsi="Calibri"/>
          <w:b/>
          <w:i w:val="0"/>
          <w:color w:val="222222"/>
          <w:sz w:val="22"/>
        </w:rPr>
        <w:t>Wavefront aberrometry (Zywave, iTrace, or OPD-Scan export):</w:t>
      </w:r>
    </w:p>
    <w:p>
      <w:pPr>
        <w:pStyle w:val="ListBullet"/>
        <w:spacing w:before="40" w:after="80" w:line="276" w:lineRule="auto"/>
      </w:pPr>
      <w:r>
        <w:rPr>
          <w:rFonts w:ascii="Calibri" w:hAnsi="Calibri"/>
          <w:b w:val="0"/>
          <w:i w:val="0"/>
          <w:color w:val="222222"/>
          <w:sz w:val="22"/>
        </w:rPr>
        <w:t>Zernike coefficients → Coma RMS, total HOA RMS (Module O)</w:t>
      </w:r>
    </w:p>
    <w:p>
      <w:pPr>
        <w:pStyle w:val="ListBullet"/>
        <w:spacing w:before="40" w:after="80" w:line="276" w:lineRule="auto"/>
      </w:pPr>
      <w:r>
        <w:rPr>
          <w:rFonts w:ascii="Calibri" w:hAnsi="Calibri"/>
          <w:b w:val="0"/>
          <w:i w:val="0"/>
          <w:color w:val="222222"/>
          <w:sz w:val="22"/>
        </w:rPr>
        <w:t>Coma vector direction and magnitude</w:t>
      </w:r>
    </w:p>
    <w:p>
      <w:pPr>
        <w:pStyle w:val="ListNumber"/>
        <w:spacing w:before="40" w:after="80" w:line="276" w:lineRule="auto"/>
      </w:pPr>
      <w:r>
        <w:rPr>
          <w:rFonts w:ascii="Calibri" w:hAnsi="Calibri"/>
          <w:b/>
          <w:i w:val="0"/>
          <w:color w:val="222222"/>
          <w:sz w:val="22"/>
        </w:rPr>
        <w:t>Manifest refraction and clinical data (manual entry):</w:t>
      </w:r>
    </w:p>
    <w:p>
      <w:pPr>
        <w:pStyle w:val="ListBullet"/>
        <w:spacing w:before="40" w:after="80" w:line="276" w:lineRule="auto"/>
      </w:pPr>
      <w:r>
        <w:rPr>
          <w:rFonts w:ascii="Calibri" w:hAnsi="Calibri"/>
          <w:b w:val="0"/>
          <w:i w:val="0"/>
          <w:color w:val="222222"/>
          <w:sz w:val="22"/>
        </w:rPr>
        <w:t>Sphere, cylinder, axis</w:t>
      </w:r>
    </w:p>
    <w:p>
      <w:pPr>
        <w:pStyle w:val="ListBullet"/>
        <w:spacing w:before="40" w:after="80" w:line="276" w:lineRule="auto"/>
      </w:pPr>
      <w:r>
        <w:rPr>
          <w:rFonts w:ascii="Calibri" w:hAnsi="Calibri"/>
          <w:b w:val="0"/>
          <w:i w:val="0"/>
          <w:color w:val="222222"/>
          <w:sz w:val="22"/>
        </w:rPr>
        <w:t>BCVA</w:t>
      </w:r>
    </w:p>
    <w:p>
      <w:pPr>
        <w:pStyle w:val="ListBullet"/>
        <w:spacing w:before="40" w:after="80" w:line="276" w:lineRule="auto"/>
      </w:pPr>
      <w:r>
        <w:rPr>
          <w:rFonts w:ascii="Calibri" w:hAnsi="Calibri"/>
          <w:b w:val="0"/>
          <w:i w:val="0"/>
          <w:color w:val="222222"/>
          <w:sz w:val="22"/>
        </w:rPr>
        <w:t>Age, CXL history, previous surgery</w:t>
      </w:r>
    </w:p>
    <w:p>
      <w:pPr>
        <w:pStyle w:val="Heading3"/>
      </w:pPr>
      <w:r/>
      <w:r>
        <w:rPr>
          <w:rFonts w:ascii="Calibri" w:hAnsi="Calibri"/>
          <w:b w:val="0"/>
          <w:i w:val="0"/>
          <w:color w:val="1B365D"/>
          <w:sz w:val="24"/>
        </w:rPr>
        <w:t>14.2.2 Processing Layer</w:t>
      </w:r>
    </w:p>
    <w:p>
      <w:r>
        <w:rPr>
          <w:rFonts w:ascii="Calibri" w:hAnsi="Calibri"/>
          <w:b w:val="0"/>
          <w:i w:val="0"/>
          <w:color w:val="222222"/>
          <w:sz w:val="22"/>
        </w:rPr>
        <w:t>The processing layer implements three modules:</w:t>
      </w:r>
    </w:p>
    <w:p>
      <w:r>
        <w:rPr>
          <w:rFonts w:ascii="Calibri" w:hAnsi="Calibri"/>
          <w:b/>
          <w:i w:val="0"/>
          <w:color w:val="222222"/>
          <w:sz w:val="22"/>
        </w:rPr>
        <w:t>Module O Classifier:</w:t>
      </w:r>
    </w:p>
    <w:p>
      <w:pPr>
        <w:pStyle w:val="ListBullet"/>
        <w:spacing w:before="40" w:after="80" w:line="276" w:lineRule="auto"/>
      </w:pPr>
      <w:r>
        <w:rPr>
          <w:rFonts w:ascii="Calibri" w:hAnsi="Calibri"/>
          <w:b w:val="0"/>
          <w:i w:val="0"/>
          <w:color w:val="222222"/>
          <w:sz w:val="22"/>
        </w:rPr>
        <w:t>Applies the four optical criteria (Coma RMS, Δ Axis, HOA total, Coma vs apex) from the wavefront and refraction data.</w:t>
      </w:r>
    </w:p>
    <w:p>
      <w:pPr>
        <w:pStyle w:val="ListBullet"/>
        <w:spacing w:before="40" w:after="80" w:line="276" w:lineRule="auto"/>
      </w:pPr>
      <w:r>
        <w:rPr>
          <w:rFonts w:ascii="Calibri" w:hAnsi="Calibri"/>
          <w:b w:val="0"/>
          <w:i w:val="0"/>
          <w:color w:val="222222"/>
          <w:sz w:val="22"/>
        </w:rPr>
        <w:t>Outputs: O+, O~, or O− classification with justification.</w:t>
      </w:r>
    </w:p>
    <w:p>
      <w:r>
        <w:rPr>
          <w:rFonts w:ascii="Calibri" w:hAnsi="Calibri"/>
          <w:b/>
          <w:i w:val="0"/>
          <w:color w:val="222222"/>
          <w:sz w:val="22"/>
        </w:rPr>
        <w:t>Module T Classifier:</w:t>
      </w:r>
    </w:p>
    <w:p>
      <w:pPr>
        <w:pStyle w:val="ListBullet"/>
        <w:spacing w:before="40" w:after="80" w:line="276" w:lineRule="auto"/>
      </w:pPr>
      <w:r>
        <w:rPr>
          <w:rFonts w:ascii="Calibri" w:hAnsi="Calibri"/>
          <w:b w:val="0"/>
          <w:i w:val="0"/>
          <w:color w:val="222222"/>
          <w:sz w:val="22"/>
        </w:rPr>
        <w:t>Analyzes the sagittal curvature map using pattern recognition (template matching against five canonical morphologies: central oval, inferior nipple, paracentral crescent, peripheral D-shape, globus).</w:t>
      </w:r>
    </w:p>
    <w:p>
      <w:pPr>
        <w:pStyle w:val="ListBullet"/>
        <w:spacing w:before="40" w:after="80" w:line="276" w:lineRule="auto"/>
      </w:pPr>
      <w:r>
        <w:rPr>
          <w:rFonts w:ascii="Calibri" w:hAnsi="Calibri"/>
          <w:b w:val="0"/>
          <w:i w:val="0"/>
          <w:color w:val="222222"/>
          <w:sz w:val="22"/>
        </w:rPr>
        <w:t>Computes the ENM from the posterior elevation map: identifies the meridian of maximum posterior elevation relative to the best-fit sphere.</w:t>
      </w:r>
    </w:p>
    <w:p>
      <w:pPr>
        <w:pStyle w:val="ListBullet"/>
        <w:spacing w:before="40" w:after="80" w:line="276" w:lineRule="auto"/>
      </w:pPr>
      <w:r>
        <w:rPr>
          <w:rFonts w:ascii="Calibri" w:hAnsi="Calibri"/>
          <w:b w:val="0"/>
          <w:i w:val="0"/>
          <w:color w:val="222222"/>
          <w:sz w:val="22"/>
        </w:rPr>
        <w:t>Computes ENM divergence: |ENM − K-steep|.</w:t>
      </w:r>
    </w:p>
    <w:p>
      <w:pPr>
        <w:pStyle w:val="ListBullet"/>
        <w:spacing w:before="40" w:after="80" w:line="276" w:lineRule="auto"/>
      </w:pPr>
      <w:r>
        <w:rPr>
          <w:rFonts w:ascii="Calibri" w:hAnsi="Calibri"/>
          <w:b w:val="0"/>
          <w:i w:val="0"/>
          <w:color w:val="222222"/>
          <w:sz w:val="22"/>
        </w:rPr>
        <w:t>Outputs: morphological classification and ENM angle with divergence flag.</w:t>
      </w:r>
    </w:p>
    <w:p>
      <w:r>
        <w:rPr>
          <w:rFonts w:ascii="Calibri" w:hAnsi="Calibri"/>
          <w:b/>
          <w:i w:val="0"/>
          <w:color w:val="222222"/>
          <w:sz w:val="22"/>
        </w:rPr>
        <w:t>Module B Vector Engine:</w:t>
      </w:r>
    </w:p>
    <w:p>
      <w:pPr>
        <w:pStyle w:val="ListBullet"/>
        <w:spacing w:before="40" w:after="80" w:line="276" w:lineRule="auto"/>
      </w:pPr>
      <w:r>
        <w:rPr>
          <w:rFonts w:ascii="Calibri" w:hAnsi="Calibri"/>
          <w:b w:val="0"/>
          <w:i w:val="0"/>
          <w:color w:val="222222"/>
          <w:sz w:val="22"/>
        </w:rPr>
        <w:t>Based on the clinical need (determined from Modules O and T), identifies the dominant vector(s).</w:t>
      </w:r>
    </w:p>
    <w:p>
      <w:pPr>
        <w:pStyle w:val="ListBullet"/>
        <w:spacing w:before="40" w:after="80" w:line="276" w:lineRule="auto"/>
      </w:pPr>
      <w:r>
        <w:rPr>
          <w:rFonts w:ascii="Calibri" w:hAnsi="Calibri"/>
          <w:b w:val="0"/>
          <w:i w:val="0"/>
          <w:color w:val="222222"/>
          <w:sz w:val="22"/>
        </w:rPr>
        <w:t>Applies the FEM-derived lookup tables:</w:t>
      </w:r>
    </w:p>
    <w:p>
      <w:pPr>
        <w:pStyle w:val="ListBullet"/>
        <w:spacing w:before="40" w:after="80" w:line="276" w:lineRule="auto"/>
      </w:pPr>
      <w:r>
        <w:rPr>
          <w:rFonts w:ascii="Calibri" w:hAnsi="Calibri"/>
          <w:b w:val="0"/>
          <w:i w:val="0"/>
          <w:color w:val="222222"/>
          <w:sz w:val="22"/>
        </w:rPr>
        <w:t>VR as a function of ring thickness (from concentric simulation series)</w:t>
      </w:r>
    </w:p>
    <w:p>
      <w:pPr>
        <w:pStyle w:val="ListBullet"/>
        <w:spacing w:before="40" w:after="80" w:line="276" w:lineRule="auto"/>
      </w:pPr>
      <w:r>
        <w:rPr>
          <w:rFonts w:ascii="Calibri" w:hAnsi="Calibri"/>
          <w:b w:val="0"/>
          <w:i w:val="0"/>
          <w:color w:val="222222"/>
          <w:sz w:val="22"/>
        </w:rPr>
        <w:t>VT as a function of arc length (from the VT monotonicity equation)</w:t>
      </w:r>
    </w:p>
    <w:p>
      <w:pPr>
        <w:pStyle w:val="ListBullet"/>
        <w:spacing w:before="40" w:after="80" w:line="276" w:lineRule="auto"/>
      </w:pPr>
      <w:r>
        <w:rPr>
          <w:rFonts w:ascii="Calibri" w:hAnsi="Calibri"/>
          <w:b w:val="0"/>
          <w:i w:val="0"/>
          <w:color w:val="222222"/>
          <w:sz w:val="22"/>
        </w:rPr>
        <w:t>Vτ as a function of asymmetry ratio (from validated progressive-thickness asymmetric simulation data)</w:t>
      </w:r>
    </w:p>
    <w:p>
      <w:pPr>
        <w:pStyle w:val="ListBullet"/>
        <w:spacing w:before="40" w:after="80" w:line="276" w:lineRule="auto"/>
      </w:pPr>
      <w:r>
        <w:rPr>
          <w:rFonts w:ascii="Calibri" w:hAnsi="Calibri"/>
          <w:b w:val="0"/>
          <w:i w:val="0"/>
          <w:color w:val="222222"/>
          <w:sz w:val="22"/>
        </w:rPr>
        <w:t>Generates a ranked list of ring configurations (thickness × arc × depth × meridian × profile) sorted by expected biomechanical benefit.</w:t>
      </w:r>
    </w:p>
    <w:p>
      <w:pPr>
        <w:pStyle w:val="Heading3"/>
      </w:pPr>
      <w:r/>
      <w:r>
        <w:rPr>
          <w:rFonts w:ascii="Calibri" w:hAnsi="Calibri"/>
          <w:b w:val="0"/>
          <w:i w:val="0"/>
          <w:color w:val="1B365D"/>
          <w:sz w:val="24"/>
        </w:rPr>
        <w:t>14.2.3 Output Layer</w:t>
      </w:r>
    </w:p>
    <w:p>
      <w:r>
        <w:rPr>
          <w:rFonts w:ascii="Calibri" w:hAnsi="Calibri"/>
          <w:b w:val="0"/>
          <w:i w:val="0"/>
          <w:color w:val="222222"/>
          <w:sz w:val="22"/>
        </w:rPr>
        <w:t>The output presents:</w:t>
      </w:r>
    </w:p>
    <w:p>
      <w:pPr>
        <w:pStyle w:val="ListNumber"/>
        <w:spacing w:before="40" w:after="80" w:line="276" w:lineRule="auto"/>
      </w:pPr>
      <w:r>
        <w:rPr>
          <w:rFonts w:ascii="Calibri" w:hAnsi="Calibri"/>
          <w:b/>
          <w:i w:val="0"/>
          <w:color w:val="222222"/>
          <w:sz w:val="22"/>
        </w:rPr>
        <w:t>AVBC Classification Summary:</w:t>
      </w:r>
      <w:r>
        <w:rPr>
          <w:rFonts w:ascii="Calibri" w:hAnsi="Calibri"/>
          <w:b w:val="0"/>
          <w:i w:val="0"/>
          <w:color w:val="222222"/>
          <w:sz w:val="22"/>
        </w:rPr>
        <w:t xml:space="preserve"> O grade, T classification, B vector dominance, ENM divergence.</w:t>
      </w:r>
    </w:p>
    <w:p>
      <w:pPr>
        <w:pStyle w:val="ListNumber"/>
        <w:spacing w:before="40" w:after="80" w:line="276" w:lineRule="auto"/>
      </w:pPr>
      <w:r>
        <w:rPr>
          <w:rFonts w:ascii="Calibri" w:hAnsi="Calibri"/>
          <w:b/>
          <w:i w:val="0"/>
          <w:color w:val="222222"/>
          <w:sz w:val="22"/>
        </w:rPr>
        <w:t>Recommended Ring Configuration:</w:t>
      </w:r>
      <w:r>
        <w:rPr>
          <w:rFonts w:ascii="Calibri" w:hAnsi="Calibri"/>
          <w:b w:val="0"/>
          <w:i w:val="0"/>
          <w:color w:val="222222"/>
          <w:sz w:val="22"/>
        </w:rPr>
        <w:t xml:space="preserve"> Top 3 configurations ranked by vector match, with expected VR, VT, Vτ for each.</w:t>
      </w:r>
    </w:p>
    <w:p>
      <w:pPr>
        <w:pStyle w:val="ListNumber"/>
        <w:spacing w:before="40" w:after="80" w:line="276" w:lineRule="auto"/>
      </w:pPr>
      <w:r>
        <w:rPr>
          <w:rFonts w:ascii="Calibri" w:hAnsi="Calibri"/>
          <w:b/>
          <w:i w:val="0"/>
          <w:color w:val="222222"/>
          <w:sz w:val="22"/>
        </w:rPr>
        <w:t>Comparison with Nomogram:</w:t>
      </w:r>
      <w:r>
        <w:rPr>
          <w:rFonts w:ascii="Calibri" w:hAnsi="Calibri"/>
          <w:b w:val="0"/>
          <w:i w:val="0"/>
          <w:color w:val="222222"/>
          <w:sz w:val="22"/>
        </w:rPr>
        <w:t xml:space="preserve"> Shows what the Ferrara/Keraring/Intacs nomogram would prescribe and highlights differences.</w:t>
      </w:r>
    </w:p>
    <w:p>
      <w:pPr>
        <w:pStyle w:val="ListNumber"/>
        <w:spacing w:before="40" w:after="80" w:line="276" w:lineRule="auto"/>
      </w:pPr>
      <w:r>
        <w:rPr>
          <w:rFonts w:ascii="Calibri" w:hAnsi="Calibri"/>
          <w:b/>
          <w:i w:val="0"/>
          <w:color w:val="222222"/>
          <w:sz w:val="22"/>
        </w:rPr>
        <w:t>Visualization:</w:t>
      </w:r>
      <w:r>
        <w:rPr>
          <w:rFonts w:ascii="Calibri" w:hAnsi="Calibri"/>
          <w:b w:val="0"/>
          <w:i w:val="0"/>
          <w:color w:val="222222"/>
          <w:sz w:val="22"/>
        </w:rPr>
        <w:t xml:space="preserve"> Interactive corneal map showing the expected displacement field (VR), stress redistribution (VT), and apex migration direction (Vτ) for the recommended configuration.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14.3 The FEM Lookup Table</w:t>
      </w:r>
    </w:p>
    <w:p>
      <w:r>
        <w:rPr>
          <w:rFonts w:ascii="Calibri" w:hAnsi="Calibri"/>
          <w:b w:val="0"/>
          <w:i w:val="0"/>
          <w:color w:val="222222"/>
          <w:sz w:val="22"/>
        </w:rPr>
        <w:t xml:space="preserve">At the core of the Module B engine is a </w:t>
      </w:r>
      <w:r>
        <w:rPr>
          <w:rFonts w:ascii="Calibri" w:hAnsi="Calibri"/>
          <w:b/>
          <w:i w:val="0"/>
          <w:color w:val="222222"/>
          <w:sz w:val="22"/>
        </w:rPr>
        <w:t>parameterized lookup table</w:t>
      </w:r>
      <w:r>
        <w:rPr>
          <w:rFonts w:ascii="Calibri" w:hAnsi="Calibri"/>
          <w:b w:val="0"/>
          <w:i w:val="0"/>
          <w:color w:val="222222"/>
          <w:sz w:val="22"/>
        </w:rPr>
        <w:t xml:space="preserve"> derived from the FEM simulations. Rather than running a full finite element analysis for each patient (which would require minutes to hours), the platform interpolates from a pre-computed database.</w:t>
      </w:r>
    </w:p>
    <w:p>
      <w:pPr>
        <w:pStyle w:val="Heading3"/>
      </w:pPr>
      <w:r/>
      <w:r>
        <w:rPr>
          <w:rFonts w:ascii="Calibri" w:hAnsi="Calibri"/>
          <w:b w:val="0"/>
          <w:i w:val="0"/>
          <w:color w:val="1B365D"/>
          <w:sz w:val="24"/>
        </w:rPr>
        <w:t>14.3.1 Current Table (34 Simulations)</w:t>
      </w:r>
    </w:p>
    <w:p>
      <w:r>
        <w:rPr>
          <w:rFonts w:ascii="Calibri" w:hAnsi="Calibri"/>
          <w:b w:val="0"/>
          <w:i w:val="0"/>
          <w:color w:val="222222"/>
          <w:sz w:val="22"/>
        </w:rPr>
        <w:t>The existing simulation set provides: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 Range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Values</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 Simulations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 120°, 160°, 210°, 255°, 320°, 360°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 (arc sweep)</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thickness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 μm (default)</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level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Corneal geometry</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Spherical, uniform, R=7.8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geometry</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IOP</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mmHg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level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Material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HGO standard parameters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set</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Patient-specific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 converged Pentacam-derived</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Concentric loading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 configurations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progressive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progressive-thickness profiles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bl>
    <w:p>
      <w:pPr>
        <w:spacing w:before="120" w:after="120"/>
      </w:pPr>
    </w:p>
    <w:p>
      <w:r>
        <w:rPr>
          <w:rFonts w:ascii="Calibri" w:hAnsi="Calibri"/>
          <w:b w:val="0"/>
          <w:i w:val="0"/>
          <w:color w:val="222222"/>
          <w:sz w:val="22"/>
        </w:rPr>
        <w:t>This provides sufficient coverage for arc-length sensitivity (VT equation) and basic validation of the active torque vector Vτ, but limited coverage for thickness sensitivity sweep. Expanding the database to include multiple thickness values (150, 200, 250, 300, 350, 400 μm) and multiple geometries (sphere, prolate ellipsoid, keratoconic cone) would require approximately 200 additional simulations.</w:t>
      </w:r>
    </w:p>
    <w:p>
      <w:pPr>
        <w:pStyle w:val="Heading3"/>
      </w:pPr>
      <w:r/>
      <w:r>
        <w:rPr>
          <w:rFonts w:ascii="Calibri" w:hAnsi="Calibri"/>
          <w:b w:val="0"/>
          <w:i w:val="0"/>
          <w:color w:val="1B365D"/>
          <w:sz w:val="24"/>
        </w:rPr>
        <w:t>14.3.2 Interpolation Strategy</w:t>
      </w:r>
    </w:p>
    <w:p>
      <w:r>
        <w:rPr>
          <w:rFonts w:ascii="Calibri" w:hAnsi="Calibri"/>
          <w:b w:val="0"/>
          <w:i w:val="0"/>
          <w:color w:val="222222"/>
          <w:sz w:val="22"/>
        </w:rPr>
        <w:t>For configurations not directly simulated, the platform uses bilinear interpolation between the nearest computed points:</w:t>
      </w:r>
    </w:p>
    <w:p>
      <w:pPr>
        <w:pStyle w:val="ListBullet"/>
        <w:spacing w:before="40" w:after="80" w:line="276" w:lineRule="auto"/>
      </w:pPr>
      <w:r>
        <w:rPr>
          <w:rFonts w:ascii="Calibri" w:hAnsi="Calibri"/>
          <w:b/>
          <w:i w:val="0"/>
          <w:color w:val="222222"/>
          <w:sz w:val="22"/>
        </w:rPr>
        <w:t>VR(thickness):</w:t>
      </w:r>
      <w:r>
        <w:rPr>
          <w:rFonts w:ascii="Calibri" w:hAnsi="Calibri"/>
          <w:b w:val="0"/>
          <w:i w:val="0"/>
          <w:color w:val="222222"/>
          <w:sz w:val="22"/>
        </w:rPr>
        <w:t xml:space="preserve"> Linear interpolation from thickness-series data (to be generated).</w:t>
      </w:r>
    </w:p>
    <w:p>
      <w:pPr>
        <w:pStyle w:val="ListBullet"/>
        <w:spacing w:before="40" w:after="80" w:line="276" w:lineRule="auto"/>
      </w:pPr>
      <w:r>
        <w:rPr>
          <w:rFonts w:ascii="Calibri" w:hAnsi="Calibri"/>
          <w:b/>
          <w:i w:val="0"/>
          <w:color w:val="222222"/>
          <w:sz w:val="22"/>
        </w:rPr>
        <w:t>VT(arc):</w:t>
      </w:r>
      <w:r>
        <w:rPr>
          <w:rFonts w:ascii="Calibri" w:hAnsi="Calibri"/>
          <w:b w:val="0"/>
          <w:i w:val="0"/>
          <w:color w:val="222222"/>
          <w:sz w:val="22"/>
        </w:rPr>
        <w:t xml:space="preserve"> Direct application of the empirical equation: VT = −0.0018 × arc° + 7.79.</w:t>
      </w:r>
    </w:p>
    <w:p>
      <w:pPr>
        <w:pStyle w:val="ListBullet"/>
        <w:spacing w:before="40" w:after="80" w:line="276" w:lineRule="auto"/>
      </w:pPr>
      <w:r>
        <w:rPr>
          <w:rFonts w:ascii="Calibri" w:hAnsi="Calibri"/>
          <w:b/>
          <w:i w:val="0"/>
          <w:color w:val="222222"/>
          <w:sz w:val="22"/>
        </w:rPr>
        <w:t>Vτ(asymmetry):</w:t>
      </w:r>
      <w:r>
        <w:rPr>
          <w:rFonts w:ascii="Calibri" w:hAnsi="Calibri"/>
          <w:b w:val="0"/>
          <w:i w:val="0"/>
          <w:color w:val="222222"/>
          <w:sz w:val="22"/>
        </w:rPr>
        <w:t xml:space="preserve"> Derived from the validated progressive-thickness asymmetric simulations using the thickness differential and arc length as key parameters.</w:t>
      </w:r>
    </w:p>
    <w:p>
      <w:pPr>
        <w:pStyle w:val="ListBullet"/>
        <w:spacing w:before="40" w:after="80" w:line="276" w:lineRule="auto"/>
      </w:pPr>
      <w:r>
        <w:rPr>
          <w:rFonts w:ascii="Calibri" w:hAnsi="Calibri"/>
          <w:b/>
          <w:i w:val="0"/>
          <w:color w:val="222222"/>
          <w:sz w:val="22"/>
        </w:rPr>
        <w:t>Depth correction:</w:t>
      </w:r>
      <w:r>
        <w:rPr>
          <w:rFonts w:ascii="Calibri" w:hAnsi="Calibri"/>
          <w:b w:val="0"/>
          <w:i w:val="0"/>
          <w:color w:val="222222"/>
          <w:sz w:val="22"/>
        </w:rPr>
        <w:t xml:space="preserve"> Applied as a multiplicative factor based on the depth/pachymetry ratio.</w:t>
      </w:r>
    </w:p>
    <w:p>
      <w:pPr>
        <w:pStyle w:val="Heading3"/>
      </w:pPr>
      <w:r/>
      <w:r>
        <w:rPr>
          <w:rFonts w:ascii="Calibri" w:hAnsi="Calibri"/>
          <w:b w:val="0"/>
          <w:i w:val="0"/>
          <w:color w:val="1B365D"/>
          <w:sz w:val="24"/>
        </w:rPr>
        <w:t>14.3.3 Future: Real-Time FEM</w:t>
      </w:r>
    </w:p>
    <w:p>
      <w:r>
        <w:rPr>
          <w:rFonts w:ascii="Calibri" w:hAnsi="Calibri"/>
          <w:b w:val="0"/>
          <w:i w:val="0"/>
          <w:color w:val="222222"/>
          <w:sz w:val="22"/>
        </w:rPr>
        <w:t>With advances in GPU-accelerated FEM solvers (e.g., FEBio with OpenCL) and reduced-order models, real-time patient-specific simulation may become feasible. A reduced-order model trained on 500+ full FEM solutions could provide VR, VT, Vτ estimates in seconds rather than hours, enabling intraoperative use.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14.4 User Interface Concept</w:t>
      </w:r>
    </w:p>
    <w:p>
      <w:pPr>
        <w:pStyle w:val="Heading3"/>
      </w:pPr>
      <w:r/>
      <w:r>
        <w:rPr>
          <w:rFonts w:ascii="Calibri" w:hAnsi="Calibri"/>
          <w:b w:val="0"/>
          <w:i w:val="0"/>
          <w:color w:val="1B365D"/>
          <w:sz w:val="24"/>
        </w:rPr>
        <w:t>14.4.1 Clinical Dashboard</w:t>
      </w:r>
    </w:p>
    <w:p>
      <w:r>
        <w:rPr>
          <w:rFonts w:ascii="Calibri" w:hAnsi="Calibri"/>
          <w:b w:val="0"/>
          <w:i w:val="0"/>
          <w:color w:val="222222"/>
          <w:sz w:val="22"/>
        </w:rPr>
        <w:t xml:space="preserve">The main screen presents a </w:t>
      </w:r>
      <w:r>
        <w:rPr>
          <w:rFonts w:ascii="Calibri" w:hAnsi="Calibri"/>
          <w:b/>
          <w:i w:val="0"/>
          <w:color w:val="222222"/>
          <w:sz w:val="22"/>
        </w:rPr>
        <w:t>four-panel layout: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Panel</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Content</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Top-left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Tomographic map with ENM overlay (Module T visualization)</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Top-right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Wavefront aberration chart with O classification (Module O visualization)</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Bottom-left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Vector selection display: VR, VT, Vτ bars showing predicted values for selected ring</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Bottom-right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prescription panel: configuration parameters, expected outcomes, nomogram comparison</w:t>
            </w:r>
          </w:p>
        </w:tc>
      </w:tr>
    </w:tbl>
    <w:p>
      <w:pPr>
        <w:spacing w:before="120" w:after="120"/>
      </w:pPr>
    </w:p>
    <w:p>
      <w:pPr>
        <w:pStyle w:val="Heading3"/>
      </w:pPr>
      <w:r/>
      <w:r>
        <w:rPr>
          <w:rFonts w:ascii="Calibri" w:hAnsi="Calibri"/>
          <w:b w:val="0"/>
          <w:i w:val="0"/>
          <w:color w:val="1B365D"/>
          <w:sz w:val="24"/>
        </w:rPr>
        <w:t>14.4.2 Interactive Ring Simulator</w:t>
      </w:r>
    </w:p>
    <w:p>
      <w:r>
        <w:rPr>
          <w:rFonts w:ascii="Calibri" w:hAnsi="Calibri"/>
          <w:b w:val="0"/>
          <w:i w:val="0"/>
          <w:color w:val="222222"/>
          <w:sz w:val="22"/>
        </w:rPr>
        <w:t>A slider-based interface allows the surgeon to adjust ring parameters and see the predicted effect in real-time:</w:t>
      </w:r>
    </w:p>
    <w:p>
      <w:pPr>
        <w:pStyle w:val="ListBullet"/>
        <w:spacing w:before="40" w:after="80" w:line="276" w:lineRule="auto"/>
      </w:pPr>
      <w:r>
        <w:rPr>
          <w:rFonts w:ascii="Calibri" w:hAnsi="Calibri"/>
          <w:b/>
          <w:i w:val="0"/>
          <w:color w:val="222222"/>
          <w:sz w:val="22"/>
        </w:rPr>
        <w:t>Thickness slider:</w:t>
      </w:r>
      <w:r>
        <w:rPr>
          <w:rFonts w:ascii="Calibri" w:hAnsi="Calibri"/>
          <w:b w:val="0"/>
          <w:i w:val="0"/>
          <w:color w:val="222222"/>
          <w:sz w:val="22"/>
        </w:rPr>
        <w:t xml:space="preserve"> 150–400 μm → updates VR prediction</w:t>
      </w:r>
    </w:p>
    <w:p>
      <w:pPr>
        <w:pStyle w:val="ListBullet"/>
        <w:spacing w:before="40" w:after="80" w:line="276" w:lineRule="auto"/>
      </w:pPr>
      <w:r>
        <w:rPr>
          <w:rFonts w:ascii="Calibri" w:hAnsi="Calibri"/>
          <w:b/>
          <w:i w:val="0"/>
          <w:color w:val="222222"/>
          <w:sz w:val="22"/>
        </w:rPr>
        <w:t>Arc length slider:</w:t>
      </w:r>
      <w:r>
        <w:rPr>
          <w:rFonts w:ascii="Calibri" w:hAnsi="Calibri"/>
          <w:b w:val="0"/>
          <w:i w:val="0"/>
          <w:color w:val="222222"/>
          <w:sz w:val="22"/>
        </w:rPr>
        <w:t xml:space="preserve"> 90°–360° → updates VT prediction (with VT equation shown)</w:t>
      </w:r>
    </w:p>
    <w:p>
      <w:pPr>
        <w:pStyle w:val="ListBullet"/>
        <w:spacing w:before="40" w:after="80" w:line="276" w:lineRule="auto"/>
      </w:pPr>
      <w:r>
        <w:rPr>
          <w:rFonts w:ascii="Calibri" w:hAnsi="Calibri"/>
          <w:b/>
          <w:i w:val="0"/>
          <w:color w:val="222222"/>
          <w:sz w:val="22"/>
        </w:rPr>
        <w:t>Asymmetry toggle:</w:t>
      </w:r>
      <w:r>
        <w:rPr>
          <w:rFonts w:ascii="Calibri" w:hAnsi="Calibri"/>
          <w:b w:val="0"/>
          <w:i w:val="0"/>
          <w:color w:val="222222"/>
          <w:sz w:val="22"/>
        </w:rPr>
        <w:t xml:space="preserve"> Symmetric / Progressive → enables Vτ prediction</w:t>
      </w:r>
    </w:p>
    <w:p>
      <w:pPr>
        <w:pStyle w:val="ListBullet"/>
        <w:spacing w:before="40" w:after="80" w:line="276" w:lineRule="auto"/>
      </w:pPr>
      <w:r>
        <w:rPr>
          <w:rFonts w:ascii="Calibri" w:hAnsi="Calibri"/>
          <w:b/>
          <w:i w:val="0"/>
          <w:color w:val="222222"/>
          <w:sz w:val="22"/>
        </w:rPr>
        <w:t>Depth slider:</w:t>
      </w:r>
      <w:r>
        <w:rPr>
          <w:rFonts w:ascii="Calibri" w:hAnsi="Calibri"/>
          <w:b w:val="0"/>
          <w:i w:val="0"/>
          <w:color w:val="222222"/>
          <w:sz w:val="22"/>
        </w:rPr>
        <w:t xml:space="preserve"> 60–80% → updates all vectors (amplification factor)</w:t>
      </w:r>
    </w:p>
    <w:p>
      <w:pPr>
        <w:pStyle w:val="ListBullet"/>
        <w:spacing w:before="40" w:after="80" w:line="276" w:lineRule="auto"/>
      </w:pPr>
      <w:r>
        <w:rPr>
          <w:rFonts w:ascii="Calibri" w:hAnsi="Calibri"/>
          <w:b/>
          <w:i w:val="0"/>
          <w:color w:val="222222"/>
          <w:sz w:val="22"/>
        </w:rPr>
        <w:t>Meridian dial:</w:t>
      </w:r>
      <w:r>
        <w:rPr>
          <w:rFonts w:ascii="Calibri" w:hAnsi="Calibri"/>
          <w:b w:val="0"/>
          <w:i w:val="0"/>
          <w:color w:val="222222"/>
          <w:sz w:val="22"/>
        </w:rPr>
        <w:t xml:space="preserve"> 0°–360° → rotates ring placement, shows ENM alignment</w:t>
      </w:r>
    </w:p>
    <w:p>
      <w:r>
        <w:rPr>
          <w:rFonts w:ascii="Calibri" w:hAnsi="Calibri"/>
          <w:b w:val="0"/>
          <w:i w:val="0"/>
          <w:color w:val="222222"/>
          <w:sz w:val="22"/>
        </w:rPr>
        <w:t>Each adjustment updates the predicted ΔK, ΔCyl, and apex migration in real-time.</w:t>
      </w:r>
    </w:p>
    <w:p>
      <w:pPr>
        <w:pStyle w:val="Heading3"/>
      </w:pPr>
      <w:r/>
      <w:r>
        <w:rPr>
          <w:rFonts w:ascii="Calibri" w:hAnsi="Calibri"/>
          <w:b w:val="0"/>
          <w:i w:val="0"/>
          <w:color w:val="1B365D"/>
          <w:sz w:val="24"/>
        </w:rPr>
        <w:t>14.4.3 Post-Operative Analysis Module</w:t>
      </w:r>
    </w:p>
    <w:p>
      <w:r>
        <w:rPr>
          <w:rFonts w:ascii="Calibri" w:hAnsi="Calibri"/>
          <w:b w:val="0"/>
          <w:i w:val="0"/>
          <w:color w:val="222222"/>
          <w:sz w:val="22"/>
        </w:rPr>
        <w:t>After surgery, the platform accepts post-operative data and computes:</w:t>
      </w:r>
    </w:p>
    <w:p>
      <w:pPr>
        <w:pStyle w:val="ListBullet"/>
        <w:spacing w:before="40" w:after="80" w:line="276" w:lineRule="auto"/>
      </w:pPr>
      <w:r>
        <w:rPr>
          <w:rFonts w:ascii="Calibri" w:hAnsi="Calibri"/>
          <w:b w:val="0"/>
          <w:i w:val="0"/>
          <w:color w:val="222222"/>
          <w:sz w:val="22"/>
        </w:rPr>
        <w:t>AVBC-CI = ΔK</w:t>
      </w:r>
      <w:r>
        <w:rPr>
          <w:rFonts w:ascii="Calibri" w:hAnsi="Calibri"/>
          <w:b w:val="0"/>
          <w:i/>
          <w:color w:val="222222"/>
          <w:sz w:val="22"/>
        </w:rPr>
        <w:t>observed / ΔK</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VT-ratio = ΔCyl</w:t>
      </w:r>
      <w:r>
        <w:rPr>
          <w:rFonts w:ascii="Calibri" w:hAnsi="Calibri"/>
          <w:b w:val="0"/>
          <w:i/>
          <w:color w:val="222222"/>
          <w:sz w:val="22"/>
        </w:rPr>
        <w:t>observed / ΔCyl</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Vτ-ratio = Apex</w:t>
      </w:r>
      <w:r>
        <w:rPr>
          <w:rFonts w:ascii="Calibri" w:hAnsi="Calibri"/>
          <w:b w:val="0"/>
          <w:i/>
          <w:color w:val="222222"/>
          <w:sz w:val="22"/>
        </w:rPr>
        <w:t>migration</w:t>
      </w:r>
      <w:r>
        <w:rPr>
          <w:rFonts w:ascii="Calibri" w:hAnsi="Calibri"/>
          <w:b w:val="0"/>
          <w:i w:val="0"/>
          <w:color w:val="222222"/>
          <w:sz w:val="22"/>
        </w:rPr>
        <w:t>observed / Apex</w:t>
      </w:r>
      <w:r>
        <w:rPr>
          <w:rFonts w:ascii="Calibri" w:hAnsi="Calibri"/>
          <w:b w:val="0"/>
          <w:i/>
          <w:color w:val="222222"/>
          <w:sz w:val="22"/>
        </w:rPr>
        <w:t>migration</w:t>
      </w:r>
      <w:r>
        <w:rPr>
          <w:rFonts w:ascii="Calibri" w:hAnsi="Calibri"/>
          <w:b w:val="0"/>
          <w:i w:val="0"/>
          <w:color w:val="222222"/>
          <w:sz w:val="22"/>
        </w:rPr>
        <w:t>predicted</w:t>
      </w:r>
    </w:p>
    <w:p>
      <w:r>
        <w:rPr>
          <w:rFonts w:ascii="Calibri" w:hAnsi="Calibri"/>
          <w:b w:val="0"/>
          <w:i w:val="0"/>
          <w:color w:val="222222"/>
          <w:sz w:val="22"/>
        </w:rPr>
        <w:t>These values are stored in the surgeon's personal database, building the calibration curve over time.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14.5 Technical Implementation</w:t>
      </w:r>
    </w:p>
    <w:p>
      <w:pPr>
        <w:pStyle w:val="Heading3"/>
      </w:pPr>
      <w:r/>
      <w:r>
        <w:rPr>
          <w:rFonts w:ascii="Calibri" w:hAnsi="Calibri"/>
          <w:b w:val="0"/>
          <w:i w:val="0"/>
          <w:color w:val="1B365D"/>
          <w:sz w:val="24"/>
        </w:rPr>
        <w:t>14.5.1 Recommended Technology Stack</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Component</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Technology</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Backend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3.10+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integration, scientific computing</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solver</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4.x (C++ with Python bindings)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Open-source, validated for biomechanics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Data processing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NumPy, SciPy, pandas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Standard scientific Python</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Visualization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Matplotlib (publication), Plotly (interactive)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Dual output modes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Frontend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Web-based (React + Plotly.js) or Desktop (PyQt6)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Cross-platform</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Database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SQLite (local) or PostgreSQL (multi-site)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 data and calibration curves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Export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PDF report generation (LaTeX or ReportLab)</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documentation</w:t>
            </w:r>
          </w:p>
        </w:tc>
      </w:tr>
    </w:tbl>
    <w:p>
      <w:pPr>
        <w:spacing w:before="120" w:after="120"/>
      </w:pPr>
    </w:p>
    <w:p>
      <w:pPr>
        <w:pStyle w:val="Heading3"/>
      </w:pPr>
      <w:r/>
      <w:r>
        <w:rPr>
          <w:rFonts w:ascii="Calibri" w:hAnsi="Calibri"/>
          <w:b w:val="0"/>
          <w:i w:val="0"/>
          <w:color w:val="1B365D"/>
          <w:sz w:val="24"/>
        </w:rPr>
        <w:t>14.5.2 Data Security</w:t>
      </w:r>
    </w:p>
    <w:p>
      <w:r>
        <w:rPr>
          <w:rFonts w:ascii="Calibri" w:hAnsi="Calibri"/>
          <w:b w:val="0"/>
          <w:i w:val="0"/>
          <w:color w:val="222222"/>
          <w:sz w:val="22"/>
        </w:rPr>
        <w:t>Patient data handling must comply with HIPAA (US), GDPR (EU), and LGPD (Brazil) regulations. The platform should:</w:t>
      </w:r>
    </w:p>
    <w:p>
      <w:pPr>
        <w:pStyle w:val="ListBullet"/>
        <w:spacing w:before="40" w:after="80" w:line="276" w:lineRule="auto"/>
      </w:pPr>
      <w:r>
        <w:rPr>
          <w:rFonts w:ascii="Calibri" w:hAnsi="Calibri"/>
          <w:b w:val="0"/>
          <w:i w:val="0"/>
          <w:color w:val="222222"/>
          <w:sz w:val="22"/>
        </w:rPr>
        <w:t>Process data locally (no cloud transmission of patient data)</w:t>
      </w:r>
    </w:p>
    <w:p>
      <w:pPr>
        <w:pStyle w:val="ListBullet"/>
        <w:spacing w:before="40" w:after="80" w:line="276" w:lineRule="auto"/>
      </w:pPr>
      <w:r>
        <w:rPr>
          <w:rFonts w:ascii="Calibri" w:hAnsi="Calibri"/>
          <w:b w:val="0"/>
          <w:i w:val="0"/>
          <w:color w:val="222222"/>
          <w:sz w:val="22"/>
        </w:rPr>
        <w:t>Use anonymized identifiers for the calibration database</w:t>
      </w:r>
    </w:p>
    <w:p>
      <w:pPr>
        <w:pStyle w:val="ListBullet"/>
        <w:spacing w:before="40" w:after="80" w:line="276" w:lineRule="auto"/>
      </w:pPr>
      <w:r>
        <w:rPr>
          <w:rFonts w:ascii="Calibri" w:hAnsi="Calibri"/>
          <w:b w:val="0"/>
          <w:i w:val="0"/>
          <w:color w:val="222222"/>
          <w:sz w:val="22"/>
        </w:rPr>
        <w:t>Provide audit trails for clinical decisions</w:t>
      </w:r>
    </w:p>
    <w:p>
      <w:pPr>
        <w:pStyle w:val="Heading3"/>
      </w:pPr>
      <w:r/>
      <w:r>
        <w:rPr>
          <w:rFonts w:ascii="Calibri" w:hAnsi="Calibri"/>
          <w:b w:val="0"/>
          <w:i w:val="0"/>
          <w:color w:val="1B365D"/>
          <w:sz w:val="24"/>
        </w:rPr>
        <w:t>14.5.3 Regulatory Pathway</w:t>
      </w:r>
    </w:p>
    <w:p>
      <w:r>
        <w:rPr>
          <w:rFonts w:ascii="Calibri" w:hAnsi="Calibri"/>
          <w:b w:val="0"/>
          <w:i w:val="0"/>
          <w:color w:val="222222"/>
          <w:sz w:val="22"/>
        </w:rPr>
        <w:t>As a clinical decision support tool, the AVBC platform would likely require:</w:t>
      </w:r>
    </w:p>
    <w:p>
      <w:pPr>
        <w:pStyle w:val="ListBullet"/>
        <w:spacing w:before="40" w:after="80" w:line="276" w:lineRule="auto"/>
      </w:pPr>
      <w:r>
        <w:rPr>
          <w:rFonts w:ascii="Calibri" w:hAnsi="Calibri"/>
          <w:b/>
          <w:i w:val="0"/>
          <w:color w:val="222222"/>
          <w:sz w:val="22"/>
        </w:rPr>
        <w:t>CE marking (EU):</w:t>
      </w:r>
      <w:r>
        <w:rPr>
          <w:rFonts w:ascii="Calibri" w:hAnsi="Calibri"/>
          <w:b w:val="0"/>
          <w:i w:val="0"/>
          <w:color w:val="222222"/>
          <w:sz w:val="22"/>
        </w:rPr>
        <w:t xml:space="preserve"> Class IIa medical device under MDR 2017/745</w:t>
      </w:r>
    </w:p>
    <w:p>
      <w:pPr>
        <w:pStyle w:val="ListBullet"/>
        <w:spacing w:before="40" w:after="80" w:line="276" w:lineRule="auto"/>
      </w:pPr>
      <w:r>
        <w:rPr>
          <w:rFonts w:ascii="Calibri" w:hAnsi="Calibri"/>
          <w:b/>
          <w:i w:val="0"/>
          <w:color w:val="222222"/>
          <w:sz w:val="22"/>
        </w:rPr>
        <w:t>FDA clearance (US):</w:t>
      </w:r>
      <w:r>
        <w:rPr>
          <w:rFonts w:ascii="Calibri" w:hAnsi="Calibri"/>
          <w:b w:val="0"/>
          <w:i w:val="0"/>
          <w:color w:val="222222"/>
          <w:sz w:val="22"/>
        </w:rPr>
        <w:t xml:space="preserve"> 510(k) pathway, predicate: existing ICRS planning software (e.g., Keraring Planning System)</w:t>
      </w:r>
    </w:p>
    <w:p>
      <w:pPr>
        <w:pStyle w:val="ListBullet"/>
        <w:spacing w:before="40" w:after="80" w:line="276" w:lineRule="auto"/>
      </w:pPr>
      <w:r>
        <w:rPr>
          <w:rFonts w:ascii="Calibri" w:hAnsi="Calibri"/>
          <w:b/>
          <w:i w:val="0"/>
          <w:color w:val="222222"/>
          <w:sz w:val="22"/>
        </w:rPr>
        <w:t>ANVISA registration (Brazil):</w:t>
      </w:r>
      <w:r>
        <w:rPr>
          <w:rFonts w:ascii="Calibri" w:hAnsi="Calibri"/>
          <w:b w:val="0"/>
          <w:i w:val="0"/>
          <w:color w:val="222222"/>
          <w:sz w:val="22"/>
        </w:rPr>
        <w:t xml:space="preserve"> Class II medical device</w:t>
      </w:r>
    </w:p>
    <w:p>
      <w:r>
        <w:rPr>
          <w:rFonts w:ascii="Calibri" w:hAnsi="Calibri"/>
          <w:b w:val="0"/>
          <w:i w:val="0"/>
          <w:color w:val="222222"/>
          <w:sz w:val="22"/>
        </w:rPr>
        <w:t>The regulatory pathway is complex but feasible, particularly if the platform is positioned as a decision support tool (output = recommendation, not prescription) rather than an autonomous planning system.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14.6 Comparison with Existing Planning Tools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Feature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Keraring Calculator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Ferrara Nomogram App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Platform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Input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Topographic classification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Q-value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trimodal (O+T+B)</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pattern matching</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lookup</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Mechanistic (VR/VT/Vτ)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parameters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Configuration recommendation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 arc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All 5 parameters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integration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rings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Yes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 feedback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 (AVBC-CI)</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Surgeon calibration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Biomechanical justification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14.7 Summary</w:t>
      </w:r>
    </w:p>
    <w:p>
      <w:pPr>
        <w:pStyle w:val="ListBullet"/>
        <w:spacing w:before="40" w:after="80" w:line="276" w:lineRule="auto"/>
      </w:pPr>
      <w:r>
        <w:rPr>
          <w:rFonts w:ascii="Calibri" w:hAnsi="Calibri"/>
          <w:b w:val="0"/>
          <w:i w:val="0"/>
          <w:color w:val="222222"/>
          <w:sz w:val="22"/>
        </w:rPr>
        <w:t xml:space="preserve">The AVBC platform translates the theoretical framework into a </w:t>
      </w:r>
      <w:r>
        <w:rPr>
          <w:rFonts w:ascii="Calibri" w:hAnsi="Calibri"/>
          <w:b/>
          <w:i w:val="0"/>
          <w:color w:val="222222"/>
          <w:sz w:val="22"/>
        </w:rPr>
        <w:t>clinical decision support tool</w:t>
      </w:r>
      <w:r>
        <w:rPr>
          <w:rFonts w:ascii="Calibri" w:hAnsi="Calibri"/>
          <w:b w:val="0"/>
          <w:i w:val="0"/>
          <w:color w:val="222222"/>
          <w:sz w:val="22"/>
        </w:rPr>
        <w:t xml:space="preserve"> accessible to the practicing surgeon.</w:t>
      </w:r>
    </w:p>
    <w:p>
      <w:pPr>
        <w:pStyle w:val="ListBullet"/>
        <w:spacing w:before="40" w:after="80" w:line="276" w:lineRule="auto"/>
      </w:pPr>
      <w:r>
        <w:rPr>
          <w:rFonts w:ascii="Calibri" w:hAnsi="Calibri"/>
          <w:b w:val="0"/>
          <w:i w:val="0"/>
          <w:color w:val="222222"/>
          <w:sz w:val="22"/>
        </w:rPr>
        <w:t xml:space="preserve">The system uses </w:t>
      </w:r>
      <w:r>
        <w:rPr>
          <w:rFonts w:ascii="Calibri" w:hAnsi="Calibri"/>
          <w:b/>
          <w:i w:val="0"/>
          <w:color w:val="222222"/>
          <w:sz w:val="22"/>
        </w:rPr>
        <w:t>standard clinical data</w:t>
      </w:r>
      <w:r>
        <w:rPr>
          <w:rFonts w:ascii="Calibri" w:hAnsi="Calibri"/>
          <w:b w:val="0"/>
          <w:i w:val="0"/>
          <w:color w:val="222222"/>
          <w:sz w:val="22"/>
        </w:rPr>
        <w:t xml:space="preserve"> (tomography, aberrometry, refraction) as input and provides </w:t>
      </w:r>
      <w:r>
        <w:rPr>
          <w:rFonts w:ascii="Calibri" w:hAnsi="Calibri"/>
          <w:b/>
          <w:i w:val="0"/>
          <w:color w:val="222222"/>
          <w:sz w:val="22"/>
        </w:rPr>
        <w:t>ranked ring recommendations</w:t>
      </w:r>
      <w:r>
        <w:rPr>
          <w:rFonts w:ascii="Calibri" w:hAnsi="Calibri"/>
          <w:b w:val="0"/>
          <w:i w:val="0"/>
          <w:color w:val="222222"/>
          <w:sz w:val="22"/>
        </w:rPr>
        <w:t xml:space="preserve"> with expected biomechanical outcomes.</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pre-computed FEM lookup table</w:t>
      </w:r>
      <w:r>
        <w:rPr>
          <w:rFonts w:ascii="Calibri" w:hAnsi="Calibri"/>
          <w:b w:val="0"/>
          <w:i w:val="0"/>
          <w:color w:val="222222"/>
          <w:sz w:val="22"/>
        </w:rPr>
        <w:t xml:space="preserve"> enables rapid prediction without real-time simulation.</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interactive ring simulator</w:t>
      </w:r>
      <w:r>
        <w:rPr>
          <w:rFonts w:ascii="Calibri" w:hAnsi="Calibri"/>
          <w:b w:val="0"/>
          <w:i w:val="0"/>
          <w:color w:val="222222"/>
          <w:sz w:val="22"/>
        </w:rPr>
        <w:t xml:space="preserve"> allows surgeons to explore the parameter space and understand the biomechanical rationale for each recommendation.</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post-operative feedback module</w:t>
      </w:r>
      <w:r>
        <w:rPr>
          <w:rFonts w:ascii="Calibri" w:hAnsi="Calibri"/>
          <w:b w:val="0"/>
          <w:i w:val="0"/>
          <w:color w:val="222222"/>
          <w:sz w:val="22"/>
        </w:rPr>
        <w:t xml:space="preserve"> builds a surgeon-specific calibration curve that improves accuracy over time.</w:t>
      </w:r>
    </w:p>
    <w:p>
      <w:pPr>
        <w:pStyle w:val="ListBullet"/>
        <w:spacing w:before="40" w:after="80" w:line="276" w:lineRule="auto"/>
      </w:pPr>
      <w:r>
        <w:rPr>
          <w:rFonts w:ascii="Calibri" w:hAnsi="Calibri"/>
          <w:b/>
          <w:i w:val="0"/>
          <w:color w:val="222222"/>
          <w:sz w:val="22"/>
        </w:rPr>
        <w:t>Patient-specific FEM</w:t>
      </w:r>
      <w:r>
        <w:rPr>
          <w:rFonts w:ascii="Calibri" w:hAnsi="Calibri"/>
          <w:b w:val="0"/>
          <w:i w:val="0"/>
          <w:color w:val="222222"/>
          <w:sz w:val="22"/>
        </w:rPr>
        <w:t xml:space="preserve"> and </w:t>
      </w:r>
      <w:r>
        <w:rPr>
          <w:rFonts w:ascii="Calibri" w:hAnsi="Calibri"/>
          <w:b/>
          <w:i w:val="0"/>
          <w:color w:val="222222"/>
          <w:sz w:val="22"/>
        </w:rPr>
        <w:t>machine learning calibration</w:t>
      </w:r>
      <w:r>
        <w:rPr>
          <w:rFonts w:ascii="Calibri" w:hAnsi="Calibri"/>
          <w:b w:val="0"/>
          <w:i w:val="0"/>
          <w:color w:val="222222"/>
          <w:sz w:val="22"/>
        </w:rPr>
        <w:t xml:space="preserve"> are planned extensions that will increase predictive accuracy.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Alpins NA. ASSORT (Alpins Statistical System for Ophthalmic Refractive surgery Techniques). User Manual, Version 7.0, 2015.</w:t>
      </w:r>
    </w:p>
    <w:p>
      <w:pPr>
        <w:pStyle w:val="ListNumber"/>
        <w:spacing w:before="40" w:after="80" w:line="276" w:lineRule="auto"/>
      </w:pPr>
      <w:r>
        <w:rPr>
          <w:rFonts w:ascii="Calibri" w:hAnsi="Calibri"/>
          <w:b w:val="0"/>
          <w:i w:val="0"/>
          <w:color w:val="222222"/>
          <w:sz w:val="22"/>
        </w:rPr>
        <w:t xml:space="preserve">Barrett GD. An improved universal theoretical formula for intraocular lens power prediction. </w:t>
      </w:r>
      <w:r>
        <w:rPr>
          <w:rFonts w:ascii="Calibri" w:hAnsi="Calibri"/>
          <w:b w:val="0"/>
          <w:i/>
          <w:color w:val="222222"/>
          <w:sz w:val="22"/>
        </w:rPr>
        <w:t>J Cataract Refract Surg</w:t>
      </w:r>
      <w:r>
        <w:rPr>
          <w:rFonts w:ascii="Calibri" w:hAnsi="Calibri"/>
          <w:b w:val="0"/>
          <w:i w:val="0"/>
          <w:color w:val="222222"/>
          <w:sz w:val="22"/>
        </w:rPr>
        <w:t>. 2015;41(3):589–599.</w:t>
      </w:r>
    </w:p>
    <w:p>
      <w:pPr>
        <w:pStyle w:val="ListNumber"/>
        <w:spacing w:before="40" w:after="80" w:line="276" w:lineRule="auto"/>
      </w:pPr>
      <w:r>
        <w:rPr>
          <w:rFonts w:ascii="Calibri" w:hAnsi="Calibri"/>
          <w:b w:val="0"/>
          <w:i w:val="0"/>
          <w:color w:val="222222"/>
          <w:sz w:val="22"/>
        </w:rPr>
        <w:t xml:space="preserve">Dupps WJ Jr, Roberts CJ. Biomechanics of corneal ectasia.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Simonini I, Pandolfi A. Customized finite element modelling of the human cornea. </w:t>
      </w:r>
      <w:r>
        <w:rPr>
          <w:rFonts w:ascii="Calibri" w:hAnsi="Calibri"/>
          <w:b w:val="0"/>
          <w:i/>
          <w:color w:val="222222"/>
          <w:sz w:val="22"/>
        </w:rPr>
        <w:t>PLoS One</w:t>
      </w:r>
      <w:r>
        <w:rPr>
          <w:rFonts w:ascii="Calibri" w:hAnsi="Calibri"/>
          <w:b w:val="0"/>
          <w:i w:val="0"/>
          <w:color w:val="222222"/>
          <w:sz w:val="22"/>
        </w:rPr>
        <w:t>. 2015;10(6):e0130426.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