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FORMALIZAÇÃO ATUALIZADA: Vetores AVBC com Dados Reais do FEBio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Versão 2.1</w:t>
      </w:r>
      <w:r>
        <w:rPr>
          <w:rFonts w:ascii="Calibri" w:hAnsi="Calibri"/>
          <w:b w:val="0"/>
          <w:i w:val="0"/>
          <w:color w:val="334E68"/>
          <w:sz w:val="21"/>
        </w:rPr>
        <w:t xml:space="preserve"> — Atualizada com dados de 34 simulações FEBio 4.12 (28 simétricas e 6 assimétricas progressivas) Todos os valores são MEDIDOS, não estimados.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 DEFINIÇÃO FORMAL DOS VETORES — Com Valores Reais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Modelo Constitutivo: HGO (Holzapfel-Gasser-Ogden)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Ψ = c(Ī₁ - 3) + (k₁/2k₂) Σᵢ {exp[k₂⟨κ(Ī₁-3) + (1-3κ)(Ī₄ᵢ-1)⟩²] - 1}</w:t>
              <w:br/>
              <w:br/>
              <w:t>Parâmetros FEBio: c=0.05, k₁=0.22, k₂=100, κ=0.09, k=4.76 (MPa)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VR — Vetor Radial (Achatamento)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Definição Formal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VR = Δuᵣ(r, θ) = [ux·cos(θ) + uy·sin(θ)]_final − [ux·cos(θ) + uy·sin(θ)]_initial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Propriedade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Natureza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Campo escalar (projeção radial do deslocamento)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Unidade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Direção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Radial, centrífuga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Extração FEBio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node_data: ux;uy;uz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→ projeção radial → diferença step final − step 0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VALORES MEDIDOS (28 simulações simétricas)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Configuração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VR central (μm)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Observação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Baseline (sem ICRS)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19.18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Referência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 360°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8.89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(−54%)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Máxima restrição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90°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19.47 (+2%)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120°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19.23 (+0%)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160°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19.26 (+0%)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210°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19.94 (+4%)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255°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19.86 (+4%)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320°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19.46 (+1%)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Insensível</w:t>
            </w:r>
          </w:p>
        </w:tc>
      </w:tr>
    </w:tbl>
    <w:p>
      <w:pPr>
        <w:spacing w:before="120" w:after="120"/>
      </w:pP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[!IMPORTANT] </w:t>
      </w:r>
      <w:r>
        <w:rPr>
          <w:rFonts w:ascii="Calibri" w:hAnsi="Calibri"/>
          <w:b/>
          <w:i w:val="0"/>
          <w:color w:val="334E68"/>
          <w:sz w:val="21"/>
        </w:rPr>
        <w:t>ACHADO-CHAVE:</w:t>
      </w:r>
      <w:r>
        <w:rPr>
          <w:rFonts w:ascii="Calibri" w:hAnsi="Calibri"/>
          <w:b w:val="0"/>
          <w:i w:val="0"/>
          <w:color w:val="334E68"/>
          <w:sz w:val="21"/>
        </w:rPr>
        <w:t xml:space="preserve"> VR é INSENSÍVEL ao comprimento do arco (19.2-19.9 μm para arcos de 90°-320°). Somente espessura modula VR. Somente ICRS 360° (anel completo) reduz VR significativamente (−54%).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VT — Vetor Tangencial (Redistribuição)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Definição Formal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VT = Δσ_θθ(r, θ) = [σxx·sin²θ + σyy·cos²θ − 2·σxy·sinθ·cosθ]_final − [...]_initial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Propriedade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Natureza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Campo escalar (componente tangencial do tensor de Cauchy)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Unidade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kPa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Extração FEBio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element_data: sx;sy;sz;sxy;syz;sxz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→ transformação tensorial → Δσ_θθ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VALORES MEDIDOS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Configuração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VT global (kPa)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Δ% vs baseline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Baseline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7.78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90°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7.63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−1.9%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120°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7.57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−2.7%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160°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7.48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−3.9%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210°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7.39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−5.0%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255°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7.33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−5.8%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 320°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7.20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−7.4%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 360°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7.29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−6.3%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Equação Empírica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VT(arc°) = −0.0018 × arc° + 7.79    (R² = 0.94)</w:t>
            </w:r>
          </w:p>
        </w:tc>
      </w:tr>
    </w:tbl>
    <w:p>
      <w:pPr>
        <w:spacing w:before="80" w:after="80"/>
      </w:pP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[!IMPORTANT] </w:t>
      </w:r>
      <w:r>
        <w:rPr>
          <w:rFonts w:ascii="Calibri" w:hAnsi="Calibri"/>
          <w:b/>
          <w:i w:val="0"/>
          <w:color w:val="334E68"/>
          <w:sz w:val="21"/>
        </w:rPr>
        <w:t>ACHADO-CHAVE:</w:t>
      </w:r>
      <w:r>
        <w:rPr>
          <w:rFonts w:ascii="Calibri" w:hAnsi="Calibri"/>
          <w:b w:val="0"/>
          <w:i w:val="0"/>
          <w:color w:val="334E68"/>
          <w:sz w:val="21"/>
        </w:rPr>
        <w:t xml:space="preserve"> VT decresce MONOTONICAMENTE com o arco. Cada grau adicional de arco reduz VT em 0.0018 kPa. Isso confirma que o arco modula VT (redistribuição), não VR (achatamento).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Vτ — Vetor Torque (Reposicionamento do Ápice)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Definição Formal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Vτ = ∫_arco (ΔF⊥ × r) dθ</w:t>
              <w:br/>
              <w:t>Proxy: Σ |Δuz_i − Δuz_{i-1}| × r_i × Δθ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Propriedade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Natureza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Pseudovetor (torque)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Unidade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μN·m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Extração FEBio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node_data: uz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ao longo do arco → gradiente × r × Δθ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VALORES MEDIDOS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Para anéis </w:t>
      </w:r>
      <w:r>
        <w:rPr>
          <w:rFonts w:ascii="Calibri" w:hAnsi="Calibri"/>
          <w:b/>
          <w:i w:val="0"/>
          <w:color w:val="222222"/>
          <w:sz w:val="22"/>
        </w:rPr>
        <w:t>simétricos</w:t>
      </w:r>
      <w:r>
        <w:rPr>
          <w:rFonts w:ascii="Calibri" w:hAnsi="Calibri"/>
          <w:b w:val="0"/>
          <w:i w:val="0"/>
          <w:color w:val="222222"/>
          <w:sz w:val="22"/>
        </w:rPr>
        <w:t>: Vτ = 0 (confirmado em todas as 28 simulações simétricas).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Para anéis </w:t>
      </w:r>
      <w:r>
        <w:rPr>
          <w:rFonts w:ascii="Calibri" w:hAnsi="Calibri"/>
          <w:b/>
          <w:i w:val="0"/>
          <w:color w:val="222222"/>
          <w:sz w:val="22"/>
        </w:rPr>
        <w:t>assimétricos</w:t>
      </w:r>
      <w:r>
        <w:rPr>
          <w:rFonts w:ascii="Calibri" w:hAnsi="Calibri"/>
          <w:b w:val="0"/>
          <w:i w:val="0"/>
          <w:color w:val="222222"/>
          <w:sz w:val="22"/>
        </w:rPr>
        <w:t xml:space="preserve"> (espessura progressiva de 300→150 μm, 160°):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Linear progressivo (</w:t>
      </w:r>
      <w:r>
        <w:rPr>
          <w:rFonts w:ascii="Consolas" w:hAnsi="Consolas"/>
          <w:b w:val="0"/>
          <w:i w:val="0"/>
          <w:color w:val="A03030"/>
          <w:sz w:val="19"/>
        </w:rPr>
        <w:t>asym_prog_300to150</w:t>
      </w:r>
      <w:r>
        <w:rPr>
          <w:rFonts w:ascii="Calibri" w:hAnsi="Calibri"/>
          <w:b w:val="0"/>
          <w:i w:val="0"/>
          <w:color w:val="222222"/>
          <w:sz w:val="22"/>
        </w:rPr>
        <w:t>): $V\tau = 9.31\ \mu\text{N}\cdot\text{m}$ (rotação apical de $1.33^\circ$)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Reverso progressivo (</w:t>
      </w:r>
      <w:r>
        <w:rPr>
          <w:rFonts w:ascii="Consolas" w:hAnsi="Consolas"/>
          <w:b w:val="0"/>
          <w:i w:val="0"/>
          <w:color w:val="A03030"/>
          <w:sz w:val="19"/>
        </w:rPr>
        <w:t>asym_prog_150to300</w:t>
      </w:r>
      <w:r>
        <w:rPr>
          <w:rFonts w:ascii="Calibri" w:hAnsi="Calibri"/>
          <w:b w:val="0"/>
          <w:i w:val="0"/>
          <w:color w:val="222222"/>
          <w:sz w:val="22"/>
        </w:rPr>
        <w:t>): $V\tau = 9.40\ \mu\text{N}\cdot\text{m}$ (direção oposta)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Parabólico progressivo (</w:t>
      </w:r>
      <w:r>
        <w:rPr>
          <w:rFonts w:ascii="Consolas" w:hAnsi="Consolas"/>
          <w:b w:val="0"/>
          <w:i w:val="0"/>
          <w:color w:val="A03030"/>
          <w:sz w:val="19"/>
        </w:rPr>
        <w:t>asym_parab_300to150</w:t>
      </w:r>
      <w:r>
        <w:rPr>
          <w:rFonts w:ascii="Calibri" w:hAnsi="Calibri"/>
          <w:b w:val="0"/>
          <w:i w:val="0"/>
          <w:color w:val="222222"/>
          <w:sz w:val="22"/>
        </w:rPr>
        <w:t>): $V\tau = 18.34\ \mu\text{N}\cdot\text{m}$ (duplo torque ativo)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Arco longo progressivo (</w:t>
      </w:r>
      <w:r>
        <w:rPr>
          <w:rFonts w:ascii="Consolas" w:hAnsi="Consolas"/>
          <w:b w:val="0"/>
          <w:i w:val="0"/>
          <w:color w:val="A03030"/>
          <w:sz w:val="19"/>
        </w:rPr>
        <w:t>asym_prog_300to150_arc210</w:t>
      </w:r>
      <w:r>
        <w:rPr>
          <w:rFonts w:ascii="Calibri" w:hAnsi="Calibri"/>
          <w:b w:val="0"/>
          <w:i w:val="0"/>
          <w:color w:val="222222"/>
          <w:sz w:val="22"/>
        </w:rPr>
        <w:t>): $V\tau = 11.76\ \mu\text{N}\cdot\text{m}$ (+26% devido ao braço de alavanca de $10.08$ mm)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[!NOTE] A validação física de $V\tau \ne 0$ foi realizada através da modelagem mecânica de contorno em FEBio 4.12, aplicando restrições rígidas no setor espesso e complacência periférica no setor delgado. O torque é o motor físico da translação do ápice corneano para regularização do coma.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 O PARADOXO DO ICRS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[!WARNING] </w:t>
      </w:r>
      <w:r>
        <w:rPr>
          <w:rFonts w:ascii="Calibri" w:hAnsi="Calibri"/>
          <w:b/>
          <w:i w:val="0"/>
          <w:color w:val="334E68"/>
          <w:sz w:val="21"/>
        </w:rPr>
        <w:t>Descoberta mais contra-intuitiva:</w:t>
      </w:r>
      <w:r>
        <w:rPr>
          <w:rFonts w:ascii="Calibri" w:hAnsi="Calibri"/>
          <w:b w:val="0"/>
          <w:i w:val="0"/>
          <w:color w:val="334E68"/>
          <w:sz w:val="21"/>
        </w:rPr>
        <w:t xml:space="preserve"> O Δuz é NEGATIVO em todos os 8 pacientes double-run.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A córnea tratada (com ICRS) desloca MAIS que a nua sob IOP.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Paquimetria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Δuz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médio (μm)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430 μm (fina)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34.1 ± 1.0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430–500 μm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29.3 ± 0.8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&gt; 500 μm (espessa)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28.5 ± 0.2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Explicação física: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ICRS cria concentração de tensão. Ele NÃO empurra a córnea para baixo — ele reorganiza a distribuição de stress, mudando a relação curvatura-deslocamento. O ΔK clínico é efeito de curvatura superficial, não redução simples de deslocamento.</w:t>
      </w:r>
    </w:p>
    <w:p>
      <w:r>
        <w:rPr>
          <w:rFonts w:ascii="Calibri" w:hAnsi="Calibri"/>
          <w:b/>
          <w:i w:val="0"/>
          <w:color w:val="222222"/>
          <w:sz w:val="22"/>
        </w:rPr>
        <w:t>Implicação para o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VT (redistribuição de tensão) é o mecanismo primário, não VR (deslocamento radial simples).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 TABELA RESUMO: Definições → Valores Reais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Vetor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Antes (metáfora)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Agora (FEBio)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Faixa Medida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"Achata"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Δuᵣ = projeção radial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8.9–19.9 μm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"Redistribui"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Δσ_θθ = tensão tangencial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7.2–7.8 kPa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"Reposiciona"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∫ΔF⊥ × r dθ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 (simétrico) / 9.31–18.34 μN·m (assimétrico)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Correlação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Equação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R²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 × Arco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 = −0.0018·arc° + 7.79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0.94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× Arco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≈ 19.5 (constante)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Δuz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× Paquimetria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4. CADEIA DE RASTREABILIDADE COMPLETA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Parâmetros clínicos → generate_hgo_multilayer.py → .feb</w:t>
              <w:br/>
              <w:t xml:space="preserve">  → febio4.exe (4.12) → .xplt + CSV</w:t>
              <w:br/>
              <w:t xml:space="preserve">    → avbc_batch_extraction.py → JSON + CSV + PNG</w:t>
              <w:br/>
              <w:t xml:space="preserve">      → Este documento → Capítulos do livro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/>
          <w:i w:val="0"/>
          <w:color w:val="222222"/>
          <w:sz w:val="22"/>
        </w:rPr>
        <w:t>Scripts versionados: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[avbc</w:t>
      </w:r>
      <w:r>
        <w:rPr>
          <w:rFonts w:ascii="Calibri" w:hAnsi="Calibri"/>
          <w:b w:val="0"/>
          <w:i/>
          <w:color w:val="222222"/>
          <w:sz w:val="22"/>
        </w:rPr>
        <w:t>vector</w:t>
      </w:r>
      <w:r>
        <w:rPr>
          <w:rFonts w:ascii="Calibri" w:hAnsi="Calibri"/>
          <w:b w:val="0"/>
          <w:i w:val="0"/>
          <w:color w:val="222222"/>
          <w:sz w:val="22"/>
        </w:rPr>
        <w:t>extraction.py](file:///D:/Projetos/Antigravity/Vetores%20Anel/fem/avbc</w:t>
      </w:r>
      <w:r>
        <w:rPr>
          <w:rFonts w:ascii="Calibri" w:hAnsi="Calibri"/>
          <w:b w:val="0"/>
          <w:i/>
          <w:color w:val="222222"/>
          <w:sz w:val="22"/>
        </w:rPr>
        <w:t>vector</w:t>
      </w:r>
      <w:r>
        <w:rPr>
          <w:rFonts w:ascii="Calibri" w:hAnsi="Calibri"/>
          <w:b w:val="0"/>
          <w:i w:val="0"/>
          <w:color w:val="222222"/>
          <w:sz w:val="22"/>
        </w:rPr>
        <w:t>extraction.py)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[avbc</w:t>
      </w:r>
      <w:r>
        <w:rPr>
          <w:rFonts w:ascii="Calibri" w:hAnsi="Calibri"/>
          <w:b w:val="0"/>
          <w:i/>
          <w:color w:val="222222"/>
          <w:sz w:val="22"/>
        </w:rPr>
        <w:t>batch</w:t>
      </w:r>
      <w:r>
        <w:rPr>
          <w:rFonts w:ascii="Calibri" w:hAnsi="Calibri"/>
          <w:b w:val="0"/>
          <w:i w:val="0"/>
          <w:color w:val="222222"/>
          <w:sz w:val="22"/>
        </w:rPr>
        <w:t>extraction.py](file:///D:/Projetos/Antigravity/Vetores%20Anel/fem/Simulation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batch_extraction.py)</w:t>
      </w:r>
    </w:p>
    <w:p>
      <w:r>
        <w:rPr>
          <w:rFonts w:ascii="Calibri" w:hAnsi="Calibri"/>
          <w:b/>
          <w:i w:val="0"/>
          <w:color w:val="222222"/>
          <w:sz w:val="22"/>
        </w:rPr>
        <w:t>Dados: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[AVBC</w:t>
      </w:r>
      <w:r>
        <w:rPr>
          <w:rFonts w:ascii="Calibri" w:hAnsi="Calibri"/>
          <w:b w:val="0"/>
          <w:i/>
          <w:color w:val="222222"/>
          <w:sz w:val="22"/>
        </w:rPr>
        <w:t>consolidated</w:t>
      </w:r>
      <w:r>
        <w:rPr>
          <w:rFonts w:ascii="Calibri" w:hAnsi="Calibri"/>
          <w:b w:val="0"/>
          <w:i w:val="0"/>
          <w:color w:val="222222"/>
          <w:sz w:val="22"/>
        </w:rPr>
        <w:t>vectors.csv](file:///D:/Projetos/Antigravity/Vetores%20Anel/fem/Simulation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consolidated_vectors.csv)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[AVBC</w:t>
      </w:r>
      <w:r>
        <w:rPr>
          <w:rFonts w:ascii="Calibri" w:hAnsi="Calibri"/>
          <w:b w:val="0"/>
          <w:i/>
          <w:color w:val="222222"/>
          <w:sz w:val="22"/>
        </w:rPr>
        <w:t>batch</w:t>
      </w:r>
      <w:r>
        <w:rPr>
          <w:rFonts w:ascii="Calibri" w:hAnsi="Calibri"/>
          <w:b w:val="0"/>
          <w:i w:val="0"/>
          <w:color w:val="222222"/>
          <w:sz w:val="22"/>
        </w:rPr>
        <w:t>report.json](file:///D:/Projetos/Antigravity/Vetores%20Anel/fem/Simulation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batch_report.json)</w:t>
      </w:r>
    </w:p>
    <w:p>
      <w:r>
        <w:rPr>
          <w:rFonts w:ascii="Calibri" w:hAnsi="Calibri"/>
          <w:b/>
          <w:i w:val="0"/>
          <w:color w:val="222222"/>
          <w:sz w:val="22"/>
        </w:rPr>
        <w:t>Figuras publicáveis: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[Decision Matrix](file:///D:/Projetos/Antigravity/Vetores%20Anel/fem/Simulation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decision_matrix.png)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[Arc Sweep (300 dpi)](file:///D:/Projetos/Antigravity/Vetores%20Anel/fem/Simulation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arc</w:t>
      </w:r>
      <w:r>
        <w:rPr>
          <w:rFonts w:ascii="Calibri" w:hAnsi="Calibri"/>
          <w:b w:val="0"/>
          <w:i/>
          <w:color w:val="222222"/>
          <w:sz w:val="22"/>
        </w:rPr>
        <w:t>sweep</w:t>
      </w:r>
      <w:r>
        <w:rPr>
          <w:rFonts w:ascii="Calibri" w:hAnsi="Calibri"/>
          <w:b w:val="0"/>
          <w:i w:val="0"/>
          <w:color w:val="222222"/>
          <w:sz w:val="22"/>
        </w:rPr>
        <w:t>publication.png)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[Patient Sensitivity (300 dpi)](file:///D:/Projetos/Antigravity/Vetores%20Anel/fem/Simulation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patient_sensitivity.png)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[Grand Summary](file:///D:/Projetos/Antigravity/Vetores%20Anel/fem/Simulation</w:t>
      </w:r>
      <w:r>
        <w:rPr>
          <w:rFonts w:ascii="Calibri" w:hAnsi="Calibri"/>
          <w:b w:val="0"/>
          <w:i/>
          <w:color w:val="222222"/>
          <w:sz w:val="22"/>
        </w:rPr>
        <w:t>Core/avbc</w:t>
      </w:r>
      <w:r>
        <w:rPr>
          <w:rFonts w:ascii="Calibri" w:hAnsi="Calibri"/>
          <w:b w:val="0"/>
          <w:i w:val="0"/>
          <w:color w:val="222222"/>
          <w:sz w:val="22"/>
        </w:rPr>
        <w:t>batch</w:t>
      </w:r>
      <w:r>
        <w:rPr>
          <w:rFonts w:ascii="Calibri" w:hAnsi="Calibri"/>
          <w:b w:val="0"/>
          <w:i/>
          <w:color w:val="222222"/>
          <w:sz w:val="22"/>
        </w:rPr>
        <w:t>output/AVBC</w:t>
      </w:r>
      <w:r>
        <w:rPr>
          <w:rFonts w:ascii="Calibri" w:hAnsi="Calibri"/>
          <w:b w:val="0"/>
          <w:i w:val="0"/>
          <w:color w:val="222222"/>
          <w:sz w:val="22"/>
        </w:rPr>
        <w:t>grand_summary.png)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