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>
          <w:rFonts w:ascii="Calibri" w:hAnsi="Calibri"/>
          <w:b w:val="0"/>
          <w:i w:val="0"/>
          <w:color w:val="1B365D"/>
          <w:sz w:val="36"/>
        </w:rPr>
        <w:t>Corneal Biomechanical Vector Analysis for Intracorneal Ring Segment Planning</w:t>
      </w:r>
    </w:p>
    <w:p>
      <w:pPr>
        <w:pStyle w:val="Heading2"/>
      </w:pPr>
      <w:r/>
      <w:r>
        <w:rPr>
          <w:rFonts w:ascii="Calibri" w:hAnsi="Calibri"/>
          <w:b w:val="0"/>
          <w:i w:val="0"/>
          <w:color w:val="1B365D"/>
          <w:sz w:val="28"/>
        </w:rPr>
        <w:t>Master Table of Contents</w:t>
      </w:r>
    </w:p>
    <w:p>
      <w:r>
        <w:rPr>
          <w:rFonts w:ascii="Calibri" w:hAnsi="Calibri"/>
          <w:b/>
          <w:i w:val="0"/>
          <w:color w:val="222222"/>
          <w:sz w:val="22"/>
        </w:rPr>
        <w:t>Editors:</w:t>
      </w:r>
      <w:r>
        <w:rPr>
          <w:rFonts w:ascii="Calibri" w:hAnsi="Calibri"/>
          <w:b w:val="0"/>
          <w:i w:val="0"/>
          <w:color w:val="222222"/>
          <w:sz w:val="22"/>
        </w:rPr>
        <w:t xml:space="preserve"> Miguel Reiz, MD, PhD</w:t>
      </w:r>
    </w:p>
    <w:p>
      <w:r>
        <w:rPr>
          <w:rFonts w:ascii="Calibri" w:hAnsi="Calibri"/>
          <w:b/>
          <w:i w:val="0"/>
          <w:color w:val="222222"/>
          <w:sz w:val="22"/>
        </w:rPr>
        <w:t>Publisher:</w:t>
      </w:r>
      <w:r>
        <w:rPr>
          <w:rFonts w:ascii="Calibri" w:hAnsi="Calibri"/>
          <w:b w:val="0"/>
          <w:i w:val="0"/>
          <w:color w:val="222222"/>
          <w:sz w:val="22"/>
        </w:rPr>
        <w:t xml:space="preserve"> Elsevier Health Sciences</w:t>
      </w:r>
    </w:p>
    <w:p>
      <w:r>
        <w:rPr>
          <w:rFonts w:ascii="Calibri" w:hAnsi="Calibri"/>
          <w:b/>
          <w:i w:val="0"/>
          <w:color w:val="222222"/>
          <w:sz w:val="22"/>
        </w:rPr>
        <w:t>Estimated Pages:</w:t>
      </w:r>
      <w:r>
        <w:rPr>
          <w:rFonts w:ascii="Calibri" w:hAnsi="Calibri"/>
          <w:b w:val="0"/>
          <w:i w:val="0"/>
          <w:color w:val="222222"/>
          <w:sz w:val="22"/>
        </w:rPr>
        <w:t xml:space="preserve"> 280–320</w:t>
      </w: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 I — Foundations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Chapter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Title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Est. Pages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Words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File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Keratoconic Cornea as a Biomechanical System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~4,200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cap01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cornea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biomecanica.md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How Intracorneal Ring Segments Work: Physics Before Nomograms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18–20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~4,500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cap02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como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icrs_funcionam.md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Alpins Method: A Template for Surgical Planning Languages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~4,200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cap03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metodo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alpins.md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Limits of Empirical Planning: Why Nomograms Fail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~4,200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cap04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limites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nomogramas.md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 II — The AVBC Framework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Chapter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Title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Est. Pages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Words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File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5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Three Domains of ICRS Assessment: Optical, Topographic, Biomechanical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~4,200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cap05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tres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dominios.md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V_R: The Radial Vector — Mechanics of Flattening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18–20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~4,500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cap06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vetor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VR.md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7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V_T: The Tangential Vector — Astigmatism Redistribution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~4,200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cap07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vetor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V_τ: The Torque Vector — Apex Repositioning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18–20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~4,500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cap08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vetor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Vtau.md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 III — Classification and Validation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Chapter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Title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Est. Pages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Words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File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9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Integrated AVBC Classification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20–22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~5,000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cap09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classificacao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avbc.md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Computational Validation: FEM Extraction of V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R, V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T, and V_τ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22–24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~5,500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cap10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validacao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fem.md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 IV — Clinical Application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Chapter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Title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Est. Pages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Words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File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11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From Framework to Clinical Workflow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16–18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~4,000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cap11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fluxo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clinico.md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Illustrative Cases: AVBC-Guided ICRS Planning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14–16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~3,800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cap12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casos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ilustrativos.md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13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Limitations, Open Questions, and Future Directions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14–16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~3,500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cap13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limitacoes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futuro.md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Part V — The Platform and Conclusion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Chapter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Title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Est. Pages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Words</w:t>
            </w:r>
          </w:p>
        </w:tc>
        <w:tc>
          <w:tcPr>
            <w:tcW w:type="dxa" w:w="1728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File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The AVBC Software Platform: Architecture and Implementation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12–14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~3,200</w:t>
            </w:r>
          </w:p>
        </w:tc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cap14</w:t>
            </w:r>
            <w:r>
              <w:rPr>
                <w:rFonts w:ascii="Calibri" w:hAnsi="Calibri"/>
                <w:b w:val="0"/>
                <w:i/>
                <w:color w:val="222222"/>
                <w:sz w:val="19"/>
              </w:rPr>
              <w:t>plataforma</w:t>
            </w: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software.md</w:t>
            </w:r>
          </w:p>
        </w:tc>
      </w:tr>
      <w:tr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Conclusion: Toward a Biomechanical Language for Corneal Surgery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10–12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~2,500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cap15_conclusao.md</w:t>
            </w:r>
          </w:p>
        </w:tc>
      </w:tr>
    </w:tbl>
    <w:p>
      <w:pPr>
        <w:spacing w:before="120" w:after="120"/>
      </w:pP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Appendices (Planned)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Appendix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Title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Est. Pages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HGO Constitutive Model: Derivation and Parameters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8–10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Not written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B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FEBio Script Documentation and Extraction Pipeline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6–8</w:t>
            </w:r>
          </w:p>
        </w:tc>
        <w:tc>
          <w:tcPr>
            <w:tcW w:type="dxa" w:w="216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Not written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Glossary of AVBC Terminology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4–6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Not written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Summary Statistics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E0E0E0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Metric</w:t>
            </w:r>
          </w:p>
        </w:tc>
        <w:tc>
          <w:tcPr>
            <w:tcW w:type="dxa" w:w="43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Total chapters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15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Total estimated words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~62,000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Total estimated pages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250–280 (text only)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Figures (planned)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~45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Tables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~35</w:t>
            </w:r>
          </w:p>
        </w:tc>
      </w:tr>
      <w:tr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References (unique)</w:t>
            </w:r>
          </w:p>
        </w:tc>
        <w:tc>
          <w:tcPr>
            <w:tcW w:type="dxa" w:w="4320"/>
            <w:shd w:fill="F2F4F7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~170</w:t>
            </w:r>
          </w:p>
        </w:tc>
      </w:tr>
      <w:tr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FEM simulations cited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34</w:t>
            </w:r>
          </w:p>
        </w:tc>
      </w:tr>
    </w:tbl>
    <w:p>
      <w:pPr>
        <w:spacing w:before="120" w:after="120"/>
      </w:pPr>
    </w:p>
    <w:p>
      <w:pPr>
        <w:spacing w:before="240" w:after="240"/>
        <w:jc w:val="center"/>
      </w:pPr>
      <w:r>
        <w:rPr>
          <w:rFonts w:ascii="Calibri" w:hAnsi="Calibri"/>
          <w:color w:val="1B365D"/>
          <w:sz w:val="24"/>
        </w:rPr>
        <w:t>❖   ❖   ❖</w:t>
      </w:r>
    </w:p>
    <w:p>
      <w:pPr>
        <w:pStyle w:val="Heading3"/>
      </w:pPr>
      <w:r/>
      <w:r>
        <w:rPr>
          <w:rFonts w:ascii="Calibri" w:hAnsi="Calibri"/>
          <w:b w:val="0"/>
          <w:i w:val="0"/>
          <w:color w:val="1B365D"/>
          <w:sz w:val="24"/>
        </w:rPr>
        <w:t>File Locations</w:t>
      </w:r>
    </w:p>
    <w:p>
      <w:r>
        <w:rPr>
          <w:rFonts w:ascii="Calibri" w:hAnsi="Calibri"/>
          <w:b/>
          <w:i w:val="0"/>
          <w:color w:val="222222"/>
          <w:sz w:val="22"/>
        </w:rPr>
        <w:t>Workspace (consolidated):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onsolas" w:hAnsi="Consolas"/>
          <w:b w:val="0"/>
          <w:i w:val="0"/>
          <w:color w:val="A03030"/>
          <w:sz w:val="19"/>
        </w:rPr>
        <w:t>D:\Antigravity\Aulas vetores corneanos\capitulos\</w:t>
      </w:r>
    </w:p>
    <w:p>
      <w:r>
        <w:rPr>
          <w:rFonts w:ascii="Calibri" w:hAnsi="Calibri"/>
          <w:b/>
          <w:i w:val="0"/>
          <w:color w:val="222222"/>
          <w:sz w:val="22"/>
        </w:rPr>
        <w:t>Artifact directory (primary):</w:t>
      </w:r>
      <w:r>
        <w:rPr>
          <w:rFonts w:ascii="Calibri" w:hAnsi="Calibri"/>
          <w:b w:val="0"/>
          <w:i w:val="0"/>
          <w:color w:val="222222"/>
          <w:sz w:val="22"/>
        </w:rPr>
        <w:t xml:space="preserve"> </w:t>
      </w:r>
      <w:r>
        <w:rPr>
          <w:rFonts w:ascii="Consolas" w:hAnsi="Consolas"/>
          <w:b w:val="0"/>
          <w:i w:val="0"/>
          <w:color w:val="A03030"/>
          <w:sz w:val="19"/>
        </w:rPr>
        <w:t>C:\Users\3D_OCT\.gemini\antigravity\brain\88ba3e79-0113-4786-bd92-32ab26186e3e\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B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B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76" w:lineRule="auto" w:after="80"/>
      <w:contextualSpacing/>
    </w:pPr>
    <w:rPr>
      <w:rFonts w:ascii="Calibri" w:hAnsi="Calibri"/>
      <w:color w:val="222222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