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Apêndice C — Glossário de Terminologia da AVBC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Termos Biomecânicos</w:t>
      </w:r>
    </w:p>
    <w:p>
      <w:r>
        <w:rPr>
          <w:rFonts w:ascii="Calibri" w:hAnsi="Calibri"/>
          <w:b/>
          <w:i w:val="0"/>
          <w:color w:val="222222"/>
          <w:sz w:val="22"/>
        </w:rPr>
        <w:t>Aplanamento</w:t>
      </w:r>
      <w:r>
        <w:rPr>
          <w:rFonts w:ascii="Calibri" w:hAnsi="Calibri"/>
          <w:b w:val="0"/>
          <w:i w:val="0"/>
          <w:color w:val="222222"/>
          <w:sz w:val="22"/>
        </w:rPr>
        <w:t xml:space="preserve"> (</w:t>
      </w:r>
      <w:r>
        <w:rPr>
          <w:rFonts w:ascii="Calibri" w:hAnsi="Calibri"/>
          <w:b w:val="0"/>
          <w:i/>
          <w:color w:val="222222"/>
          <w:sz w:val="22"/>
        </w:rPr>
        <w:t>Flattening</w:t>
      </w:r>
      <w:r>
        <w:rPr>
          <w:rFonts w:ascii="Calibri" w:hAnsi="Calibri"/>
          <w:b w:val="0"/>
          <w:i w:val="0"/>
          <w:color w:val="222222"/>
          <w:sz w:val="22"/>
        </w:rPr>
        <w:t>)</w:t>
      </w:r>
    </w:p>
    <w:p>
      <w:r>
        <w:rPr>
          <w:rFonts w:ascii="Calibri" w:hAnsi="Calibri"/>
          <w:b w:val="0"/>
          <w:i w:val="0"/>
          <w:color w:val="222222"/>
          <w:sz w:val="22"/>
        </w:rPr>
        <w:t>Redução da curvatura corneana central, medida como diminuição do K-steep ou K-médio. No framework AVBC, o aplanamento é mediado pelo vetor VR e controlado pelo volume total do implante (espessura × arco).</w:t>
      </w:r>
    </w:p>
    <w:p>
      <w:r>
        <w:rPr>
          <w:rFonts w:ascii="Calibri" w:hAnsi="Calibri"/>
          <w:b/>
          <w:i w:val="0"/>
          <w:color w:val="222222"/>
          <w:sz w:val="22"/>
        </w:rPr>
        <w:t>Anisotropia</w:t>
      </w:r>
    </w:p>
    <w:p>
      <w:r>
        <w:rPr>
          <w:rFonts w:ascii="Calibri" w:hAnsi="Calibri"/>
          <w:b w:val="0"/>
          <w:i w:val="0"/>
          <w:color w:val="222222"/>
          <w:sz w:val="22"/>
        </w:rPr>
        <w:t>Propriedade de um material cujo comportamento mecânico varia com a direção. O estroma corneano é anisotrópico: mais rígido ao longo dos meridianos nasal-temporal e superior-inferior (fibras cardinais) do que em direções oblíquas.</w:t>
      </w:r>
    </w:p>
    <w:p>
      <w:r>
        <w:rPr>
          <w:rFonts w:ascii="Calibri" w:hAnsi="Calibri"/>
          <w:b/>
          <w:i w:val="0"/>
          <w:color w:val="222222"/>
          <w:sz w:val="22"/>
        </w:rPr>
        <w:t>AVBC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Análise Vetorial Biomecânica Corneana</w:t>
      </w:r>
    </w:p>
    <w:p>
      <w:r>
        <w:rPr>
          <w:rFonts w:ascii="Calibri" w:hAnsi="Calibri"/>
          <w:b w:val="0"/>
          <w:i w:val="0"/>
          <w:color w:val="222222"/>
          <w:sz w:val="22"/>
        </w:rPr>
        <w:t>Framework de planejamento cirúrgico para ICRS que decompõe o efeito biomecânico do anel em três vetores independentes (VR, VT, Vτ), substituindo a seleção empírica por nomogramas.</w:t>
      </w:r>
    </w:p>
    <w:p>
      <w:r>
        <w:rPr>
          <w:rFonts w:ascii="Calibri" w:hAnsi="Calibri"/>
          <w:b/>
          <w:i w:val="0"/>
          <w:color w:val="222222"/>
          <w:sz w:val="22"/>
        </w:rPr>
        <w:t>Cintagem</w:t>
      </w:r>
      <w:r>
        <w:rPr>
          <w:rFonts w:ascii="Calibri" w:hAnsi="Calibri"/>
          <w:b w:val="0"/>
          <w:i w:val="0"/>
          <w:color w:val="222222"/>
          <w:sz w:val="22"/>
        </w:rPr>
        <w:t xml:space="preserve"> (</w:t>
      </w:r>
      <w:r>
        <w:rPr>
          <w:rFonts w:ascii="Calibri" w:hAnsi="Calibri"/>
          <w:b w:val="0"/>
          <w:i/>
          <w:color w:val="222222"/>
          <w:sz w:val="22"/>
        </w:rPr>
        <w:t>Hoop restriction</w:t>
      </w:r>
      <w:r>
        <w:rPr>
          <w:rFonts w:ascii="Calibri" w:hAnsi="Calibri"/>
          <w:b w:val="0"/>
          <w:i w:val="0"/>
          <w:color w:val="222222"/>
          <w:sz w:val="22"/>
        </w:rPr>
        <w:t>)</w:t>
      </w:r>
    </w:p>
    <w:p>
      <w:r>
        <w:rPr>
          <w:rFonts w:ascii="Calibri" w:hAnsi="Calibri"/>
          <w:b w:val="0"/>
          <w:i w:val="0"/>
          <w:color w:val="222222"/>
          <w:sz w:val="22"/>
        </w:rPr>
        <w:t>Efeito de restrição circunferencial exercido pelo ICRS sobre o estroma periférico. Análogo ao aro de um barril: impede a expansão radial sob a PIO. Governa o vetor VT e é controlado pelo comprimento do arco.</w:t>
      </w:r>
    </w:p>
    <w:p>
      <w:r>
        <w:rPr>
          <w:rFonts w:ascii="Calibri" w:hAnsi="Calibri"/>
          <w:b/>
          <w:i w:val="0"/>
          <w:color w:val="222222"/>
          <w:sz w:val="22"/>
        </w:rPr>
        <w:t>CXL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</w:t>
      </w:r>
      <w:r>
        <w:rPr>
          <w:rFonts w:ascii="Calibri" w:hAnsi="Calibri"/>
          <w:b w:val="0"/>
          <w:i/>
          <w:color w:val="222222"/>
          <w:sz w:val="22"/>
        </w:rPr>
        <w:t>Crosslinking</w:t>
      </w:r>
      <w:r>
        <w:rPr>
          <w:rFonts w:ascii="Calibri" w:hAnsi="Calibri"/>
          <w:b w:val="0"/>
          <w:i w:val="0"/>
          <w:color w:val="222222"/>
          <w:sz w:val="22"/>
        </w:rPr>
        <w:t xml:space="preserve"> do Colágeno Corneano</w:t>
      </w:r>
    </w:p>
    <w:p>
      <w:r>
        <w:rPr>
          <w:rFonts w:ascii="Calibri" w:hAnsi="Calibri"/>
          <w:b w:val="0"/>
          <w:i w:val="0"/>
          <w:color w:val="222222"/>
          <w:sz w:val="22"/>
        </w:rPr>
        <w:t>Procedimento que reforça as ligações cruzadas interfibrilares do colágeno estromal usando riboflavina e radiação UVA. Aumenta o parâmetro $k_1$ (rigidez fibrilar) do modelo HGO.</w:t>
      </w:r>
    </w:p>
    <w:p>
      <w:r>
        <w:rPr>
          <w:rFonts w:ascii="Calibri" w:hAnsi="Calibri"/>
          <w:b/>
          <w:i w:val="0"/>
          <w:color w:val="222222"/>
          <w:sz w:val="22"/>
        </w:rPr>
        <w:t>Deslocamento apical</w:t>
      </w:r>
      <w:r>
        <w:rPr>
          <w:rFonts w:ascii="Calibri" w:hAnsi="Calibri"/>
          <w:b w:val="0"/>
          <w:i w:val="0"/>
          <w:color w:val="222222"/>
          <w:sz w:val="22"/>
        </w:rPr>
        <w:t xml:space="preserve"> ($\delta_{apex}$)</w:t>
      </w:r>
    </w:p>
    <w:p>
      <w:r>
        <w:rPr>
          <w:rFonts w:ascii="Calibri" w:hAnsi="Calibri"/>
          <w:b w:val="0"/>
          <w:i w:val="0"/>
          <w:color w:val="222222"/>
          <w:sz w:val="22"/>
        </w:rPr>
        <w:t>Deslocamento vertical do ápice corneano sob pressão intraocular. É a métrica principal de deformação nas simulações FEM. Valor basal canónico: 360,9 μm (sem anel).</w:t>
      </w:r>
    </w:p>
    <w:p>
      <w:r>
        <w:rPr>
          <w:rFonts w:ascii="Calibri" w:hAnsi="Calibri"/>
          <w:b/>
          <w:i w:val="0"/>
          <w:color w:val="222222"/>
          <w:sz w:val="22"/>
        </w:rPr>
        <w:t>Eixo Neutro Mecânico (ENM)</w:t>
      </w:r>
      <w:r>
        <w:rPr>
          <w:rFonts w:ascii="Calibri" w:hAnsi="Calibri"/>
          <w:b w:val="0"/>
          <w:i w:val="0"/>
          <w:color w:val="222222"/>
          <w:sz w:val="22"/>
        </w:rPr>
        <w:t xml:space="preserve"> (</w:t>
      </w:r>
      <w:r>
        <w:rPr>
          <w:rFonts w:ascii="Calibri" w:hAnsi="Calibri"/>
          <w:b w:val="0"/>
          <w:i/>
          <w:color w:val="222222"/>
          <w:sz w:val="22"/>
        </w:rPr>
        <w:t>Mechanical Neutral Axis, MNA</w:t>
      </w:r>
      <w:r>
        <w:rPr>
          <w:rFonts w:ascii="Calibri" w:hAnsi="Calibri"/>
          <w:b w:val="0"/>
          <w:i w:val="0"/>
          <w:color w:val="222222"/>
          <w:sz w:val="22"/>
        </w:rPr>
        <w:t>)</w:t>
      </w:r>
    </w:p>
    <w:p>
      <w:r>
        <w:rPr>
          <w:rFonts w:ascii="Calibri" w:hAnsi="Calibri"/>
          <w:b w:val="0"/>
          <w:i w:val="0"/>
          <w:color w:val="222222"/>
          <w:sz w:val="22"/>
        </w:rPr>
        <w:t>Eixo que divide a córnea em duas metades com propriedades biomecânicas aproximadamente iguais, determinado pela elevação posterior e espessura mínima. Difere do eixo de maior curvatura (K-steep) em até 40% dos casos. O ICRS deve ser posicionado relativamente ao ENM, não ao K-steep.</w:t>
      </w:r>
    </w:p>
    <w:p>
      <w:r>
        <w:rPr>
          <w:rFonts w:ascii="Calibri" w:hAnsi="Calibri"/>
          <w:b/>
          <w:i w:val="0"/>
          <w:color w:val="222222"/>
          <w:sz w:val="22"/>
        </w:rPr>
        <w:t>Escola Volumétrica</w:t>
      </w:r>
    </w:p>
    <w:p>
      <w:r>
        <w:rPr>
          <w:rFonts w:ascii="Calibri" w:hAnsi="Calibri"/>
          <w:b w:val="0"/>
          <w:i w:val="0"/>
          <w:color w:val="222222"/>
          <w:sz w:val="22"/>
        </w:rPr>
        <w:t>Paradigma que explica o efeito do ICRS pelo deslocamento de volume: o anel ocupa um volume físico no estroma incompressível, forçando o tecido adjacente a deslocar-se radial e anteriormente. Fundamentação: Kling &amp; Marcos (IOVS, 2013).</w:t>
      </w:r>
    </w:p>
    <w:p>
      <w:r>
        <w:rPr>
          <w:rFonts w:ascii="Calibri" w:hAnsi="Calibri"/>
          <w:b/>
          <w:i w:val="0"/>
          <w:color w:val="222222"/>
          <w:sz w:val="22"/>
        </w:rPr>
        <w:t>FEM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Método dos Elementos Finitos (</w:t>
      </w:r>
      <w:r>
        <w:rPr>
          <w:rFonts w:ascii="Calibri" w:hAnsi="Calibri"/>
          <w:b w:val="0"/>
          <w:i/>
          <w:color w:val="222222"/>
          <w:sz w:val="22"/>
        </w:rPr>
        <w:t>Finite Element Method</w:t>
      </w:r>
      <w:r>
        <w:rPr>
          <w:rFonts w:ascii="Calibri" w:hAnsi="Calibri"/>
          <w:b w:val="0"/>
          <w:i w:val="0"/>
          <w:color w:val="222222"/>
          <w:sz w:val="22"/>
        </w:rPr>
        <w:t>)</w:t>
      </w:r>
    </w:p>
    <w:p>
      <w:r>
        <w:rPr>
          <w:rFonts w:ascii="Calibri" w:hAnsi="Calibri"/>
          <w:b w:val="0"/>
          <w:i w:val="0"/>
          <w:color w:val="222222"/>
          <w:sz w:val="22"/>
        </w:rPr>
        <w:t>Técnica computacional para resolver equações diferenciais parciais em geometrias complexas. No contexto da AVBC, utilizado para simular a resposta corneana à inserção de ICRS.</w:t>
      </w:r>
    </w:p>
    <w:p>
      <w:r>
        <w:rPr>
          <w:rFonts w:ascii="Calibri" w:hAnsi="Calibri"/>
          <w:b/>
          <w:i w:val="0"/>
          <w:color w:val="222222"/>
          <w:sz w:val="22"/>
        </w:rPr>
        <w:t>FEBio</w:t>
      </w:r>
    </w:p>
    <w:p>
      <w:r>
        <w:rPr>
          <w:rFonts w:ascii="Calibri" w:hAnsi="Calibri"/>
          <w:b w:val="0"/>
          <w:i w:val="0"/>
          <w:color w:val="222222"/>
          <w:sz w:val="22"/>
        </w:rPr>
        <w:t>Software de elementos finitos de código aberto (University of Utah) especializado em biomecânica. Versão utilizada: FEBio 4.12. Suporta nativamente o modelo constitutivo HGO.</w:t>
      </w:r>
    </w:p>
    <w:p>
      <w:r>
        <w:rPr>
          <w:rFonts w:ascii="Calibri" w:hAnsi="Calibri"/>
          <w:b/>
          <w:i w:val="0"/>
          <w:color w:val="222222"/>
          <w:sz w:val="22"/>
        </w:rPr>
        <w:t>HGO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Modelo de Holzapfel–Gasser–Ogden</w:t>
      </w:r>
    </w:p>
    <w:p>
      <w:r>
        <w:rPr>
          <w:rFonts w:ascii="Calibri" w:hAnsi="Calibri"/>
          <w:b w:val="0"/>
          <w:i w:val="0"/>
          <w:color w:val="222222"/>
          <w:sz w:val="22"/>
        </w:rPr>
        <w:t>Modelo constitutivo hiperelástico para materiais reforçados por fibras. Decompõe a energia de deformação em contribuição da matriz isotrópica ($c$) e das fibras anisotrópicas ($k</w:t>
      </w:r>
      <w:r>
        <w:rPr>
          <w:rFonts w:ascii="Calibri" w:hAnsi="Calibri"/>
          <w:b w:val="0"/>
          <w:i/>
          <w:color w:val="222222"/>
          <w:sz w:val="22"/>
        </w:rPr>
        <w:t>1$, $k</w:t>
      </w:r>
      <w:r>
        <w:rPr>
          <w:rFonts w:ascii="Calibri" w:hAnsi="Calibri"/>
          <w:b w:val="0"/>
          <w:i w:val="0"/>
          <w:color w:val="222222"/>
          <w:sz w:val="22"/>
        </w:rPr>
        <w:t>2$, $\kappa$). Referência: Holzapfel, Gasser &amp; Ogden (</w:t>
      </w:r>
      <w:r>
        <w:rPr>
          <w:rFonts w:ascii="Calibri" w:hAnsi="Calibri"/>
          <w:b w:val="0"/>
          <w:i/>
          <w:color w:val="222222"/>
          <w:sz w:val="22"/>
        </w:rPr>
        <w:t>J Elasticity</w:t>
      </w:r>
      <w:r>
        <w:rPr>
          <w:rFonts w:ascii="Calibri" w:hAnsi="Calibri"/>
          <w:b w:val="0"/>
          <w:i w:val="0"/>
          <w:color w:val="222222"/>
          <w:sz w:val="22"/>
        </w:rPr>
        <w:t>, 2000).</w:t>
      </w:r>
    </w:p>
    <w:p>
      <w:r>
        <w:rPr>
          <w:rFonts w:ascii="Calibri" w:hAnsi="Calibri"/>
          <w:b/>
          <w:i w:val="0"/>
          <w:color w:val="222222"/>
          <w:sz w:val="22"/>
        </w:rPr>
        <w:t>Hoop stress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Tensão tangencial</w:t>
      </w:r>
    </w:p>
    <w:p>
      <w:r>
        <w:rPr>
          <w:rFonts w:ascii="Calibri" w:hAnsi="Calibri"/>
          <w:b w:val="0"/>
          <w:i w:val="0"/>
          <w:color w:val="222222"/>
          <w:sz w:val="22"/>
        </w:rPr>
        <w:t>Tensão circunferencial numa casca pressurizada (como a córnea sob PIO). Governa a tendência da córnea a expandir-se radialmente. O ICRS interrompe esta tensão criando uma barreira mecânica (ver Cintagem).</w:t>
      </w:r>
    </w:p>
    <w:p>
      <w:r>
        <w:rPr>
          <w:rFonts w:ascii="Calibri" w:hAnsi="Calibri"/>
          <w:b/>
          <w:i w:val="0"/>
          <w:color w:val="222222"/>
          <w:sz w:val="22"/>
        </w:rPr>
        <w:t>ICRS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Segmento de Anel Intraestromal (</w:t>
      </w:r>
      <w:r>
        <w:rPr>
          <w:rFonts w:ascii="Calibri" w:hAnsi="Calibri"/>
          <w:b w:val="0"/>
          <w:i/>
          <w:color w:val="222222"/>
          <w:sz w:val="22"/>
        </w:rPr>
        <w:t>Intrastromal Corneal Ring Segment</w:t>
      </w:r>
      <w:r>
        <w:rPr>
          <w:rFonts w:ascii="Calibri" w:hAnsi="Calibri"/>
          <w:b w:val="0"/>
          <w:i w:val="0"/>
          <w:color w:val="222222"/>
          <w:sz w:val="22"/>
        </w:rPr>
        <w:t>)</w:t>
      </w:r>
    </w:p>
    <w:p>
      <w:r>
        <w:rPr>
          <w:rFonts w:ascii="Calibri" w:hAnsi="Calibri"/>
          <w:b w:val="0"/>
          <w:i w:val="0"/>
          <w:color w:val="222222"/>
          <w:sz w:val="22"/>
        </w:rPr>
        <w:t>Implante de PMMA inserido no estroma corneano para modificar a curvatura, astigmatismo e aberrações. Tipos comerciais: Intacs, Ferrara Ring, Keraring.</w:t>
      </w:r>
    </w:p>
    <w:p>
      <w:r>
        <w:rPr>
          <w:rFonts w:ascii="Calibri" w:hAnsi="Calibri"/>
          <w:b/>
          <w:i w:val="0"/>
          <w:color w:val="222222"/>
          <w:sz w:val="22"/>
        </w:rPr>
        <w:t>Incompressibilidade</w:t>
      </w:r>
    </w:p>
    <w:p>
      <w:r>
        <w:rPr>
          <w:rFonts w:ascii="Calibri" w:hAnsi="Calibri"/>
          <w:b w:val="0"/>
          <w:i w:val="0"/>
          <w:color w:val="222222"/>
          <w:sz w:val="22"/>
        </w:rPr>
        <w:t>Propriedade de um material que resiste à mudança de volume. O estroma corneano (78% água) é quase incompressível: quando o ICRS ocupa volume, o tecido adjacente deve deslocar-se, não comprimir-se.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Parâmetros Constitutivos HGO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Símbolo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 Canónico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Significado Clínico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Rigidez da matriz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$c$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0,05 MPa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Degradação proteoglicânica → ceratocone. </w:t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Parâmetro dominante.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Rigidez fibrilar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$k_1$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0,22 MPa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Enfraquecimento do colágeno; CXL aumenta $k_1$.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Endurecimento exponencial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$k_2$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Resposta não-linear das fibras a grandes deformações.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Dispersão de fibras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$\kappa$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0,09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Desorganização lamelar; $\kappa → 1/3$ = isotropia total.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Módulo volumétrico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$k$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4,76 MPa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Impõe quase-incompressibilidade.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Vetores AVBC</w:t>
      </w:r>
    </w:p>
    <w:p>
      <w:r>
        <w:rPr>
          <w:rFonts w:ascii="Calibri" w:hAnsi="Calibri"/>
          <w:b/>
          <w:i w:val="0"/>
          <w:color w:val="222222"/>
          <w:sz w:val="22"/>
        </w:rPr>
        <w:t>VR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Vetor de Deslocamento Radial</w:t>
      </w:r>
    </w:p>
    <w:p>
      <w:r>
        <w:rPr>
          <w:rFonts w:ascii="Calibri" w:hAnsi="Calibri"/>
          <w:b w:val="0"/>
          <w:i w:val="0"/>
          <w:color w:val="222222"/>
          <w:sz w:val="22"/>
        </w:rPr>
        <w:t>Quantifica o efeito de aplanamento. Controlado pela espessura do anel (volume injetado). Insensível ao comprimento do arco em arcos parciais. Faixa FEM: 19,2–19,9 μm (arcos parciais), 125,9 μm (anel completo 360°).</w:t>
      </w:r>
    </w:p>
    <w:p>
      <w:r>
        <w:rPr>
          <w:rFonts w:ascii="Calibri" w:hAnsi="Calibri"/>
          <w:b/>
          <w:i w:val="0"/>
          <w:color w:val="222222"/>
          <w:sz w:val="22"/>
        </w:rPr>
        <w:t>VT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Vetor de Tensão Tangencial</w:t>
      </w:r>
    </w:p>
    <w:p>
      <w:r>
        <w:rPr>
          <w:rFonts w:ascii="Calibri" w:hAnsi="Calibri"/>
          <w:b w:val="0"/>
          <w:i w:val="0"/>
          <w:color w:val="222222"/>
          <w:sz w:val="22"/>
        </w:rPr>
        <w:t>Quantifica a redistribuição de astigmatismo por cintagem circunferencial. Controlado pelo comprimento do arco. Equação empírica: $V_T = -0{,}0018 \times \text{arco}° + 7{,}79$ ($R^2 = 0{,}94$). Faixa FEM: 7,20–7,78 kPa.</w:t>
      </w:r>
    </w:p>
    <w:p>
      <w:r>
        <w:rPr>
          <w:rFonts w:ascii="Calibri" w:hAnsi="Calibri"/>
          <w:b/>
          <w:i w:val="0"/>
          <w:color w:val="222222"/>
          <w:sz w:val="22"/>
        </w:rPr>
        <w:t>Vτ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Vetor de Torque Assimétrico</w:t>
      </w:r>
    </w:p>
    <w:p>
      <w:r>
        <w:rPr>
          <w:rFonts w:ascii="Calibri" w:hAnsi="Calibri"/>
          <w:b w:val="0"/>
          <w:i w:val="0"/>
          <w:color w:val="222222"/>
          <w:sz w:val="22"/>
        </w:rPr>
        <w:t>Quantifica o reposicionamento do ápice. Controlado pelo diferencial de espessura em anéis progressivos. Zero numérico para anéis simétricos. Faixa FEM: 9,31 μN·m (progressivo linear) a 18,34 μN·m (progressivo parabólico).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Classificação Trimodal (Módulos O/T/B)</w:t>
      </w:r>
    </w:p>
    <w:p>
      <w:r>
        <w:rPr>
          <w:rFonts w:ascii="Calibri" w:hAnsi="Calibri"/>
          <w:b/>
          <w:i w:val="0"/>
          <w:color w:val="222222"/>
          <w:sz w:val="22"/>
        </w:rPr>
        <w:t>Módulo O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Avaliação de Coerência Óptica</w:t>
      </w:r>
    </w:p>
    <w:p>
      <w:r>
        <w:rPr>
          <w:rFonts w:ascii="Calibri" w:hAnsi="Calibri"/>
          <w:b w:val="0"/>
          <w:i w:val="0"/>
          <w:color w:val="222222"/>
          <w:sz w:val="22"/>
        </w:rPr>
        <w:t>Classifica o potencial de recuperação visual: O+ (CDVA ≥ 20/60, coma &lt; 2,5 μm) ou O− (CDVA &lt; 20/60 ou coma &gt; 3,5 μm).</w:t>
      </w:r>
    </w:p>
    <w:p>
      <w:r>
        <w:rPr>
          <w:rFonts w:ascii="Calibri" w:hAnsi="Calibri"/>
          <w:b/>
          <w:i w:val="0"/>
          <w:color w:val="222222"/>
          <w:sz w:val="22"/>
        </w:rPr>
        <w:t>Módulo T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Morfologia Topográfica</w:t>
      </w:r>
    </w:p>
    <w:p>
      <w:r>
        <w:rPr>
          <w:rFonts w:ascii="Calibri" w:hAnsi="Calibri"/>
          <w:b w:val="0"/>
          <w:i w:val="0"/>
          <w:color w:val="222222"/>
          <w:sz w:val="22"/>
        </w:rPr>
        <w:t>Classifica a configuração espacial do cone: Central, Crescente (paracentral), Periférico (descentrado) ou Global (difuso).</w:t>
      </w:r>
    </w:p>
    <w:p>
      <w:r>
        <w:rPr>
          <w:rFonts w:ascii="Calibri" w:hAnsi="Calibri"/>
          <w:b/>
          <w:i w:val="0"/>
          <w:color w:val="222222"/>
          <w:sz w:val="22"/>
        </w:rPr>
        <w:t>Módulo B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Seleção Biomecânica</w:t>
      </w:r>
    </w:p>
    <w:p>
      <w:r>
        <w:rPr>
          <w:rFonts w:ascii="Calibri" w:hAnsi="Calibri"/>
          <w:b w:val="0"/>
          <w:i w:val="0"/>
          <w:color w:val="222222"/>
          <w:sz w:val="22"/>
        </w:rPr>
        <w:t>Traduz a classificação O+T em prescrição de anel usando os três vetores. Determina o vetor dominante e os parâmetros correspondentes.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Índices de Correção AVBC</w:t>
      </w:r>
    </w:p>
    <w:p>
      <w:r>
        <w:rPr>
          <w:rFonts w:ascii="Calibri" w:hAnsi="Calibri"/>
          <w:b/>
          <w:i w:val="0"/>
          <w:color w:val="222222"/>
          <w:sz w:val="22"/>
        </w:rPr>
        <w:t>CI_R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Índice de Correção Radial</w:t>
      </w:r>
    </w:p>
    <w:p>
      <w:r>
        <w:rPr>
          <w:rFonts w:ascii="Calibri" w:hAnsi="Calibri"/>
          <w:b w:val="0"/>
          <w:i w:val="0"/>
          <w:color w:val="222222"/>
          <w:sz w:val="22"/>
        </w:rPr>
        <w:t>$CI</w:t>
      </w:r>
      <w:r>
        <w:rPr>
          <w:rFonts w:ascii="Calibri" w:hAnsi="Calibri"/>
          <w:b w:val="0"/>
          <w:i/>
          <w:color w:val="222222"/>
          <w:sz w:val="22"/>
        </w:rPr>
        <w:t>R = \Delta K</w:t>
      </w:r>
      <w:r>
        <w:rPr>
          <w:rFonts w:ascii="Calibri" w:hAnsi="Calibri"/>
          <w:b w:val="0"/>
          <w:i w:val="0"/>
          <w:color w:val="222222"/>
          <w:sz w:val="22"/>
        </w:rPr>
        <w:t>{observado} / \Delta K_{previsto}$. Meta: 1,0 ± 0,15. Análogo ao CI de Alpins para aplanamento.</w:t>
      </w:r>
    </w:p>
    <w:p>
      <w:r>
        <w:rPr>
          <w:rFonts w:ascii="Calibri" w:hAnsi="Calibri"/>
          <w:b/>
          <w:i w:val="0"/>
          <w:color w:val="222222"/>
          <w:sz w:val="22"/>
        </w:rPr>
        <w:t>CI_T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Índice de Correção Tangencial</w:t>
      </w:r>
    </w:p>
    <w:p>
      <w:r>
        <w:rPr>
          <w:rFonts w:ascii="Calibri" w:hAnsi="Calibri"/>
          <w:b w:val="0"/>
          <w:i w:val="0"/>
          <w:color w:val="222222"/>
          <w:sz w:val="22"/>
        </w:rPr>
        <w:t>$CI</w:t>
      </w:r>
      <w:r>
        <w:rPr>
          <w:rFonts w:ascii="Calibri" w:hAnsi="Calibri"/>
          <w:b w:val="0"/>
          <w:i/>
          <w:color w:val="222222"/>
          <w:sz w:val="22"/>
        </w:rPr>
        <w:t>T = \Delta Cyl</w:t>
      </w:r>
      <w:r>
        <w:rPr>
          <w:rFonts w:ascii="Calibri" w:hAnsi="Calibri"/>
          <w:b w:val="0"/>
          <w:i w:val="0"/>
          <w:color w:val="222222"/>
          <w:sz w:val="22"/>
        </w:rPr>
        <w:t>{observado} / \Delta Cyl_{previsto}$. Meta: 1,0 ± 0,15. Análogo ao CI de Alpins para astigmatismo.</w:t>
      </w:r>
    </w:p>
    <w:p>
      <w:r>
        <w:rPr>
          <w:rFonts w:ascii="Calibri" w:hAnsi="Calibri"/>
          <w:b/>
          <w:i w:val="0"/>
          <w:color w:val="222222"/>
          <w:sz w:val="22"/>
        </w:rPr>
        <w:t>ICE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Índice de Coerência Estrutural</w:t>
      </w:r>
    </w:p>
    <w:p>
      <w:r>
        <w:rPr>
          <w:rFonts w:ascii="Calibri" w:hAnsi="Calibri"/>
          <w:b w:val="0"/>
          <w:i w:val="0"/>
          <w:color w:val="222222"/>
          <w:sz w:val="22"/>
        </w:rPr>
        <w:t>$ICE</w:t>
      </w:r>
      <w:r>
        <w:rPr>
          <w:rFonts w:ascii="Calibri" w:hAnsi="Calibri"/>
          <w:b w:val="0"/>
          <w:i/>
          <w:color w:val="222222"/>
          <w:sz w:val="22"/>
        </w:rPr>
        <w:t>{min}$ = ângulo mínimo entre o eixo de maior curvatura e o ENM. Limiar de triagem: $ICE</w:t>
      </w:r>
      <w:r>
        <w:rPr>
          <w:rFonts w:ascii="Calibri" w:hAnsi="Calibri"/>
          <w:b w:val="0"/>
          <w:i w:val="0"/>
          <w:color w:val="222222"/>
          <w:sz w:val="22"/>
        </w:rPr>
        <w:t>{min} &lt; 28°$ prediz ≥ 3 linhas de ganho (AUC 0,82).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Acrónimos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Acrónimo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Significado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AVBC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Análise Vetorial Biomecânica Corneana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AE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Ângulo de Erro (Alpins)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CDVA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Acuidade Visual Corrigida a Distância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CI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Índice de Correção (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Correction Index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)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CXL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Crosslinking do Colágeno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DV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Vetor de Diferença (Alpins)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ENM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Eixo Neutro Mecânico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FEM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Método dos Elementos Finitos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HGO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Holzapfel–Gasser–Ogden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HOA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Aberrações de Alta Ordem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ICRS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Segmento de Anel Intraestromal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MAE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Erro Absoluto Médio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ORA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Ocular Response Analyzer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PIO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Pressão Intraocular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PMMA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Polimetilmetacrilato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SIA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Astigmatismo Induzido Cirurgicamente (Alpins)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TIA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Astigmatismo Induzido Alvo (Alpins)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UDVA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Acuidade Visual Não Corrigida a Distância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Vetor de Deslocamento Radial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Vetor de Tensão Tangencial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Vτ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Vetor de Torque Assimétrico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WAXS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Espalhamento de Raios X de Grande Ângulo</w:t>
            </w:r>
          </w:p>
        </w:tc>
      </w:tr>
    </w:tbl>
    <w:p>
      <w:pPr>
        <w:spacing w:before="120"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