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rPr>
          <w:rFonts w:ascii="Calibri" w:hAnsi="Calibri"/>
          <w:b w:val="0"/>
          <w:i w:val="0"/>
          <w:color w:val="1B365D"/>
          <w:sz w:val="36"/>
        </w:rPr>
        <w:t>Capítulo 1 — A Córnea Ceratocônica como uma Estrutura Mecânica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/>
          <w:i w:val="0"/>
          <w:color w:val="334E68"/>
          <w:sz w:val="21"/>
        </w:rPr>
        <w:t>Análise Vetorial Biomecânica Corneana para Planejamento de Segmento de Anel Intraestromal</w:t>
      </w:r>
      <w:r>
        <w:rPr>
          <w:rFonts w:ascii="Calibri" w:hAnsi="Calibri"/>
          <w:b w:val="0"/>
          <w:i w:val="0"/>
          <w:color w:val="334E68"/>
          <w:sz w:val="21"/>
        </w:rPr>
        <w:t xml:space="preserve"> </w:t>
      </w:r>
      <w:r>
        <w:rPr>
          <w:rFonts w:ascii="Calibri" w:hAnsi="Calibri"/>
          <w:b w:val="0"/>
          <w:i/>
          <w:color w:val="334E68"/>
          <w:sz w:val="21"/>
        </w:rPr>
        <w:t>Parte I — O Problema e os Fundamentos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/>
          <w:i w:val="0"/>
          <w:color w:val="334E68"/>
          <w:sz w:val="21"/>
        </w:rPr>
        <w:t>Ponto-Chave:</w:t>
      </w:r>
      <w:r>
        <w:rPr>
          <w:rFonts w:ascii="Calibri" w:hAnsi="Calibri"/>
          <w:b w:val="0"/>
          <w:i w:val="0"/>
          <w:color w:val="334E68"/>
          <w:sz w:val="21"/>
        </w:rPr>
        <w:t xml:space="preserve"> O ceratocone não é apenas uma córnea curva — é uma doença do material estromal. Dois olhos com o mesmo K-steep podem ter estados biomecânicos completamente diferentes. Um nomograma que ignora isso está a tratar o sintoma, não a doença.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1.1 Introdução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O ceratocone é a ectasia corneana mais comum, com estimativas de prevalência variando de 1 em 375 em estudos baseados na população a até 1 em 84 quando critérios modernos de triagem videoceratográfica são aplicados (Godefrooij et al., 2017; Torres Netto et al., 2018). Tradicionalmente, a condição tem sido definida por suas características topográficas marcantes — leituras ceratométricas elevadas, encurvamento corneano inferior, astigmatismo irregular e afinamento progressivo — características que a colocam diretamente no domínio da geometria óptica. De fato, o fluxo de trabalho clínico padrão para o diagnóstico do ceratocone centra-se em mapas de curvatura sagital, índices ceratométricos e perfis paquimétricos: medições que descrevem a </w:t>
      </w:r>
      <w:r>
        <w:rPr>
          <w:rFonts w:ascii="Calibri" w:hAnsi="Calibri"/>
          <w:b w:val="0"/>
          <w:i/>
          <w:color w:val="222222"/>
          <w:sz w:val="22"/>
        </w:rPr>
        <w:t>forma</w:t>
      </w:r>
      <w:r>
        <w:rPr>
          <w:rFonts w:ascii="Calibri" w:hAnsi="Calibri"/>
          <w:b w:val="0"/>
          <w:i w:val="0"/>
          <w:color w:val="222222"/>
          <w:sz w:val="22"/>
        </w:rPr>
        <w:t xml:space="preserve"> da córnea, mas dizem pouco sobre seu </w:t>
      </w:r>
      <w:r>
        <w:rPr>
          <w:rFonts w:ascii="Calibri" w:hAnsi="Calibri"/>
          <w:b w:val="0"/>
          <w:i/>
          <w:color w:val="222222"/>
          <w:sz w:val="22"/>
        </w:rPr>
        <w:t>estado mecânico</w:t>
      </w:r>
      <w:r>
        <w:rPr>
          <w:rFonts w:ascii="Calibri" w:hAnsi="Calibri"/>
          <w:b w:val="0"/>
          <w:i w:val="0"/>
          <w:color w:val="222222"/>
          <w:sz w:val="22"/>
        </w:rPr>
        <w:t>.</w:t>
      </w:r>
    </w:p>
    <w:p>
      <w:r>
        <w:rPr>
          <w:rFonts w:ascii="Calibri" w:hAnsi="Calibri"/>
          <w:b w:val="0"/>
          <w:i w:val="0"/>
          <w:color w:val="222222"/>
          <w:sz w:val="22"/>
        </w:rPr>
        <w:t>Esta perspectiva geométrica tem consequências práticas para o planejamento do tratamento. Quando um cirurgião seleciona um segmento de anel intraestromal (ICRS) para um olho com ceratocone, a decisão é tipicamente guiada por nomogramas que mapeiam um ou dois parâmetros geométricos — ceratometria, valor Q, refração manifesta — para uma configuração de anel. A suposição implícita é que a forma da córnea é uma representação (proxy) suficiente para a mecânica corneana. Como demonstraremos ao longo deste livro, essa suposição é fundamentalmente falha.</w:t>
      </w:r>
    </w:p>
    <w:p>
      <w:r>
        <w:rPr>
          <w:rFonts w:ascii="Calibri" w:hAnsi="Calibri"/>
          <w:b w:val="0"/>
          <w:i w:val="0"/>
          <w:color w:val="222222"/>
          <w:sz w:val="22"/>
        </w:rPr>
        <w:t>Nas últimas duas décadas, uma mudança de paradigma estrutural e bibliográfica vem ganhando força na oftalmologia. O trabalho seminal de Dupps e Roberts (2001, e consolidado em 2014 em seu artigo "</w:t>
      </w:r>
      <w:r>
        <w:rPr>
          <w:rFonts w:ascii="Calibri" w:hAnsi="Calibri"/>
          <w:b w:val="0"/>
          <w:i/>
          <w:color w:val="222222"/>
          <w:sz w:val="22"/>
        </w:rPr>
        <w:t>Biomechanics of corneal ectasia and biomechanical treatments</w:t>
      </w:r>
      <w:r>
        <w:rPr>
          <w:rFonts w:ascii="Calibri" w:hAnsi="Calibri"/>
          <w:b w:val="0"/>
          <w:i w:val="0"/>
          <w:color w:val="222222"/>
          <w:sz w:val="22"/>
        </w:rPr>
        <w:t xml:space="preserve">"), juntamente com as investigações estruturais de Meek e Knupp (2015), estabeleceu inequivocamente que o ceratocone é, em sua essência, uma </w:t>
      </w:r>
      <w:r>
        <w:rPr>
          <w:rFonts w:ascii="Calibri" w:hAnsi="Calibri"/>
          <w:b/>
          <w:i w:val="0"/>
          <w:color w:val="222222"/>
          <w:sz w:val="22"/>
        </w:rPr>
        <w:t>doença primariamente biomecânica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um distúrbio da distribuição de tensão (</w:t>
      </w:r>
      <w:r>
        <w:rPr>
          <w:rFonts w:ascii="Calibri" w:hAnsi="Calibri"/>
          <w:b w:val="0"/>
          <w:i/>
          <w:color w:val="222222"/>
          <w:sz w:val="22"/>
        </w:rPr>
        <w:t>stress</w:t>
      </w:r>
      <w:r>
        <w:rPr>
          <w:rFonts w:ascii="Calibri" w:hAnsi="Calibri"/>
          <w:b w:val="0"/>
          <w:i w:val="0"/>
          <w:color w:val="222222"/>
          <w:sz w:val="22"/>
        </w:rPr>
        <w:t>) estromal, com degradação focal das propriedades elásticas do material.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As manifestações geométricas clássicas (K elevado, afinamento paquimétrico, protrusão apical) não são a patologia em si, mas sim as </w:t>
      </w:r>
      <w:r>
        <w:rPr>
          <w:rFonts w:ascii="Calibri" w:hAnsi="Calibri"/>
          <w:b w:val="0"/>
          <w:i/>
          <w:color w:val="222222"/>
          <w:sz w:val="22"/>
        </w:rPr>
        <w:t>consequências mecânicas secundárias (sintomas)</w:t>
      </w:r>
      <w:r>
        <w:rPr>
          <w:rFonts w:ascii="Calibri" w:hAnsi="Calibri"/>
          <w:b w:val="0"/>
          <w:i w:val="0"/>
          <w:color w:val="222222"/>
          <w:sz w:val="22"/>
        </w:rPr>
        <w:t xml:space="preserve"> de uma estrutura enfraquecida cedendo perante a pressão intraocular normal. Duas córneas com valores idênticos de K-steep podem abrigar estados de tensão, rigidez de material e propensões para progressão extremamente diferentes. Tratá-las de forma idêntica e puramente geométrica, como faz um nomograma clássico, é confundir o sintoma (a forma) com a doença (a fraqueza mecânica).</w:t>
      </w:r>
    </w:p>
    <w:p>
      <w:r>
        <w:rPr>
          <w:rFonts w:ascii="Calibri" w:hAnsi="Calibri"/>
          <w:b w:val="0"/>
          <w:i w:val="0"/>
          <w:color w:val="222222"/>
          <w:sz w:val="22"/>
        </w:rPr>
        <w:t>Este capítulo de abertura estabelece a fundação biomecânica sobre a qual repousa todo o framework da AVBC. Começamos com a arquitetura fibrilar do estroma corneano — a estrutura de suporte de carga que determina o comportamento mecânico — e progredimos através da modelagem constitutiva, do ciclo de descompensação que impulsiona a progressão do ceratocone e da evidência clínica para uma compreensão biomecânica, em vez de puramente geométrica, da doença. O leitor que compreender essa fundação entenderá por que o planejamento racional do ICRS requer uma linguagem biomecânica, não uma tabela de consulta geométrica.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1.2 Anatomia Fibrilar do Estroma Corneano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/>
          <w:i w:val="0"/>
          <w:color w:val="334E68"/>
          <w:sz w:val="21"/>
        </w:rPr>
        <w:t>Para o Clínico:</w:t>
      </w:r>
      <w:r>
        <w:rPr>
          <w:rFonts w:ascii="Calibri" w:hAnsi="Calibri"/>
          <w:b w:val="0"/>
          <w:i w:val="0"/>
          <w:color w:val="334E68"/>
          <w:sz w:val="21"/>
        </w:rPr>
        <w:t xml:space="preserve"> Esta secção explica </w:t>
      </w:r>
      <w:r>
        <w:rPr>
          <w:rFonts w:ascii="Calibri" w:hAnsi="Calibri"/>
          <w:b w:val="0"/>
          <w:i/>
          <w:color w:val="334E68"/>
          <w:sz w:val="21"/>
        </w:rPr>
        <w:t>por que</w:t>
      </w:r>
      <w:r>
        <w:rPr>
          <w:rFonts w:ascii="Calibri" w:hAnsi="Calibri"/>
          <w:b w:val="0"/>
          <w:i w:val="0"/>
          <w:color w:val="334E68"/>
          <w:sz w:val="21"/>
        </w:rPr>
        <w:t xml:space="preserve"> a córnea se comporta como se comporta sob pressão. O conceito central é simples: a córnea é um material compósito (como fibra de vidro), com fibras de colagénio (que dão rigidez) embebidas numa matriz macia (que dá flexibilidade). A orientação dessas fibras determina onde a córnea é forte e onde é vulnerável.</w:t>
      </w:r>
    </w:p>
    <w:p>
      <w:r>
        <w:rPr>
          <w:rFonts w:ascii="Calibri" w:hAnsi="Calibri"/>
          <w:b w:val="0"/>
          <w:i w:val="0"/>
          <w:color w:val="222222"/>
          <w:sz w:val="22"/>
        </w:rPr>
        <w:t>O estroma corneano constitui aproximadamente 90% da espessura corneana e é o principal determinante de seu comportamento mecânico. É composto por 200 a 500 lamelas de colágeno, cada uma com 1–2 μm de espessura e 10–250 μm de largura, dispostas em uma matriz altamente organizada que serve a um duplo propósito: transparência óptica e suporte de carga mecânica (Komai &amp; Ushiki, 1991; Meek &amp; Knupp, 2015).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Organização das Fibras de Colágeno</w:t>
      </w:r>
    </w:p>
    <w:p>
      <w:r>
        <w:rPr>
          <w:rFonts w:ascii="Calibri" w:hAnsi="Calibri"/>
          <w:b w:val="0"/>
          <w:i w:val="0"/>
          <w:color w:val="222222"/>
          <w:sz w:val="22"/>
        </w:rPr>
        <w:t>Os tipos predominantes de colágeno no estroma corneano são o Tipo I (aproximadamente 70% em peso seco) e o Tipo V (aproximadamente 15%), com contribuições menores dos Tipos III, VI e XII. O colágeno Tipo I fornece resistência à tração, enquanto o Tipo V regula o diâmetro e o espaçamento das fibrilas — um fator crítico para a transparência (Birk et al., 1990). As fibrilas são notavelmente uniformes em diâmetro (aproximadamente 31 nm em humanos), e seu espaçamento regular (aproximadamente 56 nm de centro a centro) produz interferência destrutiva da luz espalhada em todas as direções, exceto para a frente, resultando na notável transparência da córnea (Maurice, 1957; Meek, 2009).</w:t>
      </w:r>
    </w:p>
    <w:p>
      <w:r>
        <w:rPr>
          <w:rFonts w:ascii="Calibri" w:hAnsi="Calibri"/>
          <w:b w:val="0"/>
          <w:i w:val="0"/>
          <w:color w:val="222222"/>
          <w:sz w:val="22"/>
        </w:rPr>
        <w:t>Estudos de espalhamento de raios X de grande ângulo (WAXS), realizados de forma mais ampla por Meek, Boote e colaboradores na Cardiff University, revelaram que a orientação das fibras de colágeno não é aleatória, mas segue um padrão característico que varia por região (Meek &amp; Boote, 2004; Meek &amp; Knupp, 2015):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Córnea central:</w:t>
      </w:r>
      <w:r>
        <w:rPr>
          <w:rFonts w:ascii="Calibri" w:hAnsi="Calibri"/>
          <w:b w:val="0"/>
          <w:i w:val="0"/>
          <w:color w:val="222222"/>
          <w:sz w:val="22"/>
        </w:rPr>
        <w:t xml:space="preserve"> As fibras são preferencialmente orientadas ao longo dos meridianos nasal-temporal e superior-inferior, criando um arranjo aproximadamente ortogonal alinhado com as direções cardinais. Isso cria uma resposta mecânica anisotrópica — a córnea central é mais rígida ao longo dessas direções preferenciais.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Limbo e córnea periférica:</w:t>
      </w:r>
      <w:r>
        <w:rPr>
          <w:rFonts w:ascii="Calibri" w:hAnsi="Calibri"/>
          <w:b w:val="0"/>
          <w:i w:val="0"/>
          <w:color w:val="222222"/>
          <w:sz w:val="22"/>
        </w:rPr>
        <w:t xml:space="preserve"> As fibras adotam uma orientação predominantemente circunferencial (tangencial), formando um reforço anular análogo aos aros de um barril. Este anel limbal ancora a córnea à esclera e resiste à expansão radial sob a pressão intraocular (PIO).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Zona de transição (paracentral):</w:t>
      </w:r>
      <w:r>
        <w:rPr>
          <w:rFonts w:ascii="Calibri" w:hAnsi="Calibri"/>
          <w:b w:val="0"/>
          <w:i w:val="0"/>
          <w:color w:val="222222"/>
          <w:sz w:val="22"/>
        </w:rPr>
        <w:t xml:space="preserve"> Ocorre uma mudança gradual da orientação cardinal para a circunferencial, com aumento da dispersão das fibras.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Estroma Anterior versus Posterior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Existe uma distinção crítica entre o estroma anterior e o posterior. O terço anterior exibe extenso </w:t>
      </w:r>
      <w:r>
        <w:rPr>
          <w:rFonts w:ascii="Calibri" w:hAnsi="Calibri"/>
          <w:b w:val="0"/>
          <w:i/>
          <w:color w:val="222222"/>
          <w:sz w:val="22"/>
        </w:rPr>
        <w:t>entrelaçamento</w:t>
      </w:r>
      <w:r>
        <w:rPr>
          <w:rFonts w:ascii="Calibri" w:hAnsi="Calibri"/>
          <w:b w:val="0"/>
          <w:i w:val="0"/>
          <w:color w:val="222222"/>
          <w:sz w:val="22"/>
        </w:rPr>
        <w:t xml:space="preserve"> lamelar — as lamelas se ramificam, fundem-se e inserem-se na camada de Bowman em ângulos oblíquos, criando uma malha mecanicamente interconectada (Komai &amp; Ushiki, 1991; Winkler et al., 2011). Os dois terços posteriores, em contraste, apresentam lamelas mais paralelas e planas, com menor entrelaçamento. Essa diferença arquitetônica tem consequências mecânicas diretas: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O estroma anterior é aproximadamente </w:t>
      </w:r>
      <w:r>
        <w:rPr>
          <w:rFonts w:ascii="Calibri" w:hAnsi="Calibri"/>
          <w:b/>
          <w:i w:val="0"/>
          <w:color w:val="222222"/>
          <w:sz w:val="22"/>
        </w:rPr>
        <w:t>duas a três vezes mais rígido</w:t>
      </w:r>
      <w:r>
        <w:rPr>
          <w:rFonts w:ascii="Calibri" w:hAnsi="Calibri"/>
          <w:b w:val="0"/>
          <w:i w:val="0"/>
          <w:color w:val="222222"/>
          <w:sz w:val="22"/>
        </w:rPr>
        <w:t xml:space="preserve"> que o estroma posterior quando medido por nanoindentação (Thomasy et al., 2014) ou microscopia de Brillouin (Scarcelli et al., 2015).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O estroma posterior é mais suscetível à falha por cisalhamento e ao deslizamento lamelar.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No ceratocone, o estroma posterior falha primeiro</w:t>
      </w:r>
      <w:r>
        <w:rPr>
          <w:rFonts w:ascii="Calibri" w:hAnsi="Calibri"/>
          <w:b w:val="0"/>
          <w:i w:val="0"/>
          <w:color w:val="222222"/>
          <w:sz w:val="22"/>
        </w:rPr>
        <w:t xml:space="preserve"> (Dupps &amp; Roberts, 2014). As primeiras alterações histopatológicas — desorganização das fibras, quebras na continuidade lamelar — ocorrem nas camadas posteriores, consistente com a observação de que as anormalidades de elevação posterior estão entre os primeiros sinais tomográficos de ceratocone subclínico.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A Matriz de Proteoglicanos</w:t>
      </w:r>
    </w:p>
    <w:p>
      <w:r>
        <w:rPr>
          <w:rFonts w:ascii="Calibri" w:hAnsi="Calibri"/>
          <w:b w:val="0"/>
          <w:i w:val="0"/>
          <w:color w:val="222222"/>
          <w:sz w:val="22"/>
        </w:rPr>
        <w:t>Entre as fibrilas de colágeno encontra-se a matriz interfibrilar, composta principalmente por proteoglicanos — proteoglicanos de sulfato de queratana (lumicam, queratocam, mimecam) e proteoglicanos de sulfato de dermatana (decorim, biglicam). Essas moléculas regulam o espaçamento e a hidratação das fibrilas, contribuindo tanto para a transparência quanto para o acoplamento mecânico entre as lamelas (Quantock et al., 2015). No ceratocone, a expressão de proteoglicanos é alterada, e a relação entre a hidratação da matriz e o espaçamento das fibrilas torna-se perturbada — uma alteração que precede o afinamento observável (Meek et al., 2005).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Para fins de modelagem constitutiva, a principal conclusão é que o estroma corneano é um </w:t>
      </w:r>
      <w:r>
        <w:rPr>
          <w:rFonts w:ascii="Calibri" w:hAnsi="Calibri"/>
          <w:b/>
          <w:i w:val="0"/>
          <w:color w:val="222222"/>
          <w:sz w:val="22"/>
        </w:rPr>
        <w:t>compósito reforçado por fibras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uma matriz extracelular reforçada por fibras de colágeno com rigidez dependente da direção. Qualquer modelo mecânico realista deve capturar essa anisotropia.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1.3 A Córnea como uma Casca Hiperelástica Anisotrópica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Por que a Elasticidade Linear Falha</w:t>
      </w:r>
    </w:p>
    <w:p>
      <w:r>
        <w:rPr>
          <w:rFonts w:ascii="Calibri" w:hAnsi="Calibri"/>
          <w:b w:val="0"/>
          <w:i w:val="0"/>
          <w:color w:val="222222"/>
          <w:sz w:val="22"/>
        </w:rPr>
        <w:t>Os primeiros modelos biomecânicos da córnea tratavam-na como um material linearmente elástico e isotrópico — caracterizado por um único módulo de Young E e coeficiente de Poisson ν. Essa simplificação é inadequada por várias razões: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Não linearidade:</w:t>
      </w:r>
      <w:r>
        <w:rPr>
          <w:rFonts w:ascii="Calibri" w:hAnsi="Calibri"/>
          <w:b w:val="0"/>
          <w:i w:val="0"/>
          <w:color w:val="222222"/>
          <w:sz w:val="22"/>
        </w:rPr>
        <w:t xml:space="preserve"> O tecido corneano exibe um pronunciado aumento de rigidez sob deformação (strain-stiffening). Em baixas deformações (strain) (faixa fisiológica), o tecido é relativamente complacente; em deformações (strain) maiores, as fibras de colágeno tornam-se esticadas e a rigidez aumenta dramaticamente. Esta curva de tensão-deformação em forma de J não pode ser capturada por um E constante.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Anisotropia:</w:t>
      </w:r>
      <w:r>
        <w:rPr>
          <w:rFonts w:ascii="Calibri" w:hAnsi="Calibri"/>
          <w:b w:val="0"/>
          <w:i w:val="0"/>
          <w:color w:val="222222"/>
          <w:sz w:val="22"/>
        </w:rPr>
        <w:t xml:space="preserve"> Conforme descrito acima, a resposta mecânica depende da orientação das fibras. A rigidez medida ao longo das fibras de colágeno difere substancialmente da rigidez medida perpendicularmente a elas.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Quase-incompressibilidade:</w:t>
      </w:r>
      <w:r>
        <w:rPr>
          <w:rFonts w:ascii="Calibri" w:hAnsi="Calibri"/>
          <w:b w:val="0"/>
          <w:i w:val="0"/>
          <w:color w:val="222222"/>
          <w:sz w:val="22"/>
        </w:rPr>
        <w:t xml:space="preserve"> O tecido corneano hidratado tem um conteúdo de água de aproximadamente 78%, tornando-o quase incompressível (coeficiente de Poisson aproximando-se de 0,5).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Viscoelasticidade:</w:t>
      </w:r>
      <w:r>
        <w:rPr>
          <w:rFonts w:ascii="Calibri" w:hAnsi="Calibri"/>
          <w:b w:val="0"/>
          <w:i w:val="0"/>
          <w:color w:val="222222"/>
          <w:sz w:val="22"/>
        </w:rPr>
        <w:t xml:space="preserve"> A córnea exibe comportamento mecânico dependente do tempo — fluência (creep) sob carga sustentada e relaxamento de tensão (stress). No entanto, para análises quase-estáticas (como carregamento de PIO ou implantação de ICRS), os modelos hiperelásticos são geralmente suficientes.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O Modelo Holzapfel-Gasser-Ogden (HGO)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/>
          <w:i w:val="0"/>
          <w:color w:val="334E68"/>
          <w:sz w:val="21"/>
        </w:rPr>
        <w:t>Para o Clínico:</w:t>
      </w:r>
      <w:r>
        <w:rPr>
          <w:rFonts w:ascii="Calibri" w:hAnsi="Calibri"/>
          <w:b w:val="0"/>
          <w:i w:val="0"/>
          <w:color w:val="334E68"/>
          <w:sz w:val="21"/>
        </w:rPr>
        <w:t xml:space="preserve"> O modelo HGO é a equação matemática que usamos para simular a córnea no computador. Não precisa de memorizar a equação — o que importa são os </w:t>
      </w:r>
      <w:r>
        <w:rPr>
          <w:rFonts w:ascii="Calibri" w:hAnsi="Calibri"/>
          <w:b/>
          <w:i w:val="0"/>
          <w:color w:val="334E68"/>
          <w:sz w:val="21"/>
        </w:rPr>
        <w:t>5 parâmetros</w:t>
      </w:r>
      <w:r>
        <w:rPr>
          <w:rFonts w:ascii="Calibri" w:hAnsi="Calibri"/>
          <w:b w:val="0"/>
          <w:i w:val="0"/>
          <w:color w:val="334E68"/>
          <w:sz w:val="21"/>
        </w:rPr>
        <w:t xml:space="preserve"> da tabela abaixo. Cada um descreve um aspeto diferente do material corneano, e as nossas simulações usam estes valores em todo o livro.</w:t>
      </w:r>
    </w:p>
    <w:p>
      <w:r>
        <w:rPr>
          <w:rFonts w:ascii="Calibri" w:hAnsi="Calibri"/>
          <w:b w:val="0"/>
          <w:i w:val="0"/>
          <w:color w:val="222222"/>
          <w:sz w:val="22"/>
        </w:rPr>
        <w:t>Entre os modelos constitutivos disponíveis para tecidos moles biológicos, o modelo Holzapfel-Gasser-Ogden (HGO) emergiu como o padrão para a biomecânica corneana (Holzapfel et al., 2000; Pandolfi &amp; Manganiello, 2006; Nguyen et al., 2018). O modelo HGO foi originalmente desenvolvido para a mecânica da parede arterial, mas é bem adequado para qualquer tecido reforçado por fibras onde as fibras estão embutidas em uma substância fundamental mais macia.</w:t>
      </w:r>
    </w:p>
    <w:p>
      <w:r>
        <w:rPr>
          <w:rFonts w:ascii="Calibri" w:hAnsi="Calibri"/>
          <w:b w:val="0"/>
          <w:i w:val="0"/>
          <w:color w:val="222222"/>
          <w:sz w:val="22"/>
        </w:rPr>
        <w:t>A função de energia de deformação é: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7FA"/>
            <w:tcMar>
              <w:top w:w="120" w:type="dxa"/>
              <w:bottom w:w="120" w:type="dxa"/>
              <w:left w:w="180" w:type="dxa"/>
              <w:right w:w="180" w:type="dxa"/>
            </w:tcMar>
            <w:vAlign w:val="center"/>
            <w:tcBorders>
              <w:top w:val="none"/>
              <w:bottom w:val="none"/>
              <w:left w:val="single" w:sz="24" w:space="0" w:color="1B365D"/>
              <w:right w:val="none"/>
            </w:tcBorders>
          </w:tcPr>
          <w:p>
            <w:pPr>
              <w:spacing w:line="240" w:lineRule="auto" w:before="0" w:after="0"/>
              <w:jc w:val="left"/>
            </w:pPr>
            <w:r>
              <w:rPr>
                <w:rFonts w:ascii="Consolas" w:hAnsi="Consolas"/>
                <w:color w:val="24292E"/>
                <w:sz w:val="19"/>
              </w:rPr>
              <w:t>Ψ = c(Ī₁ - 3) + (k₁/2k₂) Σᵢ {exp[k₂⟨κ(Ī₁-3) + (1-3κ)(Ī₄ᵢ-1)⟩²] - 1}</w:t>
            </w:r>
          </w:p>
        </w:tc>
      </w:tr>
    </w:tbl>
    <w:p>
      <w:pPr>
        <w:spacing w:before="80" w:after="80"/>
      </w:pPr>
    </w:p>
    <w:p>
      <w:r>
        <w:rPr>
          <w:rFonts w:ascii="Calibri" w:hAnsi="Calibri"/>
          <w:b w:val="0"/>
          <w:i w:val="0"/>
          <w:color w:val="222222"/>
          <w:sz w:val="22"/>
        </w:rPr>
        <w:t>onde: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Parâmetro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Símbolo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Valor (FEBio)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Significado Físico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Módulo de cisalhamento da matriz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0.05 MPa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Rigidez da substância fundamental (matriz de proteoglicanos sem fibras)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Rigidez das fibras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k₁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0.22 MPa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Rigidez das fibras de colágeno em pequena deformação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Não linearidade das fibras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k₂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100 (adimensional)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Taxa de aumento de rigidez exponencial; valores maiores → curva em J mais acentuada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Dispersão das fibras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κ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0.09 (adimensional)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Grau de alinhamento das fibras: 0 = perfeitamente alinhadas; 1/3 = aleatório (isotrópico)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Módulo de bulk (bulk modulus)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k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4.76 MPa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Resistência à deformação volumétrica (quase-incompressibilidade)</w:t>
            </w:r>
          </w:p>
        </w:tc>
      </w:tr>
    </w:tbl>
    <w:p>
      <w:pPr>
        <w:spacing w:before="120" w:after="120"/>
      </w:pPr>
    </w:p>
    <w:p>
      <w:r>
        <w:rPr>
          <w:rFonts w:ascii="Calibri" w:hAnsi="Calibri"/>
          <w:b/>
          <w:i w:val="0"/>
          <w:color w:val="222222"/>
          <w:sz w:val="22"/>
        </w:rPr>
        <w:t>Tabela 1.1.</w:t>
      </w:r>
      <w:r>
        <w:rPr>
          <w:rFonts w:ascii="Calibri" w:hAnsi="Calibri"/>
          <w:b w:val="0"/>
          <w:i w:val="0"/>
          <w:color w:val="222222"/>
          <w:sz w:val="22"/>
        </w:rPr>
        <w:t xml:space="preserve"> Parâmetros de material HGO usados nas simulações do FEBio 4.12 ao longo deste livro. Valores de Nguyen et al. (2018).</w:t>
      </w:r>
    </w:p>
    <w:p>
      <w:r>
        <w:rPr>
          <w:rFonts w:ascii="Calibri" w:hAnsi="Calibri"/>
          <w:b/>
          <w:i w:val="0"/>
          <w:color w:val="222222"/>
          <w:sz w:val="22"/>
        </w:rPr>
        <w:t>Interpretação clínica de cada parâmetro: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c = 0.05 MPa</w:t>
      </w:r>
      <w:r>
        <w:rPr>
          <w:rFonts w:ascii="Calibri" w:hAnsi="Calibri"/>
          <w:b w:val="0"/>
          <w:i w:val="0"/>
          <w:color w:val="222222"/>
          <w:sz w:val="22"/>
        </w:rPr>
        <w:t xml:space="preserve"> representa a rigidez basal da córnea </w:t>
      </w:r>
      <w:r>
        <w:rPr>
          <w:rFonts w:ascii="Calibri" w:hAnsi="Calibri"/>
          <w:b w:val="0"/>
          <w:i/>
          <w:color w:val="222222"/>
          <w:sz w:val="22"/>
        </w:rPr>
        <w:t>sem</w:t>
      </w:r>
      <w:r>
        <w:rPr>
          <w:rFonts w:ascii="Calibri" w:hAnsi="Calibri"/>
          <w:b w:val="0"/>
          <w:i w:val="0"/>
          <w:color w:val="222222"/>
          <w:sz w:val="22"/>
        </w:rPr>
        <w:t xml:space="preserve"> a contribuição das fibras de colágeno — apenas a matriz de proteoglicanos. É relativamente macia, comparável a um gel firme. No ceratocone, a degradação da matriz reduz ainda mais c, tornando o tecido mais complacente.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k₁ = 0.22 MPa</w:t>
      </w:r>
      <w:r>
        <w:rPr>
          <w:rFonts w:ascii="Calibri" w:hAnsi="Calibri"/>
          <w:b w:val="0"/>
          <w:i w:val="0"/>
          <w:color w:val="222222"/>
          <w:sz w:val="22"/>
        </w:rPr>
        <w:t xml:space="preserve"> captura a rigidez contribuída pelas fibras de colágeno. Este é o parâmetro mais diretamente afetado pelo crosslinking de colágeno (CXL), que aumenta k₁ em uma estimativa de 50–200% (Wollensak et al., 2003).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k₂ = 100</w:t>
      </w:r>
      <w:r>
        <w:rPr>
          <w:rFonts w:ascii="Calibri" w:hAnsi="Calibri"/>
          <w:b w:val="0"/>
          <w:i w:val="0"/>
          <w:color w:val="222222"/>
          <w:sz w:val="22"/>
        </w:rPr>
        <w:t xml:space="preserve"> controla a rapidez com que o tecido se torna mais rígido à medida que a deformação (strain) aumenta. Um valor de 100 Simula uma curva em J fortemente não linear — a córnea é complacente em deformações (strain) fisiológicas, mas resiste a grandes deformações. Este é um mecanismo de proteção: o tecido acomoda pequenas flutuações na PIO, mas resiste à ruptura em altas pressões.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κ = 0.09</w:t>
      </w:r>
      <w:r>
        <w:rPr>
          <w:rFonts w:ascii="Calibri" w:hAnsi="Calibri"/>
          <w:b w:val="0"/>
          <w:i w:val="0"/>
          <w:color w:val="222222"/>
          <w:sz w:val="22"/>
        </w:rPr>
        <w:t xml:space="preserve"> indica que as fibras estão </w:t>
      </w:r>
      <w:r>
        <w:rPr>
          <w:rFonts w:ascii="Calibri" w:hAnsi="Calibri"/>
          <w:b w:val="0"/>
          <w:i/>
          <w:color w:val="222222"/>
          <w:sz w:val="22"/>
        </w:rPr>
        <w:t>majoritariamente</w:t>
      </w:r>
      <w:r>
        <w:rPr>
          <w:rFonts w:ascii="Calibri" w:hAnsi="Calibri"/>
          <w:b w:val="0"/>
          <w:i w:val="0"/>
          <w:color w:val="222222"/>
          <w:sz w:val="22"/>
        </w:rPr>
        <w:t xml:space="preserve"> alinhadas (κ = 0 significaria perfeitamente alinhadas; κ = 1/3 significaria perfeitamente aleatórias). Um valor de 0,09 é consistente com os dados de WAXS que mostram orientação tangencial preferencial, mas não exclusiva, na córnea central.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k = 4.76 MPa</w:t>
      </w:r>
      <w:r>
        <w:rPr>
          <w:rFonts w:ascii="Calibri" w:hAnsi="Calibri"/>
          <w:b w:val="0"/>
          <w:i w:val="0"/>
          <w:color w:val="222222"/>
          <w:sz w:val="22"/>
        </w:rPr>
        <w:t xml:space="preserve"> impõe quase-incompressibilidade, apropriada para um tecido biológico hidratado.</w:t>
      </w:r>
    </w:p>
    <w:p>
      <w:r>
        <w:rPr>
          <w:rFonts w:ascii="Calibri" w:hAnsi="Calibri"/>
          <w:b w:val="0"/>
          <w:i w:val="0"/>
          <w:color w:val="222222"/>
          <w:sz w:val="22"/>
        </w:rPr>
        <w:t>Os colchetes de Macaulay ⟨·⟩ na equação garantem que as fibras contribuam para a rigidez apenas quando esticadas, não quando comprimidas — uma condição fisicamente realista, uma vez que as fibras de colágeno dobram-se sob compressão e não contribuem para a carga.</w:t>
      </w:r>
    </w:p>
    <w:p>
      <w:r>
        <w:rPr>
          <w:rFonts w:ascii="Calibri" w:hAnsi="Calibri"/>
          <w:b w:val="0"/>
          <w:i w:val="0"/>
          <w:color w:val="222222"/>
          <w:sz w:val="22"/>
        </w:rPr>
        <w:t>O primeiro invariante Ī₁ captura a deformação isotrópica (matriz), enquanto os pseudo-invariantes Ī₄ᵢ capturam o estiramento específico na direção das fibras. Esta separação é a personificação matemática da natureza compósita do estroma: matriz mais fibras.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1.4 O Ciclo de Descompensação de Dupps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/>
          <w:i w:val="0"/>
          <w:color w:val="334E68"/>
          <w:sz w:val="21"/>
        </w:rPr>
        <w:t>Ponto-Chave:</w:t>
      </w:r>
      <w:r>
        <w:rPr>
          <w:rFonts w:ascii="Calibri" w:hAnsi="Calibri"/>
          <w:b w:val="0"/>
          <w:i w:val="0"/>
          <w:color w:val="334E68"/>
          <w:sz w:val="21"/>
        </w:rPr>
        <w:t xml:space="preserve"> O ciclo de Dupps é a razão pela qual o ceratocone progride. É um ciclo vicioso: fraqueza → deformação → mais tensão → mais fraqueza. É também a razão pela qual o CXL funciona (interrompe o ciclo ao reforçar as fibras) e por que o ICRS funciona (redistribui as tensões).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Talvez o avanço conceitual mais importante na compreensão do ceratocone tenha vindo de Dupps e Roberts, que formalizaram o </w:t>
      </w:r>
      <w:r>
        <w:rPr>
          <w:rFonts w:ascii="Calibri" w:hAnsi="Calibri"/>
          <w:b/>
          <w:i w:val="0"/>
          <w:color w:val="222222"/>
          <w:sz w:val="22"/>
        </w:rPr>
        <w:t>ciclo de descompensação biomecânica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um ciclo de feedback positivo que explica por que o ceratocone é progressivo e por que os descritores geométricos isolados são insuficientes (Dupps &amp; Roberts, 2001; Dupps &amp; Roberts, 2014).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O Ciclo</w:t>
      </w:r>
    </w:p>
    <w:p>
      <w:r>
        <w:rPr>
          <w:rFonts w:ascii="Calibri" w:hAnsi="Calibri"/>
          <w:b w:val="0"/>
          <w:i w:val="0"/>
          <w:color w:val="222222"/>
          <w:sz w:val="22"/>
        </w:rPr>
        <w:t>O ciclo ocorre da seguinte forma: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Enfraquecimento enzimático:</w:t>
      </w:r>
      <w:r>
        <w:rPr>
          <w:rFonts w:ascii="Calibri" w:hAnsi="Calibri"/>
          <w:b w:val="0"/>
          <w:i w:val="0"/>
          <w:color w:val="222222"/>
          <w:sz w:val="22"/>
        </w:rPr>
        <w:t xml:space="preserve"> A atividade elevada de metaloproteinases de matriz (MMP) — particularmente MMP-2 e MMP-9 — degrada o colágeno e os proteoglicanos em uma região focal do estroma (Seppälä et al., 2006). Isso pode ser iniciado por predisposição genética, fatores ambientais (coçar os olhos, atopia) ou uma combinação de ambos.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Aumento da complacência local:</w:t>
      </w:r>
      <w:r>
        <w:rPr>
          <w:rFonts w:ascii="Calibri" w:hAnsi="Calibri"/>
          <w:b w:val="0"/>
          <w:i w:val="0"/>
          <w:color w:val="222222"/>
          <w:sz w:val="22"/>
        </w:rPr>
        <w:t xml:space="preserve"> A região degradada torna-se mais complacente (menor c, menor k₁ em termos de HGO). Sob a mesma PIO, ela se deforma mais do que o tecido circundante.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Redistribuição de tensão (stress):</w:t>
      </w:r>
      <w:r>
        <w:rPr>
          <w:rFonts w:ascii="Calibri" w:hAnsi="Calibri"/>
          <w:b w:val="0"/>
          <w:i w:val="0"/>
          <w:color w:val="222222"/>
          <w:sz w:val="22"/>
        </w:rPr>
        <w:t xml:space="preserve"> De acordo com a relação de Laplace para uma casca pressurizada (σ = PR/2t, onde P é a pressão, R é o raio e t é a espessura), o aumento da curvatura na zona enfraquecida aumenta a tensão (stress) de membrana local. O afinamento (t reduzido) eleva ainda mais a tensão (stress).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Mais deformação:</w:t>
      </w:r>
      <w:r>
        <w:rPr>
          <w:rFonts w:ascii="Calibri" w:hAnsi="Calibri"/>
          <w:b w:val="0"/>
          <w:i w:val="0"/>
          <w:color w:val="222222"/>
          <w:sz w:val="22"/>
        </w:rPr>
        <w:t xml:space="preserve"> Uma maior tensão (stress) em um material mais fraco produz mais deformação — levando a mais encurvamento e afinamento.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Mais atividade enzimática:</w:t>
      </w:r>
      <w:r>
        <w:rPr>
          <w:rFonts w:ascii="Calibri" w:hAnsi="Calibri"/>
          <w:b w:val="0"/>
          <w:i w:val="0"/>
          <w:color w:val="222222"/>
          <w:sz w:val="22"/>
        </w:rPr>
        <w:t xml:space="preserve"> A deformação (strain) mecânica estimula a expressão de MMPs através de vias de mecanotransdução nos ceratócitos. A deformação (strain) elevada na zona encurvada estimula ainda mais a degradação enzimática.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Retorno ao passo 1:</w:t>
      </w:r>
      <w:r>
        <w:rPr>
          <w:rFonts w:ascii="Calibri" w:hAnsi="Calibri"/>
          <w:b w:val="0"/>
          <w:i w:val="0"/>
          <w:color w:val="222222"/>
          <w:sz w:val="22"/>
        </w:rPr>
        <w:t xml:space="preserve"> O ciclo se repete, criando ectasia progressiva.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Este é um clássico </w:t>
      </w:r>
      <w:r>
        <w:rPr>
          <w:rFonts w:ascii="Calibri" w:hAnsi="Calibri"/>
          <w:b/>
          <w:i w:val="0"/>
          <w:color w:val="222222"/>
          <w:sz w:val="22"/>
        </w:rPr>
        <w:t>ciclo de feedback positivo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um círculo vicioso que, uma vez iniciado, impulsiona a progressão da doença até que o estímulo enzimático se atenue (o que pode ocorrer naturalmente na quinta década de vida) ou que uma intervenção externa quebre o ciclo (como o CXL, que aumenta k₁ e interrompe o ciclo no passo 3).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O Papel da PIO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Uma percepção crítica do ciclo de descompensação é que a </w:t>
      </w:r>
      <w:r>
        <w:rPr>
          <w:rFonts w:ascii="Calibri" w:hAnsi="Calibri"/>
          <w:b/>
          <w:i w:val="0"/>
          <w:color w:val="222222"/>
          <w:sz w:val="22"/>
        </w:rPr>
        <w:t>PIO é o motor mecânico da progressão do ceratocone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não porque a PIO esteja elevada (ela é tipicamente normal), mas porque mesmo uma PIO normal (15 mmHg) gera tensão (stress) significativa em um estroma enfraquecido. Nossas simulações de elementos finitos confirmam isso quantitativamente: uma córnea basal sob uma carga de PIO de 15 mmHg mostra um deslocamento apical de </w:t>
      </w:r>
      <w:r>
        <w:rPr>
          <w:rFonts w:ascii="Calibri" w:hAnsi="Calibri"/>
          <w:b/>
          <w:i w:val="0"/>
          <w:color w:val="222222"/>
          <w:sz w:val="22"/>
        </w:rPr>
        <w:t>360,9 μm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uma deformação substancial mesmo em um estroma biomecanicamente normal. No ceratocone, onde o enfraquecimento regional reduz a rigidez local em 30–60% (Scarcelli et al., 2015), a mesma PIO produz deformações locais desproporcionalmente maiores.</w:t>
      </w:r>
    </w:p>
    <w:p>
      <w:r>
        <w:rPr>
          <w:rFonts w:ascii="Calibri" w:hAnsi="Calibri"/>
          <w:b w:val="0"/>
          <w:i w:val="0"/>
          <w:color w:val="222222"/>
          <w:sz w:val="22"/>
        </w:rPr>
        <w:t>É por isso que a redução da PIO (embora teoricamente atraente) não é um tratamento prático para o ceratocone — a PIO não é o problema; a fraqueza do material é. O alvo terapêutico deve ser as propriedades do material (CXL) ou a distribuição de tensão (stress) (ICRS).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1.5 Ceratocone: Da Geometria à Biomecânica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Os Descritores Geométricos e Suas Limitações</w:t>
      </w:r>
    </w:p>
    <w:p>
      <w:r>
        <w:rPr>
          <w:rFonts w:ascii="Calibri" w:hAnsi="Calibri"/>
          <w:b w:val="0"/>
          <w:i w:val="0"/>
          <w:color w:val="222222"/>
          <w:sz w:val="22"/>
        </w:rPr>
        <w:t>Os parâmetros clínicos padrão para o ceratocone — K-steep, K-flat, Kmax, astigmatismo corneano, valor Q, paquimetria mais fina — são descritores geométricos. Eles descrevem a forma e a espessura atuais da córnea, mas não fornecem informações sobre: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A </w:t>
      </w:r>
      <w:r>
        <w:rPr>
          <w:rFonts w:ascii="Calibri" w:hAnsi="Calibri"/>
          <w:b/>
          <w:i w:val="0"/>
          <w:color w:val="222222"/>
          <w:sz w:val="22"/>
        </w:rPr>
        <w:t>rigidez do material</w:t>
      </w:r>
      <w:r>
        <w:rPr>
          <w:rFonts w:ascii="Calibri" w:hAnsi="Calibri"/>
          <w:b w:val="0"/>
          <w:i w:val="0"/>
          <w:color w:val="222222"/>
          <w:sz w:val="22"/>
        </w:rPr>
        <w:t xml:space="preserve"> subjacente (que varia regionalmente e entre os pacientes)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A </w:t>
      </w:r>
      <w:r>
        <w:rPr>
          <w:rFonts w:ascii="Calibri" w:hAnsi="Calibri"/>
          <w:b/>
          <w:i w:val="0"/>
          <w:color w:val="222222"/>
          <w:sz w:val="22"/>
        </w:rPr>
        <w:t>distribuição de tensão (stress)</w:t>
      </w:r>
      <w:r>
        <w:rPr>
          <w:rFonts w:ascii="Calibri" w:hAnsi="Calibri"/>
          <w:b w:val="0"/>
          <w:i w:val="0"/>
          <w:color w:val="222222"/>
          <w:sz w:val="22"/>
        </w:rPr>
        <w:t xml:space="preserve"> (que depende simultaneamente da geometria, das propriedades do material e da PIO)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A </w:t>
      </w:r>
      <w:r>
        <w:rPr>
          <w:rFonts w:ascii="Calibri" w:hAnsi="Calibri"/>
          <w:b/>
          <w:i w:val="0"/>
          <w:color w:val="222222"/>
          <w:sz w:val="22"/>
        </w:rPr>
        <w:t>propensão para progressão</w:t>
      </w:r>
      <w:r>
        <w:rPr>
          <w:rFonts w:ascii="Calibri" w:hAnsi="Calibri"/>
          <w:b w:val="0"/>
          <w:i w:val="0"/>
          <w:color w:val="222222"/>
          <w:sz w:val="22"/>
        </w:rPr>
        <w:t xml:space="preserve"> (que depende da interação entre a tensão (stress) e a degradação do material)</w:t>
      </w:r>
    </w:p>
    <w:p>
      <w:r>
        <w:rPr>
          <w:rFonts w:ascii="Calibri" w:hAnsi="Calibri"/>
          <w:b w:val="0"/>
          <w:i w:val="0"/>
          <w:color w:val="222222"/>
          <w:sz w:val="22"/>
        </w:rPr>
        <w:t>Duas córneas com valores idênticos de K-steep de 48,0 D podem ter perfis biomecânicos fundamentalmente diferentes. Uma pode ter propriedades de material uniformes com uma ectasia relativamente recente e ainda em progressão; a outra pode ter rigidez regionalmente compensada (por exemplo, de CXL prévio ou acúmulo natural de ligações cruzadas) com uma ectasia estável. Um nomograma as trata de forma idêntica. A mecânica não.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Evidência por Microscopia de Brillouin</w:t>
      </w:r>
    </w:p>
    <w:p>
      <w:r>
        <w:rPr>
          <w:rFonts w:ascii="Calibri" w:hAnsi="Calibri"/>
          <w:b w:val="0"/>
          <w:i w:val="0"/>
          <w:color w:val="222222"/>
          <w:sz w:val="22"/>
        </w:rPr>
        <w:t>A evidência mais direta de variação regional de rigidez no ceratocone vem da microscopia de Brillouin, uma técnica que mede o módulo longitudinal local em tecidos vivos sem contato (Scarcelli et al., 2012). Estudos de Scarcelli, Yun e colaboradores demonstraram que: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O desvio de frequência de Brillouin (um proxy para a rigidez tecidual) é </w:t>
      </w:r>
      <w:r>
        <w:rPr>
          <w:rFonts w:ascii="Calibri" w:hAnsi="Calibri"/>
          <w:b/>
          <w:i w:val="0"/>
          <w:color w:val="222222"/>
          <w:sz w:val="22"/>
        </w:rPr>
        <w:t>reduzido em 0,1–0,3 GHz</w:t>
      </w:r>
      <w:r>
        <w:rPr>
          <w:rFonts w:ascii="Calibri" w:hAnsi="Calibri"/>
          <w:b w:val="0"/>
          <w:i w:val="0"/>
          <w:color w:val="222222"/>
          <w:sz w:val="22"/>
        </w:rPr>
        <w:t xml:space="preserve"> na região do cone em comparação com o tecido circundante (Scarcelli et al., 2015).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Esta redução está presente mesmo no </w:t>
      </w:r>
      <w:r>
        <w:rPr>
          <w:rFonts w:ascii="Calibri" w:hAnsi="Calibri"/>
          <w:b/>
          <w:i w:val="0"/>
          <w:color w:val="222222"/>
          <w:sz w:val="22"/>
        </w:rPr>
        <w:t>ceratocone subclínico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olhos com topografia normal, mas com elevação posterior suspeita —, sugerindo que a fraqueza do material precede a alteração geométrica.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A distribuição espacial da redução de Brillouin correlaciona-se com a zona de encurvamento, mas não é idêntica a ela, reforçando a distinção entre geometria e mecânica.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O Ocular Response Analyzer e o Corvis ST</w:t>
      </w:r>
    </w:p>
    <w:p>
      <w:r>
        <w:rPr>
          <w:rFonts w:ascii="Calibri" w:hAnsi="Calibri"/>
          <w:b w:val="0"/>
          <w:i w:val="0"/>
          <w:color w:val="222222"/>
          <w:sz w:val="22"/>
        </w:rPr>
        <w:t>Na prática clínica, o Ocular Response Analyzer (ORA, Reichert) e o Corvis ST (Oculus) fornecem medidas indiretas da biomecânica corneana por meio de tonometria de sopro de ar. Os principais parâmetros — Histerese Corneana (CH), Fator de Resistência Corneana (CRF) e o Índice Biomecânico do Corvis (CBI) — capturam aspectos da resposta viscoelástica à deformação (Luce, 2005; Roberts &amp; Dupps, 2014).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No ceratocone, o CH e o CRF estão consistentemente reduzidos, e essa redução muitas vezes </w:t>
      </w:r>
      <w:r>
        <w:rPr>
          <w:rFonts w:ascii="Calibri" w:hAnsi="Calibri"/>
          <w:b/>
          <w:i w:val="0"/>
          <w:color w:val="222222"/>
          <w:sz w:val="22"/>
        </w:rPr>
        <w:t>precede alterações topográficas detectáveis</w:t>
      </w:r>
      <w:r>
        <w:rPr>
          <w:rFonts w:ascii="Calibri" w:hAnsi="Calibri"/>
          <w:b w:val="0"/>
          <w:i w:val="0"/>
          <w:color w:val="222222"/>
          <w:sz w:val="22"/>
        </w:rPr>
        <w:t xml:space="preserve"> (Fontes et al., 2010). Essa sequência temporal — alteração biomecânica antes da alteração geométrica — é uma forte evidência de que a doença é fundamentalmente biomecânica e que os descritores geométricos são </w:t>
      </w:r>
      <w:r>
        <w:rPr>
          <w:rFonts w:ascii="Calibri" w:hAnsi="Calibri"/>
          <w:b w:val="0"/>
          <w:i/>
          <w:color w:val="222222"/>
          <w:sz w:val="22"/>
        </w:rPr>
        <w:t>indicadores tardios</w:t>
      </w:r>
      <w:r>
        <w:rPr>
          <w:rFonts w:ascii="Calibri" w:hAnsi="Calibri"/>
          <w:b w:val="0"/>
          <w:i w:val="0"/>
          <w:color w:val="222222"/>
          <w:sz w:val="22"/>
        </w:rPr>
        <w:t xml:space="preserve"> de um processo mecânico contínuo.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O Argumento para a Avaliação Biomecânica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Se os descritores geométricos são indicadores tardios e a avaliação biomecânica pode detectar anormalidades mais cedo, segue-se que qualquer planejamento de intervenção que dependa exclusivamente da geometria é inerentemente atrasado — ele responde às </w:t>
      </w:r>
      <w:r>
        <w:rPr>
          <w:rFonts w:ascii="Calibri" w:hAnsi="Calibri"/>
          <w:b w:val="0"/>
          <w:i/>
          <w:color w:val="222222"/>
          <w:sz w:val="22"/>
        </w:rPr>
        <w:t>consequências</w:t>
      </w:r>
      <w:r>
        <w:rPr>
          <w:rFonts w:ascii="Calibri" w:hAnsi="Calibri"/>
          <w:b w:val="0"/>
          <w:i w:val="0"/>
          <w:color w:val="222222"/>
          <w:sz w:val="22"/>
        </w:rPr>
        <w:t xml:space="preserve"> da doença em vez de ao seu </w:t>
      </w:r>
      <w:r>
        <w:rPr>
          <w:rFonts w:ascii="Calibri" w:hAnsi="Calibri"/>
          <w:b w:val="0"/>
          <w:i/>
          <w:color w:val="222222"/>
          <w:sz w:val="22"/>
        </w:rPr>
        <w:t>estado atual</w:t>
      </w:r>
      <w:r>
        <w:rPr>
          <w:rFonts w:ascii="Calibri" w:hAnsi="Calibri"/>
          <w:b w:val="0"/>
          <w:i w:val="0"/>
          <w:color w:val="222222"/>
          <w:sz w:val="22"/>
        </w:rPr>
        <w:t>. A implicação clínica é profunda: o planejamento racional de ICRS deve incorporar a avaliação biomecânica, não depender exclusivamente de dados ceratométricos e paquimétricos.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1.6 Implicações para o Planejamento de ICRS</w:t>
      </w:r>
    </w:p>
    <w:p>
      <w:r>
        <w:rPr>
          <w:rFonts w:ascii="Calibri" w:hAnsi="Calibri"/>
          <w:b w:val="0"/>
          <w:i w:val="0"/>
          <w:color w:val="222222"/>
          <w:sz w:val="22"/>
        </w:rPr>
        <w:t>Se o ceratocone é fundamentalmente uma doença biomecânica, segue-se logicamente que uma intervenção eficaz deve abordar a biomecânica — não apenas a geometria. O ICRS, como um implante estrutural inserido no estroma, é inerentemente uma intervenção biomecânica. Ele modifica a distribuição de tensão (stress), altera o campo de deslocamento e restringe a deformação estromal no local da implantação. No entanto, as abordagens atuais de planejamento tratam o procedimento como se fosse uma intervenção geométrica — selecionando parâmetros do anel com base apenas em medições topográficas.</w:t>
      </w:r>
    </w:p>
    <w:p>
      <w:r>
        <w:rPr>
          <w:rFonts w:ascii="Calibri" w:hAnsi="Calibri"/>
          <w:b w:val="0"/>
          <w:i w:val="0"/>
          <w:color w:val="222222"/>
          <w:sz w:val="22"/>
        </w:rPr>
        <w:t>A desconexão é evidente. Os nomogramas atuais prescrevem a espessura do anel com base no K-steep ou no valor Q, assumindo implicitamente que a ceratometria captura o suficiente do estado biomecânico para prever o efeito do anel. Mas nossas simulações de FEM revelam que o efeito do ICRS depende de pelo menos três variáveis mecânicas independentes — deslocamento radial (VR), redistribuição de tensão tangencial (VT) e torque assimétrico (Vτ) —, cada uma modulada por diferentes parâmetros do anel. A espessura controla o VR; o comprimento do arco controla o VT; a assimetria do anel controla o Vτ. Um nomograma que mapeia o K-steep para a espessura captura apenas um desses três mecanismos, e mesmo esse de forma imperfeita.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O framework da AVBC, introduzido nos capítulos seguintes, propõe preencher essa lacuna. Ao decompor o efeito do ICRS em três vetores biomecânicos, cada um associado a um parâmetro específico do anel, ele fornece uma linguagem para o planejamento mecanicista. O cirurgião que compreende VR, VT e Vτ pode raciocinar sobre o </w:t>
      </w:r>
      <w:r>
        <w:rPr>
          <w:rFonts w:ascii="Calibri" w:hAnsi="Calibri"/>
          <w:b w:val="0"/>
          <w:i/>
          <w:color w:val="222222"/>
          <w:sz w:val="22"/>
        </w:rPr>
        <w:t>porquê</w:t>
      </w:r>
      <w:r>
        <w:rPr>
          <w:rFonts w:ascii="Calibri" w:hAnsi="Calibri"/>
          <w:b w:val="0"/>
          <w:i w:val="0"/>
          <w:color w:val="222222"/>
          <w:sz w:val="22"/>
        </w:rPr>
        <w:t xml:space="preserve"> de uma determinada configuração de anel produzir um efeito específico — em vez de consultar uma tabela de consulta e esperar pelo melhor resultado.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1.7 Resumo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O ceratocone é uma </w:t>
      </w:r>
      <w:r>
        <w:rPr>
          <w:rFonts w:ascii="Calibri" w:hAnsi="Calibri"/>
          <w:b/>
          <w:i w:val="0"/>
          <w:color w:val="222222"/>
          <w:sz w:val="22"/>
        </w:rPr>
        <w:t>doença biomecânica</w:t>
      </w:r>
      <w:r>
        <w:rPr>
          <w:rFonts w:ascii="Calibri" w:hAnsi="Calibri"/>
          <w:b w:val="0"/>
          <w:i w:val="0"/>
          <w:color w:val="222222"/>
          <w:sz w:val="22"/>
        </w:rPr>
        <w:t>, não meramente uma deformidade geométrica. O processo subjacente envolve a degradação do colágeno e da matriz, a redistribuição de tensão (stress) e um ciclo de feedback positivo (o ciclo de descompensação de Dupps).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O estroma corneano é um </w:t>
      </w:r>
      <w:r>
        <w:rPr>
          <w:rFonts w:ascii="Calibri" w:hAnsi="Calibri"/>
          <w:b/>
          <w:i w:val="0"/>
          <w:color w:val="222222"/>
          <w:sz w:val="22"/>
        </w:rPr>
        <w:t>compósito anisotrópico, hiperelástico e reforçado por fibras</w:t>
      </w:r>
      <w:r>
        <w:rPr>
          <w:rFonts w:ascii="Calibri" w:hAnsi="Calibri"/>
          <w:b w:val="0"/>
          <w:i w:val="0"/>
          <w:color w:val="222222"/>
          <w:sz w:val="22"/>
        </w:rPr>
        <w:t>. Seu comportamento mecânico é melhor capturado pelo modelo constitutivo HGO, com os parâmetros c = 0.05 MPa (matriz), k₁ = 0.22 MPa (fibra), k₂ = 100 (não linearidade) e κ = 0.09 (dispersão).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Descritores geométricos</w:t>
      </w:r>
      <w:r>
        <w:rPr>
          <w:rFonts w:ascii="Calibri" w:hAnsi="Calibri"/>
          <w:b w:val="0"/>
          <w:i w:val="0"/>
          <w:color w:val="222222"/>
          <w:sz w:val="22"/>
        </w:rPr>
        <w:t xml:space="preserve"> (K-steep, valor Q, paquimetria) são indicadores tardios que descrevem consequências, não causas. A avaliação biomecânica — via microscopia de Brillouin, ORA/Corvis ou modelagem constitutiva — fornece uma caracterização mais precoce e informativa.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Mesmo uma </w:t>
      </w:r>
      <w:r>
        <w:rPr>
          <w:rFonts w:ascii="Calibri" w:hAnsi="Calibri"/>
          <w:b/>
          <w:i w:val="0"/>
          <w:color w:val="222222"/>
          <w:sz w:val="22"/>
        </w:rPr>
        <w:t>PIO normal (15 mmHg)</w:t>
      </w:r>
      <w:r>
        <w:rPr>
          <w:rFonts w:ascii="Calibri" w:hAnsi="Calibri"/>
          <w:b w:val="0"/>
          <w:i w:val="0"/>
          <w:color w:val="222222"/>
          <w:sz w:val="22"/>
        </w:rPr>
        <w:t xml:space="preserve"> produz deformação corneana significativa (uz = 360,9 μm em nossa linha de base de FEM), destacando a PIO como o motor mecânico da progressão ectática.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O </w:t>
      </w:r>
      <w:r>
        <w:rPr>
          <w:rFonts w:ascii="Calibri" w:hAnsi="Calibri"/>
          <w:b/>
          <w:i w:val="0"/>
          <w:color w:val="222222"/>
          <w:sz w:val="22"/>
        </w:rPr>
        <w:t>planejamento racional de ICRS</w:t>
      </w:r>
      <w:r>
        <w:rPr>
          <w:rFonts w:ascii="Calibri" w:hAnsi="Calibri"/>
          <w:b w:val="0"/>
          <w:i w:val="0"/>
          <w:color w:val="222222"/>
          <w:sz w:val="22"/>
        </w:rPr>
        <w:t xml:space="preserve"> exige a compreensão dos mecanismos biomecânicos da intervenção — não apenas do resultado geométrico. Esta é a premissa do framework AVBC desenvolvido nos capítulos subsequentes.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Tabela-Resumo: Conceitos-Chave para o Clínico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Conceito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O Que É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Por Que Importa ao Cirurgião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Modelo HGO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Equação que descreve a mecânica da córnea como compósito fibra+matriz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Os 5 parâmetros (c, k₁, k₂, κ, k) determinam como a córnea responde ao anel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 = 0.05 MPa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Módulo de cisalhamento da matriz (gel sem fibras)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Quando degrada no ceratocone, a córnea torna-se mais macia — é isto que o CXL não reverte diretamente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k₁ = 0.22 MPa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Rigidez das fibras de colagénio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É o parâmetro que o CXL aumenta (50–200%); o reforço das fibras é a base da estabilização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k₂ = 100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Taxa de endurecimento exponencial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Explica por que a córnea acomoda flutuações normais de PIO mas resiste a deformação extrema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κ = 0.09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Dispersão angular das fibras (0=alinhadas, 1/3=aleatórias)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Fibras maioritariamente alinhadas significam que o anel funciona diferente conforme a orientação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Ciclo de Dupps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Feedback positivo: fraqueza → deformação → mais tensão → mais fraqueza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Explica a progressão do ceratocone e por que CXL (reforça fibras) e ICRS (redistribui tensão) funcionam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Anisotropia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Rigidez varia conforme a direção e a região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O efeito do anel depende da orientação local das fibras de colagénio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PIO como motor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15 mmHg gera uz = 360,9 μm de deslocamento central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Mesmo PIO normal deforma significativamente uma córnea enfraquecida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Estroma anterior vs posterior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Anterior 2-3× mais rígido; posterior falha primeiro no KC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O ICRS é implantado a 70–80% de profundidade para interagir com o estroma de suporte de carga</w:t>
            </w:r>
          </w:p>
        </w:tc>
      </w:tr>
    </w:tbl>
    <w:p>
      <w:pPr>
        <w:spacing w:before="120" w:after="120"/>
      </w:pP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Referências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Birk DE, Fitch JM, Babiarz JP, et al. Collagen fibrillogenesis in vitro: interaction of types I and V collagen regulates fibril diameter. </w:t>
      </w:r>
      <w:r>
        <w:rPr>
          <w:rFonts w:ascii="Calibri" w:hAnsi="Calibri"/>
          <w:b w:val="0"/>
          <w:i/>
          <w:color w:val="222222"/>
          <w:sz w:val="22"/>
        </w:rPr>
        <w:t>J Cell Sci</w:t>
      </w:r>
      <w:r>
        <w:rPr>
          <w:rFonts w:ascii="Calibri" w:hAnsi="Calibri"/>
          <w:b w:val="0"/>
          <w:i w:val="0"/>
          <w:color w:val="222222"/>
          <w:sz w:val="22"/>
        </w:rPr>
        <w:t>. 1990;95(Pt 4):649–657.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Dupps WJ Jr, Roberts CJ. Effect of acute biomechanical changes on corneal curvature after photokeratectomy. </w:t>
      </w:r>
      <w:r>
        <w:rPr>
          <w:rFonts w:ascii="Calibri" w:hAnsi="Calibri"/>
          <w:b w:val="0"/>
          <w:i/>
          <w:color w:val="222222"/>
          <w:sz w:val="22"/>
        </w:rPr>
        <w:t>J Refract Surg</w:t>
      </w:r>
      <w:r>
        <w:rPr>
          <w:rFonts w:ascii="Calibri" w:hAnsi="Calibri"/>
          <w:b w:val="0"/>
          <w:i w:val="0"/>
          <w:color w:val="222222"/>
          <w:sz w:val="22"/>
        </w:rPr>
        <w:t>. 2001;17(6):658–669.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Dupps WJ Jr, Roberts CJ. Biomechanics of corneal ectasia and biomechanical treatments. </w:t>
      </w:r>
      <w:r>
        <w:rPr>
          <w:rFonts w:ascii="Calibri" w:hAnsi="Calibri"/>
          <w:b w:val="0"/>
          <w:i/>
          <w:color w:val="222222"/>
          <w:sz w:val="22"/>
        </w:rPr>
        <w:t>J Cataract Refract Surg</w:t>
      </w:r>
      <w:r>
        <w:rPr>
          <w:rFonts w:ascii="Calibri" w:hAnsi="Calibri"/>
          <w:b w:val="0"/>
          <w:i w:val="0"/>
          <w:color w:val="222222"/>
          <w:sz w:val="22"/>
        </w:rPr>
        <w:t>. 2014;40(6):991–998.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Fontes BM, Ambrósio R Jr, Jardim D, et al. Corneal biomechanical metrics and anterior segment parameters in mild keratoconus. </w:t>
      </w:r>
      <w:r>
        <w:rPr>
          <w:rFonts w:ascii="Calibri" w:hAnsi="Calibri"/>
          <w:b w:val="0"/>
          <w:i/>
          <w:color w:val="222222"/>
          <w:sz w:val="22"/>
        </w:rPr>
        <w:t>Ophthalmology</w:t>
      </w:r>
      <w:r>
        <w:rPr>
          <w:rFonts w:ascii="Calibri" w:hAnsi="Calibri"/>
          <w:b w:val="0"/>
          <w:i w:val="0"/>
          <w:color w:val="222222"/>
          <w:sz w:val="22"/>
        </w:rPr>
        <w:t>. 2010;117(4):673–679.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Godefrooij DA, de Wit GA, Uiterwaal CS, et al. Age-specific incidence and prevalence of keratoconus: a nationwide registration study. </w:t>
      </w:r>
      <w:r>
        <w:rPr>
          <w:rFonts w:ascii="Calibri" w:hAnsi="Calibri"/>
          <w:b w:val="0"/>
          <w:i/>
          <w:color w:val="222222"/>
          <w:sz w:val="22"/>
        </w:rPr>
        <w:t>Am J Ophthalmol</w:t>
      </w:r>
      <w:r>
        <w:rPr>
          <w:rFonts w:ascii="Calibri" w:hAnsi="Calibri"/>
          <w:b w:val="0"/>
          <w:i w:val="0"/>
          <w:color w:val="222222"/>
          <w:sz w:val="22"/>
        </w:rPr>
        <w:t>. 2017;175:169–172.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Holzapfel GA, Gasser TC, Ogden RW. A new constitutive framework for arterial wall mechanics and a comparative study of material models. </w:t>
      </w:r>
      <w:r>
        <w:rPr>
          <w:rFonts w:ascii="Calibri" w:hAnsi="Calibri"/>
          <w:b w:val="0"/>
          <w:i/>
          <w:color w:val="222222"/>
          <w:sz w:val="22"/>
        </w:rPr>
        <w:t>J Elasticity</w:t>
      </w:r>
      <w:r>
        <w:rPr>
          <w:rFonts w:ascii="Calibri" w:hAnsi="Calibri"/>
          <w:b w:val="0"/>
          <w:i w:val="0"/>
          <w:color w:val="222222"/>
          <w:sz w:val="22"/>
        </w:rPr>
        <w:t>. 2000;61:1–48.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Komai Y, Ushiki T. The three-dimensional organization of collagen fibrils in the human cornea and sclera. </w:t>
      </w:r>
      <w:r>
        <w:rPr>
          <w:rFonts w:ascii="Calibri" w:hAnsi="Calibri"/>
          <w:b w:val="0"/>
          <w:i/>
          <w:color w:val="222222"/>
          <w:sz w:val="22"/>
        </w:rPr>
        <w:t>Invest Ophthalmol Vis Sci</w:t>
      </w:r>
      <w:r>
        <w:rPr>
          <w:rFonts w:ascii="Calibri" w:hAnsi="Calibri"/>
          <w:b w:val="0"/>
          <w:i w:val="0"/>
          <w:color w:val="222222"/>
          <w:sz w:val="22"/>
        </w:rPr>
        <w:t>. 1991;32(8):2244–2258.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Luce DA. Determining in vivo biomechanical properties of the cornea with an ocular response analyzer. </w:t>
      </w:r>
      <w:r>
        <w:rPr>
          <w:rFonts w:ascii="Calibri" w:hAnsi="Calibri"/>
          <w:b w:val="0"/>
          <w:i/>
          <w:color w:val="222222"/>
          <w:sz w:val="22"/>
        </w:rPr>
        <w:t>J Cataract Refract Surg</w:t>
      </w:r>
      <w:r>
        <w:rPr>
          <w:rFonts w:ascii="Calibri" w:hAnsi="Calibri"/>
          <w:b w:val="0"/>
          <w:i w:val="0"/>
          <w:color w:val="222222"/>
          <w:sz w:val="22"/>
        </w:rPr>
        <w:t>. 2005;31(1):156–162.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Maurice DM. The structure and transparency of the cornea. </w:t>
      </w:r>
      <w:r>
        <w:rPr>
          <w:rFonts w:ascii="Calibri" w:hAnsi="Calibri"/>
          <w:b w:val="0"/>
          <w:i/>
          <w:color w:val="222222"/>
          <w:sz w:val="22"/>
        </w:rPr>
        <w:t>J Physiol</w:t>
      </w:r>
      <w:r>
        <w:rPr>
          <w:rFonts w:ascii="Calibri" w:hAnsi="Calibri"/>
          <w:b w:val="0"/>
          <w:i w:val="0"/>
          <w:color w:val="222222"/>
          <w:sz w:val="22"/>
        </w:rPr>
        <w:t>. 1957;136(2):263–286.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Meek KM. Corneal collagen — its role in maintaining corneal shape and transparency. </w:t>
      </w:r>
      <w:r>
        <w:rPr>
          <w:rFonts w:ascii="Calibri" w:hAnsi="Calibri"/>
          <w:b w:val="0"/>
          <w:i/>
          <w:color w:val="222222"/>
          <w:sz w:val="22"/>
        </w:rPr>
        <w:t>Biophys Rev</w:t>
      </w:r>
      <w:r>
        <w:rPr>
          <w:rFonts w:ascii="Calibri" w:hAnsi="Calibri"/>
          <w:b w:val="0"/>
          <w:i w:val="0"/>
          <w:color w:val="222222"/>
          <w:sz w:val="22"/>
        </w:rPr>
        <w:t>. 2009;1(2):83–93.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Meek KM, Boote C. The organization of collagen in the corneal stroma. </w:t>
      </w:r>
      <w:r>
        <w:rPr>
          <w:rFonts w:ascii="Calibri" w:hAnsi="Calibri"/>
          <w:b w:val="0"/>
          <w:i/>
          <w:color w:val="222222"/>
          <w:sz w:val="22"/>
        </w:rPr>
        <w:t>Exp Eye Res</w:t>
      </w:r>
      <w:r>
        <w:rPr>
          <w:rFonts w:ascii="Calibri" w:hAnsi="Calibri"/>
          <w:b w:val="0"/>
          <w:i w:val="0"/>
          <w:color w:val="222222"/>
          <w:sz w:val="22"/>
        </w:rPr>
        <w:t>. 2004;78(3):503–512.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Meek KM, Knupp C. Corneal structure and transparency. </w:t>
      </w:r>
      <w:r>
        <w:rPr>
          <w:rFonts w:ascii="Calibri" w:hAnsi="Calibri"/>
          <w:b w:val="0"/>
          <w:i/>
          <w:color w:val="222222"/>
          <w:sz w:val="22"/>
        </w:rPr>
        <w:t>Prog Retin Eye Res</w:t>
      </w:r>
      <w:r>
        <w:rPr>
          <w:rFonts w:ascii="Calibri" w:hAnsi="Calibri"/>
          <w:b w:val="0"/>
          <w:i w:val="0"/>
          <w:color w:val="222222"/>
          <w:sz w:val="22"/>
        </w:rPr>
        <w:t>. 2015;49:1–16.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Meek KM, Tuft SJ, Huang Y, et al. Changes in collagen orientation and distribution in keratoconus corneas. </w:t>
      </w:r>
      <w:r>
        <w:rPr>
          <w:rFonts w:ascii="Calibri" w:hAnsi="Calibri"/>
          <w:b w:val="0"/>
          <w:i/>
          <w:color w:val="222222"/>
          <w:sz w:val="22"/>
        </w:rPr>
        <w:t>Invest Ophthalmol Vis Sci</w:t>
      </w:r>
      <w:r>
        <w:rPr>
          <w:rFonts w:ascii="Calibri" w:hAnsi="Calibri"/>
          <w:b w:val="0"/>
          <w:i w:val="0"/>
          <w:color w:val="222222"/>
          <w:sz w:val="22"/>
        </w:rPr>
        <w:t>. 2005;46(6):1948–1956.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Nguyen BA, Roberts CJ, Reilly MA. Biomechanical impact of the sclera on corneal deformation response to an air-puff: a finite-element study. </w:t>
      </w:r>
      <w:r>
        <w:rPr>
          <w:rFonts w:ascii="Calibri" w:hAnsi="Calibri"/>
          <w:b w:val="0"/>
          <w:i/>
          <w:color w:val="222222"/>
          <w:sz w:val="22"/>
        </w:rPr>
        <w:t>Front Bioeng Biotechnol</w:t>
      </w:r>
      <w:r>
        <w:rPr>
          <w:rFonts w:ascii="Calibri" w:hAnsi="Calibri"/>
          <w:b w:val="0"/>
          <w:i w:val="0"/>
          <w:color w:val="222222"/>
          <w:sz w:val="22"/>
        </w:rPr>
        <w:t>. 2018;6:210.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Pandolfi A, Manganiello F. A model for the human cornea: constitutive formulation and numerical analysis. </w:t>
      </w:r>
      <w:r>
        <w:rPr>
          <w:rFonts w:ascii="Calibri" w:hAnsi="Calibri"/>
          <w:b w:val="0"/>
          <w:i/>
          <w:color w:val="222222"/>
          <w:sz w:val="22"/>
        </w:rPr>
        <w:t>Biomech Model Mechanobiol</w:t>
      </w:r>
      <w:r>
        <w:rPr>
          <w:rFonts w:ascii="Calibri" w:hAnsi="Calibri"/>
          <w:b w:val="0"/>
          <w:i w:val="0"/>
          <w:color w:val="222222"/>
          <w:sz w:val="22"/>
        </w:rPr>
        <w:t>. 2006;5(4):237–246.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Quantock AJ, Young RD, Akama TO. Structural and biochemical aspects of keratan sulphate in the cornea. </w:t>
      </w:r>
      <w:r>
        <w:rPr>
          <w:rFonts w:ascii="Calibri" w:hAnsi="Calibri"/>
          <w:b w:val="0"/>
          <w:i/>
          <w:color w:val="222222"/>
          <w:sz w:val="22"/>
        </w:rPr>
        <w:t>Cell Mol Life Sci</w:t>
      </w:r>
      <w:r>
        <w:rPr>
          <w:rFonts w:ascii="Calibri" w:hAnsi="Calibri"/>
          <w:b w:val="0"/>
          <w:i w:val="0"/>
          <w:color w:val="222222"/>
          <w:sz w:val="22"/>
        </w:rPr>
        <w:t>. 2010;67(6):891–906.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Roberts CJ, Dupps WJ Jr. Biomechanics of corneal ectasia and biomechanical treatments. </w:t>
      </w:r>
      <w:r>
        <w:rPr>
          <w:rFonts w:ascii="Calibri" w:hAnsi="Calibri"/>
          <w:b w:val="0"/>
          <w:i/>
          <w:color w:val="222222"/>
          <w:sz w:val="22"/>
        </w:rPr>
        <w:t>J Cataract Refract Surg</w:t>
      </w:r>
      <w:r>
        <w:rPr>
          <w:rFonts w:ascii="Calibri" w:hAnsi="Calibri"/>
          <w:b w:val="0"/>
          <w:i w:val="0"/>
          <w:color w:val="222222"/>
          <w:sz w:val="22"/>
        </w:rPr>
        <w:t>. 2014;40(6):991–998.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Scarcelli G, Besber R, Pineda R, et al. In vivo biomechanical mapping of normal and keratoconus corneas. </w:t>
      </w:r>
      <w:r>
        <w:rPr>
          <w:rFonts w:ascii="Calibri" w:hAnsi="Calibri"/>
          <w:b w:val="0"/>
          <w:i/>
          <w:color w:val="222222"/>
          <w:sz w:val="22"/>
        </w:rPr>
        <w:t>JAMA Ophthalmol</w:t>
      </w:r>
      <w:r>
        <w:rPr>
          <w:rFonts w:ascii="Calibri" w:hAnsi="Calibri"/>
          <w:b w:val="0"/>
          <w:i w:val="0"/>
          <w:color w:val="222222"/>
          <w:sz w:val="22"/>
        </w:rPr>
        <w:t>. 2015;133(4):480–482.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Scarcelli G, Pineda R, Yun SH. Brillouin optical microscopy for corneal biomechanics. </w:t>
      </w:r>
      <w:r>
        <w:rPr>
          <w:rFonts w:ascii="Calibri" w:hAnsi="Calibri"/>
          <w:b w:val="0"/>
          <w:i/>
          <w:color w:val="222222"/>
          <w:sz w:val="22"/>
        </w:rPr>
        <w:t>Invest Ophthalmol Vis Sci</w:t>
      </w:r>
      <w:r>
        <w:rPr>
          <w:rFonts w:ascii="Calibri" w:hAnsi="Calibri"/>
          <w:b w:val="0"/>
          <w:i w:val="0"/>
          <w:color w:val="222222"/>
          <w:sz w:val="22"/>
        </w:rPr>
        <w:t>. 2012;53(1):185–190.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Seppälä HP, Määttä M, Rautia M, et al. EMMPRIN and MMP-1 in keratoconus. </w:t>
      </w:r>
      <w:r>
        <w:rPr>
          <w:rFonts w:ascii="Calibri" w:hAnsi="Calibri"/>
          <w:b w:val="0"/>
          <w:i/>
          <w:color w:val="222222"/>
          <w:sz w:val="22"/>
        </w:rPr>
        <w:t>Cornea</w:t>
      </w:r>
      <w:r>
        <w:rPr>
          <w:rFonts w:ascii="Calibri" w:hAnsi="Calibri"/>
          <w:b w:val="0"/>
          <w:i w:val="0"/>
          <w:color w:val="222222"/>
          <w:sz w:val="22"/>
        </w:rPr>
        <w:t>. 2006;25(3):325–330.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Thomasy SM, Raghunathan VK, Winkler M, et al. Elastic modulus and collagen organization of the rabbit cornea: epithelium to endothelium. </w:t>
      </w:r>
      <w:r>
        <w:rPr>
          <w:rFonts w:ascii="Calibri" w:hAnsi="Calibri"/>
          <w:b w:val="0"/>
          <w:i/>
          <w:color w:val="222222"/>
          <w:sz w:val="22"/>
        </w:rPr>
        <w:t>Acta Biomater</w:t>
      </w:r>
      <w:r>
        <w:rPr>
          <w:rFonts w:ascii="Calibri" w:hAnsi="Calibri"/>
          <w:b w:val="0"/>
          <w:i w:val="0"/>
          <w:color w:val="222222"/>
          <w:sz w:val="22"/>
        </w:rPr>
        <w:t>. 2014;10(2):785–791.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Torres Netto EA, Al-Otaibi WM, Hafezi NL, et al. Prevalence of keratoconus in paediatric patients in Riyadh, Saudi Arabia. </w:t>
      </w:r>
      <w:r>
        <w:rPr>
          <w:rFonts w:ascii="Calibri" w:hAnsi="Calibri"/>
          <w:b w:val="0"/>
          <w:i/>
          <w:color w:val="222222"/>
          <w:sz w:val="22"/>
        </w:rPr>
        <w:t>Br J Ophthalmol</w:t>
      </w:r>
      <w:r>
        <w:rPr>
          <w:rFonts w:ascii="Calibri" w:hAnsi="Calibri"/>
          <w:b w:val="0"/>
          <w:i w:val="0"/>
          <w:color w:val="222222"/>
          <w:sz w:val="22"/>
        </w:rPr>
        <w:t>. 2018;102(10):1436–1441.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Winkler M, Shoa G, Xie Y, et al. Three-dimensional distribution of transverse collagen fibers in the anterior human corneal stroma. </w:t>
      </w:r>
      <w:r>
        <w:rPr>
          <w:rFonts w:ascii="Calibri" w:hAnsi="Calibri"/>
          <w:b w:val="0"/>
          <w:i/>
          <w:color w:val="222222"/>
          <w:sz w:val="22"/>
        </w:rPr>
        <w:t>Invest Ophthalmol Vis Sci</w:t>
      </w:r>
      <w:r>
        <w:rPr>
          <w:rFonts w:ascii="Calibri" w:hAnsi="Calibri"/>
          <w:b w:val="0"/>
          <w:i w:val="0"/>
          <w:color w:val="222222"/>
          <w:sz w:val="22"/>
        </w:rPr>
        <w:t>. 2013;54(12):7293–7301.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Wollensak G, Spoerl E, Seiler T. Stress-strain measurements of human and porcine corneas after riboflavin-ultraviolet-A-induced cross-linking. </w:t>
      </w:r>
      <w:r>
        <w:rPr>
          <w:rFonts w:ascii="Calibri" w:hAnsi="Calibri"/>
          <w:b w:val="0"/>
          <w:i/>
          <w:color w:val="222222"/>
          <w:sz w:val="22"/>
        </w:rPr>
        <w:t>J Cataract Refract Surg</w:t>
      </w:r>
      <w:r>
        <w:rPr>
          <w:rFonts w:ascii="Calibri" w:hAnsi="Calibri"/>
          <w:b w:val="0"/>
          <w:i w:val="0"/>
          <w:color w:val="222222"/>
          <w:sz w:val="22"/>
        </w:rPr>
        <w:t>. 2003;29(9):1780–1785.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B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1B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