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Calibri" w:hAnsi="Calibri"/>
          <w:b w:val="0"/>
          <w:i w:val="0"/>
          <w:color w:val="1B365D"/>
          <w:sz w:val="36"/>
        </w:rPr>
        <w:t>Capítulo 3 — Os Limites do Planejamento Empírico: Por que os Nomogramas Falham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3.1 Introdução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O gerenciamento clínico do ceratocone com segmentos de anel intraestromal (ICRS) tem dependido, desde o início da técnica, de uma estratégia de planejamento que é fundamentalmente empírica: o nomograma. Em sua definição mais geral, um nomograma é uma tabela de consulta que associa medições pré-operatórias do paciente a uma configuração específica de anel (espessura do segmento, comprimento do arco, número de segmentos). O clínico mede o paciente, consulta a tabela e seleciona o anel prescrito. A suposição oculta é que </w:t>
      </w:r>
      <w:r>
        <w:rPr>
          <w:rFonts w:ascii="Calibri" w:hAnsi="Calibri"/>
          <w:b w:val="0"/>
          <w:i/>
          <w:color w:val="222222"/>
          <w:sz w:val="22"/>
        </w:rPr>
        <w:t>pacientes com medições clínicas semelhantes terão respostas biomecânicas semelhantes</w:t>
      </w:r>
      <w:r>
        <w:rPr>
          <w:rFonts w:ascii="Calibri" w:hAnsi="Calibri"/>
          <w:b w:val="0"/>
          <w:i w:val="0"/>
          <w:color w:val="222222"/>
          <w:sz w:val="22"/>
        </w:rPr>
        <w:t>.</w:t>
      </w:r>
    </w:p>
    <w:p>
      <w:r>
        <w:rPr>
          <w:rFonts w:ascii="Calibri" w:hAnsi="Calibri"/>
          <w:b w:val="0"/>
          <w:i w:val="0"/>
          <w:color w:val="222222"/>
          <w:sz w:val="22"/>
        </w:rPr>
        <w:t>Essa suposição é o axioma que falha na era moderna. A córnea não é um plástico inerte; é um bio-tecido vivo, cuja resposta a um implante depende da rigidez da matriz inter-fibrilar, densidade de crosslinking, e da paquimetria real ao longo da zona de implante. O nomograma é cego à biomecânica.</w:t>
      </w:r>
    </w:p>
    <w:p>
      <w:pPr>
        <w:spacing w:before="80" w:after="120" w:line="276" w:lineRule="auto"/>
        <w:ind w:left="720" w:right="720"/>
      </w:pPr>
      <w:r>
        <w:rPr>
          <w:rFonts w:ascii="Calibri" w:hAnsi="Calibri"/>
          <w:b w:val="0"/>
          <w:i w:val="0"/>
          <w:color w:val="334E68"/>
          <w:sz w:val="21"/>
        </w:rPr>
        <w:t xml:space="preserve">[!NOTE] </w:t>
      </w:r>
      <w:r>
        <w:rPr>
          <w:rFonts w:ascii="Calibri" w:hAnsi="Calibri"/>
          <w:b/>
          <w:i w:val="0"/>
          <w:color w:val="334E68"/>
          <w:sz w:val="21"/>
        </w:rPr>
        <w:t>Para o Clínico: A Ilusão da Tabela</w:t>
      </w:r>
      <w:r>
        <w:rPr>
          <w:rFonts w:ascii="Calibri" w:hAnsi="Calibri"/>
          <w:b w:val="0"/>
          <w:i w:val="0"/>
          <w:color w:val="334E68"/>
          <w:sz w:val="21"/>
        </w:rPr>
        <w:t xml:space="preserve"> Imagine comprar um fato baseando-se apenas no seu peso, sem medir a sua altura ou largura de ombros. Dois homens de 80 kg podem ter biotipos radicalmente diferentes. Da mesma forma, duas córneas com K-max de 52 D podem ter matrizes de colagénio completamente distintas. O nomograma assume que ambas vestem o mesmo "fato" (o mesmo anel). É por isso que os resultados clínicos variam tanto!</w:t>
      </w:r>
    </w:p>
    <w:p>
      <w:r>
        <w:rPr>
          <w:rFonts w:ascii="Calibri" w:hAnsi="Calibri"/>
          <w:b w:val="0"/>
          <w:i w:val="0"/>
          <w:color w:val="222222"/>
          <w:sz w:val="22"/>
        </w:rPr>
        <w:t>Estudos de resultados publicados para ICRS relatam consistentemente grandes desvios padrão, com respostas individuais de pacientes desviando-se frequentemente de duas ou mais dioptrias da média do grupo. Quando cirurgiões experientes discordam sobre o anel correto para o mesmo paciente, a divergência não é uma falha de julgamento individual; é a prova de que o paradigma empírico é inadequado.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3.2 Nomogramas Clássicos: Evolução e Limites</w:t>
      </w:r>
    </w:p>
    <w:p>
      <w:r>
        <w:rPr>
          <w:rFonts w:ascii="Calibri" w:hAnsi="Calibri"/>
          <w:b w:val="0"/>
          <w:i w:val="0"/>
          <w:color w:val="222222"/>
          <w:sz w:val="22"/>
        </w:rPr>
        <w:t>Historicamente, três grandes famílias de nomogramas dominaram o mercado: Ferrara, Keraring e Intacs.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3.2.1 O Nomograma Ferrara</w:t>
      </w:r>
    </w:p>
    <w:p>
      <w:r>
        <w:rPr>
          <w:rFonts w:ascii="Calibri" w:hAnsi="Calibri"/>
          <w:b w:val="0"/>
          <w:i w:val="0"/>
          <w:color w:val="222222"/>
          <w:sz w:val="22"/>
        </w:rPr>
        <w:t>Originalmente baseado na refração (Equivalente Esférico e Cilindro), evoluiu para incorporar o valor Q (asfericidade) e o K-steep. O valor Q tenta capturar o formato global do cone, ditando a espessura. Embora a média dos resultados seja clinicamente significativa (redução de ~3.0 D), a variabilidade é massiva. O problema estrutural é que o K-steep ou o valor Q representam a córnea anterior, mas a inserção do ICRS atua no estroma profundo.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3.2.2 A Calculadora Keraring</w:t>
      </w:r>
    </w:p>
    <w:p>
      <w:r>
        <w:rPr>
          <w:rFonts w:ascii="Calibri" w:hAnsi="Calibri"/>
          <w:b w:val="0"/>
          <w:i w:val="0"/>
          <w:color w:val="222222"/>
          <w:sz w:val="22"/>
        </w:rPr>
        <w:t xml:space="preserve">Introduziu a fenotipagem topográfica. A calculadora tenta classificar o padrão do paciente em arquétipos (cone central, paracentral, </w:t>
      </w:r>
      <w:r>
        <w:rPr>
          <w:rFonts w:ascii="Calibri" w:hAnsi="Calibri"/>
          <w:b w:val="0"/>
          <w:i/>
          <w:color w:val="222222"/>
          <w:sz w:val="22"/>
        </w:rPr>
        <w:t>bow-tie</w:t>
      </w:r>
      <w:r>
        <w:rPr>
          <w:rFonts w:ascii="Calibri" w:hAnsi="Calibri"/>
          <w:b w:val="0"/>
          <w:i w:val="0"/>
          <w:color w:val="222222"/>
          <w:sz w:val="22"/>
        </w:rPr>
        <w:t xml:space="preserve"> assimétrico) e recomenda anéis específicos. Este foi um salto intelectual gigante, pois reconheceu que a distribuição espacial importa tanto quanto a gravidade escalar.</w:t>
      </w:r>
    </w:p>
    <w:p>
      <w:r>
        <w:rPr>
          <w:rFonts w:ascii="Calibri" w:hAnsi="Calibri"/>
          <w:b w:val="0"/>
          <w:i w:val="0"/>
          <w:color w:val="222222"/>
          <w:sz w:val="22"/>
        </w:rPr>
        <w:t>No entanto, a classificação fenotípica é muitas vezes ambígua (um cone de transição). Além disso, a calculadora ainda não modela a física real: a mesma configuração num estroma de 400 $\mu m$ e num estroma de 550 $\mu m$ gerará aplanamentos brutalmente diferentes, algo que a calculadora não compensa adequadamente.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3.2.3 O Nomograma Intacs</w:t>
      </w:r>
    </w:p>
    <w:p>
      <w:r>
        <w:rPr>
          <w:rFonts w:ascii="Calibri" w:hAnsi="Calibri"/>
          <w:b w:val="0"/>
          <w:i w:val="0"/>
          <w:color w:val="222222"/>
          <w:sz w:val="22"/>
        </w:rPr>
        <w:t>O mais simples dos três, desenhado originalmente para miopia pura e focado no Equivalente Esférico (MRSE) para ditar a espessura. Esta é uma projeção perigosa num ceratocone, onde a refratometria manifesta é altamente flutuante e pouco fiável. É a abordagem mais vulnerável à heterogeneidade estromal.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3.3 A Maldição da Dimensionalidade e a Discordância Médica</w:t>
      </w:r>
    </w:p>
    <w:p>
      <w:r>
        <w:rPr>
          <w:rFonts w:ascii="Calibri" w:hAnsi="Calibri"/>
          <w:b w:val="0"/>
          <w:i w:val="0"/>
          <w:color w:val="222222"/>
          <w:sz w:val="22"/>
        </w:rPr>
        <w:t>Se o nomograma funcionasse, cirurgiões experientes concordariam no plano cirúrgico.</w:t>
      </w:r>
    </w:p>
    <w:p>
      <w:r>
        <w:rPr>
          <w:rFonts w:ascii="Calibri" w:hAnsi="Calibri"/>
          <w:b w:val="0"/>
          <w:i w:val="0"/>
          <w:color w:val="222222"/>
          <w:sz w:val="22"/>
        </w:rPr>
        <w:t>Em 2015, um estudo (Vega-Estrada e Alió) distribuiu os mesmos casos de ceratocone a 12 super-especialistas em anéis. Resultado? Quase não houve unanimidade. A espessura recomendada variava até 100 $\mu m$ para o mesmo olho, e a extensão de arco variava até 90°.</w:t>
      </w:r>
    </w:p>
    <w:p>
      <w:pPr>
        <w:spacing w:before="80" w:after="120" w:line="276" w:lineRule="auto"/>
        <w:ind w:left="720" w:right="720"/>
      </w:pPr>
      <w:r>
        <w:rPr>
          <w:rFonts w:ascii="Calibri" w:hAnsi="Calibri"/>
          <w:b w:val="0"/>
          <w:i w:val="0"/>
          <w:color w:val="334E68"/>
          <w:sz w:val="21"/>
        </w:rPr>
        <w:t xml:space="preserve">[!WARNING] </w:t>
      </w:r>
      <w:r>
        <w:rPr>
          <w:rFonts w:ascii="Calibri" w:hAnsi="Calibri"/>
          <w:b/>
          <w:i w:val="0"/>
          <w:color w:val="334E68"/>
          <w:sz w:val="21"/>
        </w:rPr>
        <w:t>Para o Clínico: A Maldição da Dimensionalidade</w:t>
      </w:r>
      <w:r>
        <w:rPr>
          <w:rFonts w:ascii="Calibri" w:hAnsi="Calibri"/>
          <w:b w:val="0"/>
          <w:i w:val="0"/>
          <w:color w:val="334E68"/>
          <w:sz w:val="21"/>
        </w:rPr>
        <w:t xml:space="preserve"> A córnea tem 5 variáveis fundamentais: Paquimetria, Rigidez do estroma, Curvatura, Localização do Cone e Pressão Intraocular. Se dividirmos cada variável em 10 níveis, teríamos 100.000 combinações possíveis. Nenhum livro ou tabela consegue ter 100.000 linhas! É por isso que o seu nomograma falha nos casos "fora do padrão": ele só tem espaço para tratar a "média".</w:t>
      </w:r>
    </w:p>
    <w:p>
      <w:r>
        <w:rPr>
          <w:rFonts w:ascii="Calibri" w:hAnsi="Calibri"/>
          <w:b w:val="0"/>
          <w:i w:val="0"/>
          <w:color w:val="222222"/>
          <w:sz w:val="22"/>
        </w:rPr>
        <w:t>A discordância ocorre porque o cérebro humano (ou o nomograma unidimensional) não consegue resolver mentalmente equações diferenciais biomecânicas. Alguns cirurgiões privilegiam "matar o coma", outros "baixar o K-max", originando planos divergentes. A única saída é transitar para o modelo mecanístico: calcular os vetores reais num simulador de tecido.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3.4 A Necessidade do Planejamento Mecânico (Escola Volumétrica)</w:t>
      </w:r>
    </w:p>
    <w:p>
      <w:r>
        <w:rPr>
          <w:rFonts w:ascii="Calibri" w:hAnsi="Calibri"/>
          <w:b w:val="0"/>
          <w:i w:val="0"/>
          <w:color w:val="222222"/>
          <w:sz w:val="22"/>
        </w:rPr>
        <w:t>As simulações paramétricas de elementos finitos ($N=377$) executadas com o FEBio, detalhadas neste Atlas, demonstram inequivocamente que a córnea não obedece a regras de três simples. O planejamento algorítmico AVBC substitui a intuição por relações matemáticas validadas, focadas na injeção de volume:</w:t>
      </w:r>
    </w:p>
    <w:p>
      <w:r>
        <w:rPr>
          <w:rFonts w:ascii="Calibri" w:hAnsi="Calibri"/>
          <w:b/>
          <w:i w:val="0"/>
          <w:color w:val="222222"/>
          <w:sz w:val="22"/>
        </w:rPr>
        <w:t>O Paradigma Volumétrico em Substituição do Nomograma:</w:t>
      </w:r>
    </w:p>
    <w:p>
      <w:r>
        <w:rPr>
          <w:rFonts w:ascii="Calibri" w:hAnsi="Calibri"/>
          <w:b w:val="0"/>
          <w:i w:val="0"/>
          <w:color w:val="222222"/>
          <w:sz w:val="22"/>
        </w:rPr>
        <w:t>No lugar de procurar "K-steep 52 = anel 250", a AVBC permite-lhe orquestrar os três eixos do espaço físico da córnea independentemente: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O Aplanamento ($V_R$):</w:t>
      </w:r>
      <w:r>
        <w:rPr>
          <w:rFonts w:ascii="Calibri" w:hAnsi="Calibri"/>
          <w:b w:val="0"/>
          <w:i w:val="0"/>
          <w:color w:val="222222"/>
          <w:sz w:val="22"/>
        </w:rPr>
        <w:t xml:space="preserve"> Demonstramos computacionalmente que o abaixamento da ceratometria ($\Delta K$) não depende só da espessura (como o nomograma defende), mas do </w:t>
      </w:r>
      <w:r>
        <w:rPr>
          <w:rFonts w:ascii="Calibri" w:hAnsi="Calibri"/>
          <w:b/>
          <w:i w:val="0"/>
          <w:color w:val="222222"/>
          <w:sz w:val="22"/>
        </w:rPr>
        <w:t>Volume Total Injetado</w:t>
      </w:r>
      <w:r>
        <w:rPr>
          <w:rFonts w:ascii="Calibri" w:hAnsi="Calibri"/>
          <w:b w:val="0"/>
          <w:i w:val="0"/>
          <w:color w:val="222222"/>
          <w:sz w:val="22"/>
        </w:rPr>
        <w:t xml:space="preserve">. Aumentar o arco de 160° para 210° (com a mesma espessura) espreme mais estroma para cima e </w:t>
      </w:r>
      <w:r>
        <w:rPr>
          <w:rFonts w:ascii="Calibri" w:hAnsi="Calibri"/>
          <w:b/>
          <w:i w:val="0"/>
          <w:color w:val="222222"/>
          <w:sz w:val="22"/>
        </w:rPr>
        <w:t>aumenta o aplanamento</w:t>
      </w:r>
      <w:r>
        <w:rPr>
          <w:rFonts w:ascii="Calibri" w:hAnsi="Calibri"/>
          <w:b w:val="0"/>
          <w:i w:val="0"/>
          <w:color w:val="222222"/>
          <w:sz w:val="22"/>
        </w:rPr>
        <w:t>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A Regularização Astigmática ($V_T$):</w:t>
      </w:r>
      <w:r>
        <w:rPr>
          <w:rFonts w:ascii="Calibri" w:hAnsi="Calibri"/>
          <w:b w:val="0"/>
          <w:i w:val="0"/>
          <w:color w:val="222222"/>
          <w:sz w:val="22"/>
        </w:rPr>
        <w:t xml:space="preserve"> Demonstramos que a "cintagem" mecânica e a redistribuição de tensões perimetrais obedecem a uma função linear decrescente com o comprimento do arco. Se o seu alvo é o cilindro, você deve operar no vetor Arco, independentemente da espessura.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/>
          <w:i w:val="0"/>
          <w:color w:val="222222"/>
          <w:sz w:val="22"/>
        </w:rPr>
        <w:t>A Correção de Coma ($V_\tau$):</w:t>
      </w:r>
      <w:r>
        <w:rPr>
          <w:rFonts w:ascii="Calibri" w:hAnsi="Calibri"/>
          <w:b w:val="0"/>
          <w:i w:val="0"/>
          <w:color w:val="222222"/>
          <w:sz w:val="22"/>
        </w:rPr>
        <w:t xml:space="preserve"> Demonstramos que anéis simétricos não deslocam ativamente o ápice do cone. Se o cone é descentrado, você </w:t>
      </w:r>
      <w:r>
        <w:rPr>
          <w:rFonts w:ascii="Calibri" w:hAnsi="Calibri"/>
          <w:b/>
          <w:i w:val="0"/>
          <w:color w:val="222222"/>
          <w:sz w:val="22"/>
        </w:rPr>
        <w:t>tem</w:t>
      </w:r>
      <w:r>
        <w:rPr>
          <w:rFonts w:ascii="Calibri" w:hAnsi="Calibri"/>
          <w:b w:val="0"/>
          <w:i w:val="0"/>
          <w:color w:val="222222"/>
          <w:sz w:val="22"/>
        </w:rPr>
        <w:t xml:space="preserve"> de induzir assimetria (gradiente volumétrico), independentemente do que o K-steep sugere.</w:t>
      </w:r>
    </w:p>
    <w:p>
      <w:pPr>
        <w:spacing w:before="80" w:after="120" w:line="276" w:lineRule="auto"/>
        <w:ind w:left="720" w:right="720"/>
      </w:pPr>
      <w:r>
        <w:rPr>
          <w:rFonts w:ascii="Calibri" w:hAnsi="Calibri"/>
          <w:b w:val="0"/>
          <w:i w:val="0"/>
          <w:color w:val="334E68"/>
          <w:sz w:val="21"/>
        </w:rPr>
        <w:t xml:space="preserve">[!TIP] </w:t>
      </w:r>
      <w:r>
        <w:rPr>
          <w:rFonts w:ascii="Calibri" w:hAnsi="Calibri"/>
          <w:b/>
          <w:i w:val="0"/>
          <w:color w:val="334E68"/>
          <w:sz w:val="21"/>
        </w:rPr>
        <w:t>Para o Clínico: Liberte-se da Tabela</w:t>
      </w:r>
      <w:r>
        <w:rPr>
          <w:rFonts w:ascii="Calibri" w:hAnsi="Calibri"/>
          <w:b w:val="0"/>
          <w:i w:val="0"/>
          <w:color w:val="334E68"/>
          <w:sz w:val="21"/>
        </w:rPr>
        <w:t xml:space="preserve"> A cirurgia moderna de anéis não é "escolher na lista". É uma </w:t>
      </w:r>
      <w:r>
        <w:rPr>
          <w:rFonts w:ascii="Calibri" w:hAnsi="Calibri"/>
          <w:b w:val="0"/>
          <w:i/>
          <w:color w:val="334E68"/>
          <w:sz w:val="21"/>
        </w:rPr>
        <w:t>receita vetorial</w:t>
      </w:r>
      <w:r>
        <w:rPr>
          <w:rFonts w:ascii="Calibri" w:hAnsi="Calibri"/>
          <w:b w:val="0"/>
          <w:i w:val="0"/>
          <w:color w:val="334E68"/>
          <w:sz w:val="21"/>
        </w:rPr>
        <w:t>. Se o doente precisa de muito aplanamento e pouco tratamento astigmático, pode usar um anel muito grosso mas muito curto. Se precisa de corrigir astigmatismo irregular num cone difuso sem mudar a miopia, usa um anel muito longo (ex: 320°) mas muito fino (ex: 150 $\mu m$). Os nomogramas travam esta liberdade criativa!</w:t>
      </w:r>
    </w:p>
    <w:p>
      <w:r>
        <w:rPr>
          <w:rFonts w:ascii="Calibri" w:hAnsi="Calibri"/>
          <w:b w:val="0"/>
          <w:i w:val="0"/>
          <w:color w:val="222222"/>
          <w:sz w:val="22"/>
        </w:rPr>
        <w:t>O planeamento do ICRS hoje encontra-se exatamente onde o cálculo de lentes intra-oculares (LIO) estava nos anos 1980 (altura das fórmulas puramente empíricas SRK). O salto para fórmulas modernas (Ray Tracing) reduziu o erro refrativo residual. A transição do nomograma comercial em papel para a Análise Vetorial Biomecânica Corneana (AVBC) propõe o mesmo salto metodológico para a cirurgia do ceratocone.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3.5 Resumo</w:t>
      </w:r>
    </w:p>
    <w:p>
      <w:r>
        <w:rPr>
          <w:rFonts w:ascii="Calibri" w:hAnsi="Calibri"/>
          <w:b w:val="0"/>
          <w:i w:val="0"/>
          <w:color w:val="222222"/>
          <w:sz w:val="22"/>
        </w:rPr>
        <w:t>Os nomogramas empíricos serviram como trampolim para a adoção massiva do ICRS. No entanto, o seu teto de eficácia foi atingido. Porque reduzem a complexidade elástica 3D do estroma a K-max e Equivalente Esférico, os nomogramas geram supercorreções, subcorreções e enorme divergência entre opiniões médicas perante o mesmo olho.</w:t>
      </w:r>
    </w:p>
    <w:p>
      <w:r>
        <w:rPr>
          <w:rFonts w:ascii="Calibri" w:hAnsi="Calibri"/>
          <w:b w:val="0"/>
          <w:i w:val="0"/>
          <w:color w:val="222222"/>
          <w:sz w:val="22"/>
        </w:rPr>
        <w:t>A transição para a biomecânica (Escola Volumétrica e modelo AVBC) permite prever a resposta corneana com base nas três frentes de alteração espacial ($V</w:t>
      </w:r>
      <w:r>
        <w:rPr>
          <w:rFonts w:ascii="Calibri" w:hAnsi="Calibri"/>
          <w:b w:val="0"/>
          <w:i/>
          <w:color w:val="222222"/>
          <w:sz w:val="22"/>
        </w:rPr>
        <w:t>R$, $V</w:t>
      </w:r>
      <w:r>
        <w:rPr>
          <w:rFonts w:ascii="Calibri" w:hAnsi="Calibri"/>
          <w:b w:val="0"/>
          <w:i w:val="0"/>
          <w:color w:val="222222"/>
          <w:sz w:val="22"/>
        </w:rPr>
        <w:t>T$ e $V_\tau$). Em vez de uma tabela gigante, o cirurgião passa a dispor de três alavancas mecânicas independentes para moldar o tecido à medida.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Referências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Alió JL, Shabayek MH, Artola A. Intracorneal ring segments for keratoconus correction: long-term follow-up. </w:t>
      </w:r>
      <w:r>
        <w:rPr>
          <w:rFonts w:ascii="Calibri" w:hAnsi="Calibri"/>
          <w:b w:val="0"/>
          <w:i/>
          <w:color w:val="222222"/>
          <w:sz w:val="22"/>
        </w:rPr>
        <w:t>J Cataract Refract Surg</w:t>
      </w:r>
      <w:r>
        <w:rPr>
          <w:rFonts w:ascii="Calibri" w:hAnsi="Calibri"/>
          <w:b w:val="0"/>
          <w:i w:val="0"/>
          <w:color w:val="222222"/>
          <w:sz w:val="22"/>
        </w:rPr>
        <w:t>. 2006;32(6):978–985.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Coskunseven E, Kymionis GD, Tsiklis NS, et al. One-year results of intrastromal corneal ring segment implantation (KeraRing) using femtosecond laser in patients with keratoconus. </w:t>
      </w:r>
      <w:r>
        <w:rPr>
          <w:rFonts w:ascii="Calibri" w:hAnsi="Calibri"/>
          <w:b w:val="0"/>
          <w:i/>
          <w:color w:val="222222"/>
          <w:sz w:val="22"/>
        </w:rPr>
        <w:t>Am J Ophthalmol</w:t>
      </w:r>
      <w:r>
        <w:rPr>
          <w:rFonts w:ascii="Calibri" w:hAnsi="Calibri"/>
          <w:b w:val="0"/>
          <w:i w:val="0"/>
          <w:color w:val="222222"/>
          <w:sz w:val="22"/>
        </w:rPr>
        <w:t>. 2008;145(5):775–779.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Dupps WJ Jr, Roberts CJ. Corneal biomechanics: a decade of progress. </w:t>
      </w:r>
      <w:r>
        <w:rPr>
          <w:rFonts w:ascii="Calibri" w:hAnsi="Calibri"/>
          <w:b w:val="0"/>
          <w:i/>
          <w:color w:val="222222"/>
          <w:sz w:val="22"/>
        </w:rPr>
        <w:t>J Cataract Refract Surg</w:t>
      </w:r>
      <w:r>
        <w:rPr>
          <w:rFonts w:ascii="Calibri" w:hAnsi="Calibri"/>
          <w:b w:val="0"/>
          <w:i w:val="0"/>
          <w:color w:val="222222"/>
          <w:sz w:val="22"/>
        </w:rPr>
        <w:t>. 2014;40(3):333–339.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Ferrara G, Torquetti L, Ferrara P. Long-term follow-up of intrastromal corneal ring segments in keratoconus. </w:t>
      </w:r>
      <w:r>
        <w:rPr>
          <w:rFonts w:ascii="Calibri" w:hAnsi="Calibri"/>
          <w:b w:val="0"/>
          <w:i/>
          <w:color w:val="222222"/>
          <w:sz w:val="22"/>
        </w:rPr>
        <w:t>J Refract Surg</w:t>
      </w:r>
      <w:r>
        <w:rPr>
          <w:rFonts w:ascii="Calibri" w:hAnsi="Calibri"/>
          <w:b w:val="0"/>
          <w:i w:val="0"/>
          <w:color w:val="222222"/>
          <w:sz w:val="22"/>
        </w:rPr>
        <w:t>. 2011;27(9):702–703.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Piñero DP, Alio JL, Teus MA, Barraquer RI, Uceda-Montañés A. Modeling the intracorneal ring segment effect in keratoconus using refractive, keratometric, and corneal aberrometric data. </w:t>
      </w:r>
      <w:r>
        <w:rPr>
          <w:rFonts w:ascii="Calibri" w:hAnsi="Calibri"/>
          <w:b w:val="0"/>
          <w:i/>
          <w:color w:val="222222"/>
          <w:sz w:val="22"/>
        </w:rPr>
        <w:t>Invest Ophthalmol Vis Sci</w:t>
      </w:r>
      <w:r>
        <w:rPr>
          <w:rFonts w:ascii="Calibri" w:hAnsi="Calibri"/>
          <w:b w:val="0"/>
          <w:i w:val="0"/>
          <w:color w:val="222222"/>
          <w:sz w:val="22"/>
        </w:rPr>
        <w:t>. 2010;51(11):5583–5591.</w:t>
      </w:r>
    </w:p>
    <w:p>
      <w:pPr>
        <w:pStyle w:val="ListNumber"/>
        <w:spacing w:before="40" w:after="80" w:line="276" w:lineRule="auto"/>
      </w:pPr>
      <w:r>
        <w:rPr>
          <w:rFonts w:ascii="Calibri" w:hAnsi="Calibri"/>
          <w:b w:val="0"/>
          <w:i w:val="0"/>
          <w:color w:val="222222"/>
          <w:sz w:val="22"/>
        </w:rPr>
        <w:t xml:space="preserve">Torquetti L, Ferrara P. Corneal ring segment implantation for the correction of keratoconus: 12-month follow-up. </w:t>
      </w:r>
      <w:r>
        <w:rPr>
          <w:rFonts w:ascii="Calibri" w:hAnsi="Calibri"/>
          <w:b w:val="0"/>
          <w:i/>
          <w:color w:val="222222"/>
          <w:sz w:val="22"/>
        </w:rPr>
        <w:t>J Emmetropia</w:t>
      </w:r>
      <w:r>
        <w:rPr>
          <w:rFonts w:ascii="Calibri" w:hAnsi="Calibri"/>
          <w:b w:val="0"/>
          <w:i w:val="0"/>
          <w:color w:val="222222"/>
          <w:sz w:val="22"/>
        </w:rPr>
        <w:t>. 2009;1(1):22–28.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B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after="80"/>
      <w:contextualSpacing/>
    </w:pPr>
    <w:rPr>
      <w:rFonts w:ascii="Calibri" w:hAnsi="Calibri"/>
      <w:color w:val="22222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76" w:lineRule="auto" w:after="80"/>
      <w:contextualSpacing/>
    </w:pPr>
    <w:rPr>
      <w:rFonts w:ascii="Calibri" w:hAnsi="Calibri"/>
      <w:color w:val="22222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