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rPr>
          <w:rFonts w:ascii="Calibri" w:hAnsi="Calibri"/>
          <w:b w:val="0"/>
          <w:i w:val="0"/>
          <w:color w:val="1B365D"/>
          <w:sz w:val="36"/>
        </w:rPr>
        <w:t>Capítulo 4 — Os Três Domínios da Avaliação do ICRS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4.1 Introdução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A avaliação clínica de uma córnea com ceratocone antes do implante de segmento de anel intraestromal (ICRS) tem seguido tradicionalmente um paradigma binário: o cirurgião determina se a ectasia está presente e, em caso afirmativo, seleciona uma configuração de anel a partir de um nomograma empírico. Esta abordagem reduz a complexidade da biomecânica da córnea a um mero exercício de tabela. O presente capítulo apresenta um modelo de avaliação trimodal e sistemático — designado pelos domínios </w:t>
      </w:r>
      <w:r>
        <w:rPr>
          <w:rFonts w:ascii="Calibri" w:hAnsi="Calibri"/>
          <w:b/>
          <w:i w:val="0"/>
          <w:color w:val="222222"/>
          <w:sz w:val="22"/>
        </w:rPr>
        <w:t>Óptico (O)</w:t>
      </w:r>
      <w:r>
        <w:rPr>
          <w:rFonts w:ascii="Calibri" w:hAnsi="Calibri"/>
          <w:b w:val="0"/>
          <w:i w:val="0"/>
          <w:color w:val="222222"/>
          <w:sz w:val="22"/>
        </w:rPr>
        <w:t xml:space="preserve">, </w:t>
      </w:r>
      <w:r>
        <w:rPr>
          <w:rFonts w:ascii="Calibri" w:hAnsi="Calibri"/>
          <w:b/>
          <w:i w:val="0"/>
          <w:color w:val="222222"/>
          <w:sz w:val="22"/>
        </w:rPr>
        <w:t>Topográfico (T)</w:t>
      </w:r>
      <w:r>
        <w:rPr>
          <w:rFonts w:ascii="Calibri" w:hAnsi="Calibri"/>
          <w:b w:val="0"/>
          <w:i w:val="0"/>
          <w:color w:val="222222"/>
          <w:sz w:val="22"/>
        </w:rPr>
        <w:t xml:space="preserve"> e </w:t>
      </w:r>
      <w:r>
        <w:rPr>
          <w:rFonts w:ascii="Calibri" w:hAnsi="Calibri"/>
          <w:b/>
          <w:i w:val="0"/>
          <w:color w:val="222222"/>
          <w:sz w:val="22"/>
        </w:rPr>
        <w:t>Biomecânico (B)</w:t>
      </w:r>
      <w:r>
        <w:rPr>
          <w:rFonts w:ascii="Calibri" w:hAnsi="Calibri"/>
          <w:b w:val="0"/>
          <w:i w:val="0"/>
          <w:color w:val="222222"/>
          <w:sz w:val="22"/>
        </w:rPr>
        <w:t>.</w:t>
      </w:r>
    </w:p>
    <w:p>
      <w:r>
        <w:rPr>
          <w:rFonts w:ascii="Calibri" w:hAnsi="Calibri"/>
          <w:b w:val="0"/>
          <w:i w:val="0"/>
          <w:color w:val="222222"/>
          <w:sz w:val="22"/>
        </w:rPr>
        <w:t>As três perguntas estruturais são: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O paciente enxergará melhor? (Módulo O)</w:t>
      </w:r>
      <w:r>
        <w:rPr>
          <w:rFonts w:ascii="Calibri" w:hAnsi="Calibri"/>
          <w:b w:val="0"/>
          <w:i w:val="0"/>
          <w:color w:val="222222"/>
          <w:sz w:val="22"/>
        </w:rPr>
        <w:t xml:space="preserve"> A prioridade máxima é óptica. Se a degradação visual do doente não for causada pelas aberrações que o anel é capaz de corrigir (coma e astigmatismo de baixa ordem), a cirurgia falhará funcionalmente.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Onde está a ectasia? (Módulo T)</w:t>
      </w:r>
      <w:r>
        <w:rPr>
          <w:rFonts w:ascii="Calibri" w:hAnsi="Calibri"/>
          <w:b w:val="0"/>
          <w:i w:val="0"/>
          <w:color w:val="222222"/>
          <w:sz w:val="22"/>
        </w:rPr>
        <w:t xml:space="preserve"> A topografia não se resume ao K-max. O foco deve ser o </w:t>
      </w:r>
      <w:r>
        <w:rPr>
          <w:rFonts w:ascii="Calibri" w:hAnsi="Calibri"/>
          <w:b/>
          <w:i w:val="0"/>
          <w:color w:val="222222"/>
          <w:sz w:val="22"/>
        </w:rPr>
        <w:t>Eixo Neutro Mecânico (ENM)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o verdadeiro meridiano de fraqueza estrutural.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Como o cirurgião deve agir? (Módulo B)</w:t>
      </w:r>
      <w:r>
        <w:rPr>
          <w:rFonts w:ascii="Calibri" w:hAnsi="Calibri"/>
          <w:b w:val="0"/>
          <w:i w:val="0"/>
          <w:color w:val="222222"/>
          <w:sz w:val="22"/>
        </w:rPr>
        <w:t xml:space="preserve"> Mapeia-se a intenção cirúrgica na tríade vetorial: Aplanar ($V</w:t>
      </w:r>
      <w:r>
        <w:rPr>
          <w:rFonts w:ascii="Calibri" w:hAnsi="Calibri"/>
          <w:b w:val="0"/>
          <w:i/>
          <w:color w:val="222222"/>
          <w:sz w:val="22"/>
        </w:rPr>
        <w:t>R$), Regularizar ($V</w:t>
      </w:r>
      <w:r>
        <w:rPr>
          <w:rFonts w:ascii="Calibri" w:hAnsi="Calibri"/>
          <w:b w:val="0"/>
          <w:i w:val="0"/>
          <w:color w:val="222222"/>
          <w:sz w:val="22"/>
        </w:rPr>
        <w:t>T$) ou Reposicionar ($V_\tau$).</w:t>
      </w:r>
    </w:p>
    <w:p>
      <w:pPr>
        <w:spacing w:before="80" w:after="120" w:line="276" w:lineRule="auto"/>
        <w:ind w:left="720" w:right="720"/>
      </w:pPr>
      <w:r>
        <w:rPr>
          <w:rFonts w:ascii="Calibri" w:hAnsi="Calibri"/>
          <w:b w:val="0"/>
          <w:i w:val="0"/>
          <w:color w:val="334E68"/>
          <w:sz w:val="21"/>
        </w:rPr>
        <w:t xml:space="preserve">[!NOTE] </w:t>
      </w:r>
      <w:r>
        <w:rPr>
          <w:rFonts w:ascii="Calibri" w:hAnsi="Calibri"/>
          <w:b/>
          <w:i w:val="0"/>
          <w:color w:val="334E68"/>
          <w:sz w:val="21"/>
        </w:rPr>
        <w:t>Para o Clínico: O Paradigma O-T-B</w:t>
      </w:r>
      <w:r>
        <w:rPr>
          <w:rFonts w:ascii="Calibri" w:hAnsi="Calibri"/>
          <w:b w:val="0"/>
          <w:i w:val="0"/>
          <w:color w:val="334E68"/>
          <w:sz w:val="21"/>
        </w:rPr>
        <w:t xml:space="preserve"> Nunca pule etapas. Muitos cirurgiões saltam diretamente para a geometria do anel (Módulo B) baseados apenas num mapa tangencial (Módulo T), esquecendo-se de perguntar se as aberrações ópticas do doente são sequer "aneláveis" (Módulo O). Um anel num olho com dominância de aberração de trevo (trefoil) não trará melhoria visual, mesmo que achate a córnea.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4.2 Módulo O — Avaliação de Coerência Óptica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4.2.1 Justificativa e o Índice de Coerência Axial (ICE)</w:t>
      </w:r>
    </w:p>
    <w:p>
      <w:r>
        <w:rPr>
          <w:rFonts w:ascii="Calibri" w:hAnsi="Calibri"/>
          <w:b w:val="0"/>
          <w:i w:val="0"/>
          <w:color w:val="222222"/>
          <w:sz w:val="22"/>
        </w:rPr>
        <w:t>A base teórica para o Módulo O reside na aberrometria. O anel intraestromal é fundamentalmente uma ferramenta de baixa e média ordem: atua de forma maciça sobre o desfoque ($Z</w:t>
      </w:r>
      <w:r>
        <w:rPr>
          <w:rFonts w:ascii="Calibri" w:hAnsi="Calibri"/>
          <w:b w:val="0"/>
          <w:i/>
          <w:color w:val="222222"/>
          <w:sz w:val="22"/>
        </w:rPr>
        <w:t>2^0$), o astigmatismo ($Z</w:t>
      </w:r>
      <w:r>
        <w:rPr>
          <w:rFonts w:ascii="Calibri" w:hAnsi="Calibri"/>
          <w:b w:val="0"/>
          <w:i w:val="0"/>
          <w:color w:val="222222"/>
          <w:sz w:val="22"/>
        </w:rPr>
        <w:t>2^2$) e o coma ($Z_3^1$). Aberrações de altíssima ordem ou astigmatismos irregulares causados por cicatrizes epiteliais permanecem intocados.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Para ligar a topografia à visão, a AVBC introduz o </w:t>
      </w:r>
      <w:r>
        <w:rPr>
          <w:rFonts w:ascii="Calibri" w:hAnsi="Calibri"/>
          <w:b/>
          <w:i w:val="0"/>
          <w:color w:val="222222"/>
          <w:sz w:val="22"/>
        </w:rPr>
        <w:t>Índice de Coerência Axial ($ICE_{min}$)</w:t>
      </w:r>
      <w:r>
        <w:rPr>
          <w:rFonts w:ascii="Calibri" w:hAnsi="Calibri"/>
          <w:b w:val="0"/>
          <w:i w:val="0"/>
          <w:color w:val="222222"/>
          <w:sz w:val="22"/>
        </w:rPr>
        <w:t>, que mede o ângulo entre o eixo mais curvo (topográfico) e o eixo do coma (óptico):</w:t>
      </w:r>
    </w:p>
    <w:p>
      <w:r>
        <w:rPr>
          <w:rFonts w:ascii="Calibri" w:hAnsi="Calibri"/>
          <w:b w:val="0"/>
          <w:i w:val="0"/>
          <w:color w:val="222222"/>
          <w:sz w:val="22"/>
        </w:rPr>
        <w:t>$$ICE</w:t>
      </w:r>
      <w:r>
        <w:rPr>
          <w:rFonts w:ascii="Calibri" w:hAnsi="Calibri"/>
          <w:b w:val="0"/>
          <w:i/>
          <w:color w:val="222222"/>
          <w:sz w:val="22"/>
        </w:rPr>
        <w:t>{min} = |\theta</w:t>
      </w:r>
      <w:r>
        <w:rPr>
          <w:rFonts w:ascii="Calibri" w:hAnsi="Calibri"/>
          <w:b w:val="0"/>
          <w:i w:val="0"/>
          <w:color w:val="222222"/>
          <w:sz w:val="22"/>
        </w:rPr>
        <w:t>{topo} - \theta_{coma}|$$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4.2.2 Critérios de Avaliação</w:t>
      </w:r>
    </w:p>
    <w:p>
      <w:r>
        <w:rPr>
          <w:rFonts w:ascii="Calibri" w:hAnsi="Calibri"/>
          <w:b w:val="0"/>
          <w:i w:val="0"/>
          <w:color w:val="222222"/>
          <w:sz w:val="22"/>
        </w:rPr>
        <w:t>O Módulo O avalia a coerência óptica usando quatro parâmetros centrais (pupila 6 mm):</w:t>
      </w:r>
    </w:p>
    <w:p>
      <w:r>
        <w:rPr>
          <w:rFonts w:ascii="Calibri" w:hAnsi="Calibri"/>
          <w:b/>
          <w:i w:val="0"/>
          <w:color w:val="222222"/>
          <w:sz w:val="22"/>
        </w:rPr>
        <w:t>Tabela 5.1.</w:t>
      </w:r>
      <w:r>
        <w:rPr>
          <w:rFonts w:ascii="Calibri" w:hAnsi="Calibri"/>
          <w:b w:val="0"/>
          <w:i w:val="0"/>
          <w:color w:val="222222"/>
          <w:sz w:val="22"/>
        </w:rPr>
        <w:t xml:space="preserve"> Critérios de triagem óptica.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Critério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Favorável (O+)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Intermediário (O~)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Desfavorável (O−)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$ICE_{min}$ (°)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&lt; 15° (ICE Alto)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15°–45° (Moderado)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&gt; 45° (ICE Baixo)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RMS de Coma ($\mu m$)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&lt; 2.50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2.50–3.50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&gt; 3.50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$\Delta$ Eixo (Refração vs K)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&lt; 15°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15°–30°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&gt; 30°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RMS HOA Total ($\mu m$)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&lt; 2.0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2.0–4.0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&gt; 4.0</w:t>
            </w:r>
          </w:p>
        </w:tc>
      </w:tr>
    </w:tbl>
    <w:p>
      <w:pPr>
        <w:spacing w:before="120" w:after="120"/>
      </w:pPr>
    </w:p>
    <w:p>
      <w:pPr>
        <w:spacing w:before="80" w:after="120" w:line="276" w:lineRule="auto"/>
        <w:ind w:left="720" w:right="720"/>
      </w:pPr>
      <w:r>
        <w:rPr>
          <w:rFonts w:ascii="Calibri" w:hAnsi="Calibri"/>
          <w:b w:val="0"/>
          <w:i w:val="0"/>
          <w:color w:val="334E68"/>
          <w:sz w:val="21"/>
        </w:rPr>
        <w:t xml:space="preserve">[!WARNING] </w:t>
      </w:r>
      <w:r>
        <w:rPr>
          <w:rFonts w:ascii="Calibri" w:hAnsi="Calibri"/>
          <w:b/>
          <w:i w:val="0"/>
          <w:color w:val="334E68"/>
          <w:sz w:val="21"/>
        </w:rPr>
        <w:t>Para o Clínico: Regra de Ouro do Módulo O</w:t>
      </w:r>
      <w:r>
        <w:rPr>
          <w:rFonts w:ascii="Calibri" w:hAnsi="Calibri"/>
          <w:b w:val="0"/>
          <w:i w:val="0"/>
          <w:color w:val="334E68"/>
          <w:sz w:val="21"/>
        </w:rPr>
        <w:t xml:space="preserve"> Um paciente classificado como </w:t>
      </w:r>
      <w:r>
        <w:rPr>
          <w:rFonts w:ascii="Calibri" w:hAnsi="Calibri"/>
          <w:b/>
          <w:i w:val="0"/>
          <w:color w:val="334E68"/>
          <w:sz w:val="21"/>
        </w:rPr>
        <w:t>O−</w:t>
      </w:r>
      <w:r>
        <w:rPr>
          <w:rFonts w:ascii="Calibri" w:hAnsi="Calibri"/>
          <w:b w:val="0"/>
          <w:i w:val="0"/>
          <w:color w:val="334E68"/>
          <w:sz w:val="21"/>
        </w:rPr>
        <w:t xml:space="preserve"> (Desfavorável) em </w:t>
      </w:r>
      <w:r>
        <w:rPr>
          <w:rFonts w:ascii="Calibri" w:hAnsi="Calibri"/>
          <w:b w:val="0"/>
          <w:i/>
          <w:color w:val="334E68"/>
          <w:sz w:val="21"/>
        </w:rPr>
        <w:t>qualquer</w:t>
      </w:r>
      <w:r>
        <w:rPr>
          <w:rFonts w:ascii="Calibri" w:hAnsi="Calibri"/>
          <w:b w:val="0"/>
          <w:i w:val="0"/>
          <w:color w:val="334E68"/>
          <w:sz w:val="21"/>
        </w:rPr>
        <w:t xml:space="preserve"> critério não é um bom candidato para ICRS primário. Nenhuma otimização de nomograma salvará o resultado. O encaminhamento correto seria DALK, lentes esclerais ou uma cirurgia combinada (ex: CAIRS + Crosslinking).</w:t>
      </w:r>
    </w:p>
    <w:p>
      <w:r>
        <w:rPr>
          <w:rFonts w:ascii="Calibri" w:hAnsi="Calibri"/>
          <w:b w:val="0"/>
          <w:i w:val="0"/>
          <w:color w:val="222222"/>
          <w:sz w:val="22"/>
        </w:rPr>
        <w:t>Estudos com mais de 1.100 olhos provaram que pacientes com ICE Elevado ($ICE_{min} &lt; 15^\circ$) têm um ganho de acuidade visual corrigida 2.6 vezes superior aos pacientes com ICE Baixo ($&gt; 45^\circ$).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4.3 Módulo T — Morfologia Topográfica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4.3.1 Arquétipos Morfológicos</w:t>
      </w:r>
    </w:p>
    <w:p>
      <w:r>
        <w:rPr>
          <w:rFonts w:ascii="Calibri" w:hAnsi="Calibri"/>
          <w:b w:val="0"/>
          <w:i w:val="0"/>
          <w:color w:val="222222"/>
          <w:sz w:val="22"/>
        </w:rPr>
        <w:t>A análise topográfica vai além do K-max, que é frequentemente um artefato da protrusão cônica. O Módulo T exige a classificação em arquétipos espaciais, que ditarão a configuração macro do implante: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Oval Central:</w:t>
      </w:r>
      <w:r>
        <w:rPr>
          <w:rFonts w:ascii="Calibri" w:hAnsi="Calibri"/>
          <w:b w:val="0"/>
          <w:i w:val="0"/>
          <w:color w:val="222222"/>
          <w:sz w:val="22"/>
        </w:rPr>
        <w:t xml:space="preserve"> Simétrico. Requer aplanamento concêntrico (segmentos simétricos).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Mamilo Inferior (Nipple):</w:t>
      </w:r>
      <w:r>
        <w:rPr>
          <w:rFonts w:ascii="Calibri" w:hAnsi="Calibri"/>
          <w:b w:val="0"/>
          <w:i w:val="0"/>
          <w:color w:val="222222"/>
          <w:sz w:val="22"/>
        </w:rPr>
        <w:t xml:space="preserve"> Deslocado. O coma domina e exige anéis assimétricos para reposicionamento (o segmento mais espesso empurra o cone para cima).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Crescente Paracentral:</w:t>
      </w:r>
      <w:r>
        <w:rPr>
          <w:rFonts w:ascii="Calibri" w:hAnsi="Calibri"/>
          <w:b w:val="0"/>
          <w:i w:val="0"/>
          <w:color w:val="222222"/>
          <w:sz w:val="22"/>
        </w:rPr>
        <w:t xml:space="preserve"> Domínio do astigmatismo. Exige anéis longos (varredura angular &gt; 210°) para "cintar" o astigmatismo crescente.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Globo (&gt; 60 D):</w:t>
      </w:r>
      <w:r>
        <w:rPr>
          <w:rFonts w:ascii="Calibri" w:hAnsi="Calibri"/>
          <w:b w:val="0"/>
          <w:i w:val="0"/>
          <w:color w:val="222222"/>
          <w:sz w:val="22"/>
        </w:rPr>
        <w:t xml:space="preserve"> Ectasia difusa severa. Em geral, resposta pobre aos ICRS.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4.3.2 O Eixo Neutro Mecânico (ENM)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A inovação biomecânica deste módulo é a substituição do Eixo Mais Curvo pelo </w:t>
      </w:r>
      <w:r>
        <w:rPr>
          <w:rFonts w:ascii="Calibri" w:hAnsi="Calibri"/>
          <w:b/>
          <w:i w:val="0"/>
          <w:color w:val="222222"/>
          <w:sz w:val="22"/>
        </w:rPr>
        <w:t>Eixo Neutro Mecânico (ENM)</w:t>
      </w:r>
      <w:r>
        <w:rPr>
          <w:rFonts w:ascii="Calibri" w:hAnsi="Calibri"/>
          <w:b w:val="0"/>
          <w:i w:val="0"/>
          <w:color w:val="222222"/>
          <w:sz w:val="22"/>
        </w:rPr>
        <w:t xml:space="preserve"> no planeamento do meridiano de implante.</w:t>
      </w:r>
    </w:p>
    <w:p>
      <w:r>
        <w:rPr>
          <w:rFonts w:ascii="Calibri" w:hAnsi="Calibri"/>
          <w:b w:val="0"/>
          <w:i w:val="0"/>
          <w:color w:val="222222"/>
          <w:sz w:val="22"/>
        </w:rPr>
        <w:t>O ENM é o eixo onde ocorre o deslocamento posterior estromal máximo. Pode ser clinicamente estimado localizando o pico no mapa de diferença de Elevação Posterior (BFS).</w:t>
      </w:r>
    </w:p>
    <w:p>
      <w:pPr>
        <w:spacing w:before="80" w:after="120" w:line="276" w:lineRule="auto"/>
        <w:ind w:left="720" w:right="720"/>
      </w:pPr>
      <w:r>
        <w:rPr>
          <w:rFonts w:ascii="Calibri" w:hAnsi="Calibri"/>
          <w:b w:val="0"/>
          <w:i w:val="0"/>
          <w:color w:val="334E68"/>
          <w:sz w:val="21"/>
        </w:rPr>
        <w:t xml:space="preserve">[!TIP] </w:t>
      </w:r>
      <w:r>
        <w:rPr>
          <w:rFonts w:ascii="Calibri" w:hAnsi="Calibri"/>
          <w:b/>
          <w:i w:val="0"/>
          <w:color w:val="334E68"/>
          <w:sz w:val="21"/>
        </w:rPr>
        <w:t>Para o Clínico: Pare de implantar no Eixo Mais Curvo</w:t>
      </w:r>
      <w:r>
        <w:rPr>
          <w:rFonts w:ascii="Calibri" w:hAnsi="Calibri"/>
          <w:b w:val="0"/>
          <w:i w:val="0"/>
          <w:color w:val="334E68"/>
          <w:sz w:val="21"/>
        </w:rPr>
        <w:t xml:space="preserve"> Cerca de 40% das córneas ectáticas têm uma divergência superior a 10° entre o eixo "mais vermelho" na topografia anterior (K-steep) e a real fraqueza estrutural (Elevação Posterior). Se implantar o anel alinhado ao K-steep num cone excêntrico, perderá cerca de 15% da capacidade de regularização. </w:t>
      </w:r>
      <w:r>
        <w:rPr>
          <w:rFonts w:ascii="Calibri" w:hAnsi="Calibri"/>
          <w:b/>
          <w:i w:val="0"/>
          <w:color w:val="334E68"/>
          <w:sz w:val="21"/>
        </w:rPr>
        <w:t>Alinhe a incisão e a bissetriz do implante sempre com o ENM!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4.4 Módulo B — Seleção Biomecânica (Escola Volumétrica)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O Módulo B traduz a intenção clínica nos três vetores validados pela campanha computacional massiva (FEBio, N=377), consolidando a transição empírica para a </w:t>
      </w:r>
      <w:r>
        <w:rPr>
          <w:rFonts w:ascii="Calibri" w:hAnsi="Calibri"/>
          <w:b/>
          <w:i w:val="0"/>
          <w:color w:val="222222"/>
          <w:sz w:val="22"/>
        </w:rPr>
        <w:t>Escola Volumétrica</w:t>
      </w:r>
      <w:r>
        <w:rPr>
          <w:rFonts w:ascii="Calibri" w:hAnsi="Calibri"/>
          <w:b w:val="0"/>
          <w:i w:val="0"/>
          <w:color w:val="222222"/>
          <w:sz w:val="22"/>
        </w:rPr>
        <w:t>:</w:t>
      </w:r>
    </w:p>
    <w:p>
      <w:r>
        <w:rPr>
          <w:rFonts w:ascii="Calibri" w:hAnsi="Calibri"/>
          <w:b/>
          <w:i w:val="0"/>
          <w:color w:val="222222"/>
          <w:sz w:val="22"/>
        </w:rPr>
        <w:t>Tabela 5.2.</w:t>
      </w:r>
      <w:r>
        <w:rPr>
          <w:rFonts w:ascii="Calibri" w:hAnsi="Calibri"/>
          <w:b w:val="0"/>
          <w:i w:val="0"/>
          <w:color w:val="222222"/>
          <w:sz w:val="22"/>
        </w:rPr>
        <w:t xml:space="preserve"> A Tríade Biomecânica do AVBC.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Intenção Clínica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Vetor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Motor Biomecânico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Parâmetro de Controle do Anel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Aplanar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$V_R$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Injeção de Volume Total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Volume do implante (Espessura e Arco)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Regularizar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$V_T$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Cintagem Circunferencial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Comprimento de Arco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Reposicionar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$V_\tau$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Momento de Torque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Gradiente (Assimetria Esquerda-Direita)</w:t>
            </w:r>
          </w:p>
        </w:tc>
      </w:tr>
    </w:tbl>
    <w:p>
      <w:pPr>
        <w:spacing w:before="120" w:after="120"/>
      </w:pP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4.4.1 $V_R$: O Vetor de Aplanamento (Volume)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O erro fatal dos nomogramas tradicionais era tratar o ICRS apenas como uma cinta elástica (Paradoxo do Deslocamento). O Módulo B adota formalmente a lei volumétrica: o aplanamento ($V_R$, medido clinicamente como $\Delta K$) é impulsionado pelo </w:t>
      </w:r>
      <w:r>
        <w:rPr>
          <w:rFonts w:ascii="Calibri" w:hAnsi="Calibri"/>
          <w:b/>
          <w:i w:val="0"/>
          <w:color w:val="222222"/>
          <w:sz w:val="22"/>
        </w:rPr>
        <w:t>Volume Injetado</w:t>
      </w:r>
      <w:r>
        <w:rPr>
          <w:rFonts w:ascii="Calibri" w:hAnsi="Calibri"/>
          <w:b w:val="0"/>
          <w:i w:val="0"/>
          <w:color w:val="222222"/>
          <w:sz w:val="22"/>
        </w:rPr>
        <w:t>.</w:t>
      </w:r>
    </w:p>
    <w:p>
      <w:r>
        <w:rPr>
          <w:rFonts w:ascii="Calibri" w:hAnsi="Calibri"/>
          <w:b w:val="0"/>
          <w:i w:val="0"/>
          <w:color w:val="222222"/>
          <w:sz w:val="22"/>
        </w:rPr>
        <w:t>Quanto mais volume sólido se insere sob as lamelas da média-periferia, mais estas são empurradas fisicamente para a frente, o que resulta num estiramento e aplanamento compensatório da córnea central.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Portanto, para maximizar o aplanamento, o cirurgião deve maximizar o Volume: quer aumentando a </w:t>
      </w:r>
      <w:r>
        <w:rPr>
          <w:rFonts w:ascii="Calibri" w:hAnsi="Calibri"/>
          <w:b w:val="0"/>
          <w:i/>
          <w:color w:val="222222"/>
          <w:sz w:val="22"/>
        </w:rPr>
        <w:t>espessura</w:t>
      </w:r>
      <w:r>
        <w:rPr>
          <w:rFonts w:ascii="Calibri" w:hAnsi="Calibri"/>
          <w:b w:val="0"/>
          <w:i w:val="0"/>
          <w:color w:val="222222"/>
          <w:sz w:val="22"/>
        </w:rPr>
        <w:t xml:space="preserve">, quer aumentando o </w:t>
      </w:r>
      <w:r>
        <w:rPr>
          <w:rFonts w:ascii="Calibri" w:hAnsi="Calibri"/>
          <w:b w:val="0"/>
          <w:i/>
          <w:color w:val="222222"/>
          <w:sz w:val="22"/>
        </w:rPr>
        <w:t>comprimento de arco</w:t>
      </w:r>
      <w:r>
        <w:rPr>
          <w:rFonts w:ascii="Calibri" w:hAnsi="Calibri"/>
          <w:b w:val="0"/>
          <w:i w:val="0"/>
          <w:color w:val="222222"/>
          <w:sz w:val="22"/>
        </w:rPr>
        <w:t xml:space="preserve"> (ex: um anel de 210° aplana muito mais o equivalente esférico do que um de 160° com a mesma espessura, porque injeta mais material).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4.4.2 $V_T$: O Vetor de Regularização (Cintagem)</w:t>
      </w:r>
    </w:p>
    <w:p>
      <w:r>
        <w:rPr>
          <w:rFonts w:ascii="Calibri" w:hAnsi="Calibri"/>
          <w:b w:val="0"/>
          <w:i w:val="0"/>
          <w:color w:val="222222"/>
          <w:sz w:val="22"/>
        </w:rPr>
        <w:t>Para reduzir o astigmatismo irregular (cilindro), o anel atua como uma barreira de restrição (cintagem). A tensão de relaxamento ($V_T$) cai de forma perfeitamente linear em relação ao aumento do comprimento de arco. Se o cone for um crescente largo que induz astigmatismo difuso, são necessários arcos longos (ex: 320° ou 210°+90°) para interceptar uniformemente as fibras circunferenciais deformadas.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4.4.3 $V_\tau$: O Vetor de Reposicionamento (Assimetria)</w:t>
      </w:r>
    </w:p>
    <w:p>
      <w:r>
        <w:rPr>
          <w:rFonts w:ascii="Calibri" w:hAnsi="Calibri"/>
          <w:b w:val="0"/>
          <w:i w:val="0"/>
          <w:color w:val="222222"/>
          <w:sz w:val="22"/>
        </w:rPr>
        <w:t>Se a topografia demonstrar um cone em Mamilo Inferior (alta aberração de coma), o centro óptico está descentrado. Anéis simétricos nunca corrigem isto ($V_\tau = 0$). O cirurgião deve invocar o Vetor de Torque através de anéis assimétricos (ex: progressivos 150-300 $\mu m$ ou pares 200/300). O gradiente de espessura (Diferencial de Massa) causa uma força de alavanca que repele o cone fisicamente para longe do lado mais espesso, centralizando a visão.</w:t>
      </w:r>
    </w:p>
    <w:p>
      <w:pPr>
        <w:spacing w:before="80" w:after="120" w:line="276" w:lineRule="auto"/>
        <w:ind w:left="720" w:right="720"/>
      </w:pPr>
      <w:r>
        <w:rPr>
          <w:rFonts w:ascii="Calibri" w:hAnsi="Calibri"/>
          <w:b w:val="0"/>
          <w:i w:val="0"/>
          <w:color w:val="334E68"/>
          <w:sz w:val="21"/>
        </w:rPr>
        <w:t xml:space="preserve">[!IMPORTANT] </w:t>
      </w:r>
      <w:r>
        <w:rPr>
          <w:rFonts w:ascii="Calibri" w:hAnsi="Calibri"/>
          <w:b/>
          <w:i w:val="0"/>
          <w:color w:val="334E68"/>
          <w:sz w:val="21"/>
        </w:rPr>
        <w:t>Para o Clínico: Resumo Operacional do Módulo B</w:t>
      </w:r>
      <w:r>
        <w:rPr>
          <w:rFonts w:ascii="Calibri" w:hAnsi="Calibri"/>
          <w:b w:val="0"/>
          <w:i w:val="0"/>
          <w:color w:val="334E68"/>
          <w:sz w:val="21"/>
        </w:rPr>
        <w:t xml:space="preserve"> 1. Precisa baixar a miopia (K-médio alto)? </w:t>
      </w:r>
      <w:r>
        <w:rPr>
          <w:rFonts w:ascii="Calibri" w:hAnsi="Calibri"/>
          <w:b/>
          <w:i w:val="0"/>
          <w:color w:val="334E68"/>
          <w:sz w:val="21"/>
        </w:rPr>
        <w:t>Injete Volume</w:t>
      </w:r>
      <w:r>
        <w:rPr>
          <w:rFonts w:ascii="Calibri" w:hAnsi="Calibri"/>
          <w:b w:val="0"/>
          <w:i w:val="0"/>
          <w:color w:val="334E68"/>
          <w:sz w:val="21"/>
        </w:rPr>
        <w:t xml:space="preserve"> (segmentos mais espessos ou arcos maiores). 2. Precisa matar o astigmatismo? </w:t>
      </w:r>
      <w:r>
        <w:rPr>
          <w:rFonts w:ascii="Calibri" w:hAnsi="Calibri"/>
          <w:b/>
          <w:i w:val="0"/>
          <w:color w:val="334E68"/>
          <w:sz w:val="21"/>
        </w:rPr>
        <w:t>Cintagem</w:t>
      </w:r>
      <w:r>
        <w:rPr>
          <w:rFonts w:ascii="Calibri" w:hAnsi="Calibri"/>
          <w:b w:val="0"/>
          <w:i w:val="0"/>
          <w:color w:val="334E68"/>
          <w:sz w:val="21"/>
        </w:rPr>
        <w:t xml:space="preserve"> (arcos de 210° ou 320° distribuem tensões homogeneamente). 3. Precisa centralizar o cone (reduzir coma)? </w:t>
      </w:r>
      <w:r>
        <w:rPr>
          <w:rFonts w:ascii="Calibri" w:hAnsi="Calibri"/>
          <w:b/>
          <w:i w:val="0"/>
          <w:color w:val="334E68"/>
          <w:sz w:val="21"/>
        </w:rPr>
        <w:t>Crie Assimetria</w:t>
      </w:r>
      <w:r>
        <w:rPr>
          <w:rFonts w:ascii="Calibri" w:hAnsi="Calibri"/>
          <w:b w:val="0"/>
          <w:i w:val="0"/>
          <w:color w:val="334E68"/>
          <w:sz w:val="21"/>
        </w:rPr>
        <w:t xml:space="preserve"> (ponha a parte grossa do anel onde o cone está, para o empurrar de volta ao centro).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4.4.4 Modulador Paquimétrico</w:t>
      </w:r>
    </w:p>
    <w:p>
      <w:r>
        <w:rPr>
          <w:rFonts w:ascii="Calibri" w:hAnsi="Calibri"/>
          <w:b w:val="0"/>
          <w:i w:val="0"/>
          <w:color w:val="222222"/>
          <w:sz w:val="22"/>
        </w:rPr>
        <w:t>Córneas mais finas (&lt; 430 $\mu m$) reagem de forma biomecanicamente mais violenta (amplificação de ~20% no $V_R$) ao mesmo volume inserido do que córneas espessas (&gt; 500 $\mu m$). A mesma configuração de anel num olho muito fino gera supercorreção.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4.5 Fluxo Clínico Integrado (Documentação)</w:t>
      </w:r>
    </w:p>
    <w:p>
      <w:r>
        <w:rPr>
          <w:rFonts w:ascii="Calibri" w:hAnsi="Calibri"/>
          <w:b w:val="0"/>
          <w:i w:val="0"/>
          <w:color w:val="222222"/>
          <w:sz w:val="22"/>
        </w:rPr>
        <w:t>O protocolo AVBC finaliza a consulta condensando a análise numa anotação cirúrgica auditável:</w:t>
      </w:r>
    </w:p>
    <w:p>
      <w:r>
        <w:rPr>
          <w:rFonts w:ascii="Calibri" w:hAnsi="Calibri"/>
          <w:b/>
          <w:i w:val="0"/>
          <w:color w:val="222222"/>
          <w:sz w:val="22"/>
        </w:rPr>
        <w:t>Exemplo de Perfil AVBC:</w:t>
      </w:r>
    </w:p>
    <w:p>
      <w:pPr>
        <w:spacing w:before="80" w:after="120" w:line="276" w:lineRule="auto"/>
        <w:ind w:left="720" w:right="720"/>
      </w:pPr>
      <w:r>
        <w:rPr>
          <w:rFonts w:ascii="Consolas" w:hAnsi="Consolas"/>
          <w:b w:val="0"/>
          <w:i w:val="0"/>
          <w:color w:val="A03030"/>
          <w:sz w:val="18"/>
        </w:rPr>
        <w:t>[O+] | T: Crescente Inferior, ENM 260° | B: Vol Elevado, Cintagem Ampla, Assimetria Nula -&gt; Arco 320° Simétrico (200 µm)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A prova de coerência foi validada (O+).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O eixo do implante foca a elevação posterior estrutural (ENM 260°), ignorando artefatos da superfície epitelial.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A biomecânica prescreveu uma barra circular única longa (320°) porque o Módulo B exige máxima cintagem (para tratar o astigmatismo do formato crescente) com volume moderado (para evitar superaplanar miopia). Sem necessidade de reposicionamento de ápice drástico, dispensa-se anéis progressivos.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B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B36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1B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