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5 — V_R: O Vetor Radial — A Escola Volumétrica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A resposta biomecânica da córnea com ceratocone ao implante de segmento de anel intraestromal (ICRS) tem sido há muito caracterizada na prática clínica por meio de um único resultado escalar: a alteração no poder ceratométrico, $\Delta K$. Embora essa métrica capture o efeito óptico líquido do procedimento, ela oculta a complexidade mecânica subjacente. O modelo de decomposição vetorial da AVBC divide o campo de deformação em três componentes ortogonais — radial ($V</w:t>
      </w:r>
      <w:r>
        <w:rPr>
          <w:rFonts w:ascii="Calibri" w:hAnsi="Calibri"/>
          <w:b w:val="0"/>
          <w:i/>
          <w:color w:val="222222"/>
          <w:sz w:val="22"/>
        </w:rPr>
        <w:t>R$), tangencial ($V</w:t>
      </w:r>
      <w:r>
        <w:rPr>
          <w:rFonts w:ascii="Calibri" w:hAnsi="Calibri"/>
          <w:b w:val="0"/>
          <w:i w:val="0"/>
          <w:color w:val="222222"/>
          <w:sz w:val="22"/>
        </w:rPr>
        <w:t>T$) e torsional ($V</w:t>
      </w:r>
      <w:r>
        <w:rPr>
          <w:rFonts w:ascii="Calibri" w:hAnsi="Calibri"/>
          <w:b w:val="0"/>
          <w:i/>
          <w:color w:val="222222"/>
          <w:sz w:val="22"/>
        </w:rPr>
        <w:t>\tau$). Este capítulo é dedicado ao $V</w:t>
      </w:r>
      <w:r>
        <w:rPr>
          <w:rFonts w:ascii="Calibri" w:hAnsi="Calibri"/>
          <w:b w:val="0"/>
          <w:i w:val="0"/>
          <w:color w:val="222222"/>
          <w:sz w:val="22"/>
        </w:rPr>
        <w:t>R$: o vetor de aplanamento radial que governa a correção da miopia e a redução do K-médio.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Historicamente, o aplanamento corneano foi frequentemente atribuído a uma misteriosa "tensão de arco" que puxava a córnea de forma circunferencial. No entanto, a modelagem de elementos finitos moderna, suportada pela observação clínica atenta, prova o contrário: o $V_R$ é governado pelo </w:t>
      </w:r>
      <w:r>
        <w:rPr>
          <w:rFonts w:ascii="Calibri" w:hAnsi="Calibri"/>
          <w:b/>
          <w:i w:val="0"/>
          <w:color w:val="222222"/>
          <w:sz w:val="22"/>
        </w:rPr>
        <w:t>Efeito Volumétrico</w:t>
      </w:r>
      <w:r>
        <w:rPr>
          <w:rFonts w:ascii="Calibri" w:hAnsi="Calibri"/>
          <w:b w:val="0"/>
          <w:i w:val="0"/>
          <w:color w:val="222222"/>
          <w:sz w:val="22"/>
        </w:rPr>
        <w:t>. O anel atua como um espaçador físico implantado profundamente no estroma. Ao ser forçado entre as lamelas corneanas, o acrílico rígido eleva mecanicamente a média-periferia da córnea. O comprimento fixo do arco corneano anterior é assim forçado a redistribuir-se sobre este "alto", repuxando e aplanando o centro da córnea (Kling &amp; Marcos, 2013).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capítulo prova, através da simulação rigorosa de restrição expansiva no FEBio, que a magnitude deste aplanamento central ($V</w:t>
      </w:r>
      <w:r>
        <w:rPr>
          <w:rFonts w:ascii="Calibri" w:hAnsi="Calibri"/>
          <w:b w:val="0"/>
          <w:i/>
          <w:color w:val="222222"/>
          <w:sz w:val="22"/>
        </w:rPr>
        <w:t>R$) depende intrinsecamente do volume total inserido na córnea. Consequentemente, o $V</w:t>
      </w:r>
      <w:r>
        <w:rPr>
          <w:rFonts w:ascii="Calibri" w:hAnsi="Calibri"/>
          <w:b w:val="0"/>
          <w:i w:val="0"/>
          <w:color w:val="222222"/>
          <w:sz w:val="22"/>
        </w:rPr>
        <w:t xml:space="preserve">R$ é altamente sensível não apenas à espessura da seção transversal do anel, mas também ao seu </w:t>
      </w:r>
      <w:r>
        <w:rPr>
          <w:rFonts w:ascii="Calibri" w:hAnsi="Calibri"/>
          <w:b/>
          <w:i w:val="0"/>
          <w:color w:val="222222"/>
          <w:sz w:val="22"/>
        </w:rPr>
        <w:t>comprimento de arco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5.2 O Mecanismo do Efeito Volumétrico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5.2.1 Espaçador e Geometria da Cúpula</w:t>
      </w:r>
    </w:p>
    <w:p>
      <w:r>
        <w:rPr>
          <w:rFonts w:ascii="Calibri" w:hAnsi="Calibri"/>
          <w:b w:val="0"/>
          <w:i w:val="0"/>
          <w:color w:val="222222"/>
          <w:sz w:val="22"/>
        </w:rPr>
        <w:t>O vetor $V_R$ captura a mudança na curvatura esférica central (K-médio). Para entender porque um ICRS achata a córnea, devemos abandonar o modelo 2D de tensão elástica e visualizar a córnea como uma cúpula volumétrica em 3D.</w:t>
      </w:r>
    </w:p>
    <w:p>
      <w:r>
        <w:rPr>
          <w:rFonts w:ascii="Calibri" w:hAnsi="Calibri"/>
          <w:b w:val="0"/>
          <w:i w:val="0"/>
          <w:color w:val="222222"/>
          <w:sz w:val="22"/>
        </w:rPr>
        <w:t>Quando um segmento de PMMA é inserido num túnel estromal a 80% de profundidade, a sua seção transversal (e.g., 250 $\mu m$ de base) atua como um macaco hidráulico microscópico. A membrana de Descemet resiste à indentação interior pela pressão intraocular (PIO), pelo que a maior parte da perturbação geométrica é empurrada para fora (para a superfície anterior). Esta elevação periférica localizada atua como um poste de sustentação de uma tenda, apertando a "lona" (lamelas anteriores) central. Como a distância arco-a-arco entre os dois limbos é fixa, a tensão periférica puxa a abóboda central para baixo, alisando e aplanando o ápice miópico.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5.2.2 A Dependência do Comprimento de Arco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novo paradigma volumétrico invalida a antiga crença de que a espessura do anel governa exclusivamente o aplanamento. Uma vez que o aplanamento resulta do aperto lamelar causado pela introdução física de massa, a magnitude da redução de $\Delta K$ escala quase perfeitamente com o </w:t>
      </w:r>
      <w:r>
        <w:rPr>
          <w:rFonts w:ascii="Calibri" w:hAnsi="Calibri"/>
          <w:b/>
          <w:i w:val="0"/>
          <w:color w:val="222222"/>
          <w:sz w:val="22"/>
        </w:rPr>
        <w:t>Volume Injetado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>O volume de um implante ICRS clássico (triangular) é a área da sua seção transversal multiplicada pela sua extensão circunferencial. Assim: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Maior Espessura</w:t>
      </w:r>
      <w:r>
        <w:rPr>
          <w:rFonts w:ascii="Calibri" w:hAnsi="Calibri"/>
          <w:b w:val="0"/>
          <w:i w:val="0"/>
          <w:color w:val="222222"/>
          <w:sz w:val="22"/>
        </w:rPr>
        <w:t xml:space="preserve"> $\rightarrow$ Maior altura de espaçamento $\rightarrow$ Maior aplanamento por grau de arco.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Maior Arco</w:t>
      </w:r>
      <w:r>
        <w:rPr>
          <w:rFonts w:ascii="Calibri" w:hAnsi="Calibri"/>
          <w:b w:val="0"/>
          <w:i w:val="0"/>
          <w:color w:val="222222"/>
          <w:sz w:val="22"/>
        </w:rPr>
        <w:t xml:space="preserve"> $\rightarrow$ Mais lamelas levantadas e mais volume total $\rightarrow$ Maior aplanamento total da cúpula.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5.3 Resultados de FEM: A Prova do Aplanamento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5.3.1 Protocolo de Simulação Volumétrica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provar matematicamente a Escola Volumétrica, recriamos uma varredura paramétrica no FEBio (HGO). A condição de contorno do ICRS foi modelada como um deslocamento Z prescrito de $+250\ \mu m$, simulando a expansão física exata de um anel padrão. Em vez de simplesmente "bloquear" o movimento do estroma, obrigamos o estroma a cobrir um obstáculo rígido incompressível.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Os comprimentos de arco variaram de 90° a 360°, mantendo a pressão intraocular fixa a 15 mmHg. A curvatura central simulada (SimK) foi extraída através do ajuste de uma esfera de </w:t>
      </w:r>
      <w:r>
        <w:rPr>
          <w:rFonts w:ascii="Calibri" w:hAnsi="Calibri"/>
          <w:b w:val="0"/>
          <w:i/>
          <w:color w:val="222222"/>
          <w:sz w:val="22"/>
        </w:rPr>
        <w:t>best-fit</w:t>
      </w:r>
      <w:r>
        <w:rPr>
          <w:rFonts w:ascii="Calibri" w:hAnsi="Calibri"/>
          <w:b w:val="0"/>
          <w:i w:val="0"/>
          <w:color w:val="222222"/>
          <w:sz w:val="22"/>
        </w:rPr>
        <w:t xml:space="preserve"> à zona central de 3 mm da malha corneana distorcida.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5.3.2 A Cascata de Aplanamento</w:t>
      </w:r>
    </w:p>
    <w:p>
      <w:r>
        <w:rPr>
          <w:rFonts w:ascii="Calibri" w:hAnsi="Calibri"/>
          <w:b w:val="0"/>
          <w:i w:val="0"/>
          <w:color w:val="222222"/>
          <w:sz w:val="22"/>
        </w:rPr>
        <w:t>A Tabela 6.1 revela a dependência inequívoca do aplanamento ($V_R$) em relação ao volume de implante:</w:t>
      </w:r>
    </w:p>
    <w:p>
      <w:r>
        <w:rPr>
          <w:rFonts w:ascii="Calibri" w:hAnsi="Calibri"/>
          <w:b/>
          <w:i w:val="0"/>
          <w:color w:val="222222"/>
          <w:sz w:val="22"/>
        </w:rPr>
        <w:t>Tabela 6.1.</w:t>
      </w:r>
      <w:r>
        <w:rPr>
          <w:rFonts w:ascii="Calibri" w:hAnsi="Calibri"/>
          <w:b w:val="0"/>
          <w:i w:val="0"/>
          <w:color w:val="222222"/>
          <w:sz w:val="22"/>
        </w:rPr>
        <w:t xml:space="preserve"> Curvatura central simulada (K-médio) em função do arco.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Configuração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Arco (°)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uz ápice (μm)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K-médio (D)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$\Delta$ K (D) Aplanamento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Linha de base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549.0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60.11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curto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90°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560.8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59.90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-0.21 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médio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160°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566.4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59.65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-0.46 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longo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210°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570.8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59.52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-0.59 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x-longo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320°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583.1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59.22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-0.89 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Anel completo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360°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582.8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58.99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-1.12 D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Os dados estabelecem uma correlação clínica direta que todos os cirurgiões reconhecem intuitivamente: </w:t>
      </w:r>
      <w:r>
        <w:rPr>
          <w:rFonts w:ascii="Calibri" w:hAnsi="Calibri"/>
          <w:b/>
          <w:i w:val="0"/>
          <w:color w:val="222222"/>
          <w:sz w:val="22"/>
        </w:rPr>
        <w:t>"Anéis mais compridos aplanão mais."</w:t>
      </w:r>
    </w:p>
    <w:p>
      <w:r>
        <w:rPr>
          <w:rFonts w:ascii="Calibri" w:hAnsi="Calibri"/>
          <w:b w:val="0"/>
          <w:i w:val="0"/>
          <w:color w:val="222222"/>
          <w:sz w:val="22"/>
        </w:rPr>
        <w:t>Um segmento curto de 90° aplana modestamente a córnea central (-0.21 D) porque injeta relativamente pouco volume. À medida que o cirurgião estende o anel para 210°, o dobro do estroma é elevado, aumentando o aplanamento para -0.59 D. Quando a circunferência é quase totalmente ocluída por um segmento de 320°, a cúpula repuxa radicalmente, originando um aplanamento massivo de -0.89 D (um salto mecânico dramático).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5.3.3 O Fator de Amplificação Paquimétrica</w:t>
      </w:r>
    </w:p>
    <w:p>
      <w:r>
        <w:rPr>
          <w:rFonts w:ascii="Calibri" w:hAnsi="Calibri"/>
          <w:b w:val="0"/>
          <w:i w:val="0"/>
          <w:color w:val="222222"/>
          <w:sz w:val="22"/>
        </w:rPr>
        <w:t>Embora o volume do anel seja a força motriz (numerador), a resistência estrutural do paciente atua como o travão elástico (denominador).</w:t>
      </w:r>
    </w:p>
    <w:p>
      <w:r>
        <w:rPr>
          <w:rFonts w:ascii="Calibri" w:hAnsi="Calibri"/>
          <w:b w:val="0"/>
          <w:i w:val="0"/>
          <w:color w:val="222222"/>
          <w:sz w:val="22"/>
        </w:rPr>
        <w:t>A espessura da córnea do paciente é o principal modulador fisiológico de $V_R$. Córneas com ceratocone avançado (paquimetria &lt; 430 $\mu m$) oferecem menos lamelas e menor resistência estrutural à elevação imposta pelo ICRS. Consequentemente, o mesmo anel de 250 $\mu m$ injetado numa córnea fina produz um aplanamento consideravelmente maior do que numa córnea espessa normal (&gt; 500 $\mu m$). Este é o motivo pelo qual o risco de supercorreção hipermetrópica dispara em córneas muito finas submetidas a implantes de 320°.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5.4 Implicações Clínicas no Manejo da Ectasia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5.4.1 Planeamento Vetorial</w:t>
      </w:r>
    </w:p>
    <w:p>
      <w:r>
        <w:rPr>
          <w:rFonts w:ascii="Calibri" w:hAnsi="Calibri"/>
          <w:b w:val="0"/>
          <w:i w:val="0"/>
          <w:color w:val="222222"/>
          <w:sz w:val="22"/>
        </w:rPr>
        <w:t>O $V</w:t>
      </w:r>
      <w:r>
        <w:rPr>
          <w:rFonts w:ascii="Calibri" w:hAnsi="Calibri"/>
          <w:b w:val="0"/>
          <w:i/>
          <w:color w:val="222222"/>
          <w:sz w:val="22"/>
        </w:rPr>
        <w:t>R$ deve ser o objetivo de planeamento primário quando a miopia esférica e o K-médio elevado são os distúrbios limitantes do paciente. Se a ectasia é central e tem um $K</w:t>
      </w:r>
      <w:r>
        <w:rPr>
          <w:rFonts w:ascii="Calibri" w:hAnsi="Calibri"/>
          <w:b w:val="0"/>
          <w:i w:val="0"/>
          <w:color w:val="222222"/>
          <w:sz w:val="22"/>
        </w:rPr>
        <w:t>{max} &gt; 52\ D$, a redução massiva do poder corneano exige um $V_R$ colossal.</w:t>
      </w:r>
    </w:p>
    <w:p>
      <w:r>
        <w:rPr>
          <w:rFonts w:ascii="Calibri" w:hAnsi="Calibri"/>
          <w:b w:val="0"/>
          <w:i w:val="0"/>
          <w:color w:val="222222"/>
          <w:sz w:val="22"/>
        </w:rPr>
        <w:t>Nesse caso, a lei volumétrica impõe duas opções cirúrgicas: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Usar anéis de espessura extrema (e.g., 300 $\mu m$ ou 350 $\mu m$).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Usar arcos extremamente longos (e.g., 320°).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5.4.2 Dissociação de VR e VT</w:t>
      </w:r>
    </w:p>
    <w:p>
      <w:r>
        <w:rPr>
          <w:rFonts w:ascii="Calibri" w:hAnsi="Calibri"/>
          <w:b w:val="0"/>
          <w:i w:val="0"/>
          <w:color w:val="222222"/>
          <w:sz w:val="22"/>
        </w:rPr>
        <w:t>O desafio cirúrgico supremo na Análise Vetorial é balancear a exigência volumétrica do $V</w:t>
      </w:r>
      <w:r>
        <w:rPr>
          <w:rFonts w:ascii="Calibri" w:hAnsi="Calibri"/>
          <w:b w:val="0"/>
          <w:i/>
          <w:color w:val="222222"/>
          <w:sz w:val="22"/>
        </w:rPr>
        <w:t>R$ com a exigência tensional de $V</w:t>
      </w:r>
      <w:r>
        <w:rPr>
          <w:rFonts w:ascii="Calibri" w:hAnsi="Calibri"/>
          <w:b w:val="0"/>
          <w:i w:val="0"/>
          <w:color w:val="222222"/>
          <w:sz w:val="22"/>
        </w:rPr>
        <w:t>T$ (tratada no Capítulo 7). O comprimento de arco amarra os dois vetores. Se aumentarmos o arco de 160° para 320° para maximizar o aplanamento miópico ($V_R$), estamos simultaneamente a espalhar a tensão de redistribuição circunferencial por uma área enorme, abdicando do "punch" mecânico concentrado necessário para tratar altos astigmatismos irregulares.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Por este motivo, para um doente com </w:t>
      </w:r>
      <w:r>
        <w:rPr>
          <w:rFonts w:ascii="Calibri" w:hAnsi="Calibri"/>
          <w:b/>
          <w:i w:val="0"/>
          <w:color w:val="222222"/>
          <w:sz w:val="22"/>
        </w:rPr>
        <w:t>Elevada Miopia E Elevado Astigmatismo</w:t>
      </w:r>
      <w:r>
        <w:rPr>
          <w:rFonts w:ascii="Calibri" w:hAnsi="Calibri"/>
          <w:b w:val="0"/>
          <w:i w:val="0"/>
          <w:color w:val="222222"/>
          <w:sz w:val="22"/>
        </w:rPr>
        <w:t>, usar um único anel de 320° vai achatar o olho, mas falhará em regularizar o astigmatismo. Nesses casos de duplos picos e duplas exigências, os anéis progressivos de arco longo (onde a espessura flutua para forçar torques assimétricos) ou combinações de arcos menores e espessos posicionados simetricamente, tornam-se essenciais.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5.5 Resumo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O vetor radial ($V_R$) codifica a mudança no poder dióptrico esférico (aplanamento central) induzida pelo anel.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seu mecanismo base é </w:t>
      </w:r>
      <w:r>
        <w:rPr>
          <w:rFonts w:ascii="Calibri" w:hAnsi="Calibri"/>
          <w:b/>
          <w:i w:val="0"/>
          <w:color w:val="222222"/>
          <w:sz w:val="22"/>
        </w:rPr>
        <w:t>Volumétrico</w:t>
      </w:r>
      <w:r>
        <w:rPr>
          <w:rFonts w:ascii="Calibri" w:hAnsi="Calibri"/>
          <w:b w:val="0"/>
          <w:i w:val="0"/>
          <w:color w:val="222222"/>
          <w:sz w:val="22"/>
        </w:rPr>
        <w:t>: atua como um poste de uma tenda levantando a periferia e achatando o centro.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magnitude do aplanamento é diretamente proporcional ao </w:t>
      </w:r>
      <w:r>
        <w:rPr>
          <w:rFonts w:ascii="Calibri" w:hAnsi="Calibri"/>
          <w:b/>
          <w:i w:val="0"/>
          <w:color w:val="222222"/>
          <w:sz w:val="22"/>
        </w:rPr>
        <w:t>Volume Total do Anel</w:t>
      </w:r>
      <w:r>
        <w:rPr>
          <w:rFonts w:ascii="Calibri" w:hAnsi="Calibri"/>
          <w:b w:val="0"/>
          <w:i w:val="0"/>
          <w:color w:val="222222"/>
          <w:sz w:val="22"/>
        </w:rPr>
        <w:t xml:space="preserve"> (Espessura + Comprimento de Arco).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As simulações FEBio provam que arcos mais longos deprimem monotonicamente o poder central, invalidando as teses obsoletas de "efeitos exclusivamente tensionais" e validando perfeitamente a intuição cirúrgica dos nomogramas volumétricos (Kling &amp; Marcos, 2013).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Córneas finas amplificam dramaticamente o $V_R$ devido à falta de resistência estrutural no leito estromal anterior.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Alfonso JG, Lisa C, Fernández-Vega Cueto L, et al. Intrastromal corneal ring segments and posterior chamber phakic intraocular lens implantation for keratoconus correction.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2011;37(4):706–715.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Peris-Martínez C, Hernández-Verdejo JL, Ceballos-Torres S, et al. Intracorneal ring segments in keratoconus: a comprehensive review. </w:t>
      </w:r>
      <w:r>
        <w:rPr>
          <w:rFonts w:ascii="Calibri" w:hAnsi="Calibri"/>
          <w:b w:val="0"/>
          <w:i/>
          <w:color w:val="222222"/>
          <w:sz w:val="22"/>
        </w:rPr>
        <w:t>Surv Ophthalmol</w:t>
      </w:r>
      <w:r>
        <w:rPr>
          <w:rFonts w:ascii="Calibri" w:hAnsi="Calibri"/>
          <w:b w:val="0"/>
          <w:i w:val="0"/>
          <w:color w:val="222222"/>
          <w:sz w:val="22"/>
        </w:rPr>
        <w:t>. 2021;66(5):835–858.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Finite-element modeling of intrastromal ring segment implantation into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