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/>
      <w:r>
        <w:rPr>
          <w:rFonts w:ascii="Calibri" w:hAnsi="Calibri"/>
          <w:b w:val="0"/>
          <w:i w:val="0"/>
          <w:color w:val="1B365D"/>
          <w:sz w:val="36"/>
        </w:rPr>
        <w:t>Capítulo 6 — V_T: O Vetor Tangencial — Mecânica da Cintagem e Regularização</w:t>
      </w:r>
    </w:p>
    <w:p>
      <w:pPr>
        <w:spacing w:before="240" w:after="240"/>
        <w:jc w:val="center"/>
      </w:pPr>
      <w:r>
        <w:rPr>
          <w:rFonts w:ascii="Calibri" w:hAnsi="Calibri"/>
          <w:color w:val="1B365D"/>
          <w:sz w:val="24"/>
        </w:rPr>
        <w:t>❖   ❖   ❖</w:t>
      </w:r>
    </w:p>
    <w:p>
      <w:pPr>
        <w:pStyle w:val="Heading2"/>
      </w:pPr>
      <w:r/>
      <w:r>
        <w:rPr>
          <w:rFonts w:ascii="Calibri" w:hAnsi="Calibri"/>
          <w:b w:val="0"/>
          <w:i w:val="0"/>
          <w:color w:val="1B365D"/>
          <w:sz w:val="28"/>
        </w:rPr>
        <w:t>6.1 Introdução</w:t>
      </w:r>
    </w:p>
    <w:p>
      <w:r>
        <w:rPr>
          <w:rFonts w:ascii="Calibri" w:hAnsi="Calibri"/>
          <w:b w:val="0"/>
          <w:i w:val="0"/>
          <w:color w:val="222222"/>
          <w:sz w:val="22"/>
        </w:rPr>
        <w:t>Enquanto o vetor radial $V_R$ (Capítulo 6) governa a redução líquida do poder óptico esférico (aplanamento, $\Delta K$) através da introdução de volume, ele não aborda a assimetria espacial que caracteriza o ceratocone. Uma córnea ectática não é apenas excessivamente curva; ela é profundamente irregular, exibindo um cone focal ladeado por áreas aplanadas. Este gradiente espacial de curvatura é a origem do astigmatismo e do coma, as principais barreiras à visão funcional. Para regularizar esta superfície — distribuindo a curvatura de forma uniforme — o cirurgião aciona o segundo mecanismo mecânico: a contenção tensional.</w:t>
      </w:r>
    </w:p>
    <w:p>
      <w:r>
        <w:rPr>
          <w:rFonts w:ascii="Calibri" w:hAnsi="Calibri"/>
          <w:b w:val="0"/>
          <w:i w:val="0"/>
          <w:color w:val="222222"/>
          <w:sz w:val="22"/>
        </w:rPr>
        <w:t>O vetor biomecânico responsável por esta contenção é o $V</w:t>
      </w:r>
      <w:r>
        <w:rPr>
          <w:rFonts w:ascii="Calibri" w:hAnsi="Calibri"/>
          <w:b w:val="0"/>
          <w:i/>
          <w:color w:val="222222"/>
          <w:sz w:val="22"/>
        </w:rPr>
        <w:t>T$, o vetor tangencial. Sob o novo paradigma biomecânico, o $V</w:t>
      </w:r>
      <w:r>
        <w:rPr>
          <w:rFonts w:ascii="Calibri" w:hAnsi="Calibri"/>
          <w:b w:val="0"/>
          <w:i w:val="0"/>
          <w:color w:val="222222"/>
          <w:sz w:val="22"/>
        </w:rPr>
        <w:t xml:space="preserve">T$ é definido como o </w:t>
      </w:r>
      <w:r>
        <w:rPr>
          <w:rFonts w:ascii="Calibri" w:hAnsi="Calibri"/>
          <w:b/>
          <w:i w:val="0"/>
          <w:color w:val="222222"/>
          <w:sz w:val="22"/>
        </w:rPr>
        <w:t>Efeito de Cintagem (Hoop Restriction)</w:t>
      </w:r>
      <w:r>
        <w:rPr>
          <w:rFonts w:ascii="Calibri" w:hAnsi="Calibri"/>
          <w:b w:val="0"/>
          <w:i w:val="0"/>
          <w:color w:val="222222"/>
          <w:sz w:val="22"/>
        </w:rPr>
        <w:t>. Ao contrário do $V</w:t>
      </w:r>
      <w:r>
        <w:rPr>
          <w:rFonts w:ascii="Calibri" w:hAnsi="Calibri"/>
          <w:b w:val="0"/>
          <w:i/>
          <w:color w:val="222222"/>
          <w:sz w:val="22"/>
        </w:rPr>
        <w:t>R$, que é impulsionado pelo *volume* do implante, o $V</w:t>
      </w:r>
      <w:r>
        <w:rPr>
          <w:rFonts w:ascii="Calibri" w:hAnsi="Calibri"/>
          <w:b w:val="0"/>
          <w:i w:val="0"/>
          <w:color w:val="222222"/>
          <w:sz w:val="22"/>
        </w:rPr>
        <w:t xml:space="preserve">T$ é impulsionado exclusivamente pela </w:t>
      </w:r>
      <w:r>
        <w:rPr>
          <w:rFonts w:ascii="Calibri" w:hAnsi="Calibri"/>
          <w:b/>
          <w:i w:val="0"/>
          <w:color w:val="222222"/>
          <w:sz w:val="22"/>
        </w:rPr>
        <w:t>cobertura circunferencial</w:t>
      </w:r>
      <w:r>
        <w:rPr>
          <w:rFonts w:ascii="Calibri" w:hAnsi="Calibri"/>
          <w:b w:val="0"/>
          <w:i w:val="0"/>
          <w:color w:val="222222"/>
          <w:sz w:val="22"/>
        </w:rPr>
        <w:t xml:space="preserve"> (comprimento de arco).</w:t>
      </w:r>
    </w:p>
    <w:p>
      <w:r>
        <w:rPr>
          <w:rFonts w:ascii="Calibri" w:hAnsi="Calibri"/>
          <w:b w:val="0"/>
          <w:i w:val="0"/>
          <w:color w:val="222222"/>
          <w:sz w:val="22"/>
        </w:rPr>
        <w:t>O acrílico rígido atua como uma tala inextensível ao longo do seu arco. Quanto mais comprido for o anel, maior a percentagem da circunferência estromal que fica "bloqueada" (impedida de se distender sob a ação da pressão intraocular). As simulações re-calibradas do nosso modelo revelam que o deslocamento radial ao longo do canal de implante ($\delta_{ring}$) cai de forma linear e monotónica consoante o aumento do arco. Esta restrição mecânica "obriga" a córnea a assumir uma forma mais esférica e regular.</w:t>
      </w:r>
    </w:p>
    <w:p>
      <w:r>
        <w:rPr>
          <w:rFonts w:ascii="Calibri" w:hAnsi="Calibri"/>
          <w:b w:val="0"/>
          <w:i w:val="0"/>
          <w:color w:val="222222"/>
          <w:sz w:val="22"/>
        </w:rPr>
        <w:t>A ortogonalidade entre o $V</w:t>
      </w:r>
      <w:r>
        <w:rPr>
          <w:rFonts w:ascii="Calibri" w:hAnsi="Calibri"/>
          <w:b w:val="0"/>
          <w:i/>
          <w:color w:val="222222"/>
          <w:sz w:val="22"/>
        </w:rPr>
        <w:t>R$ (controlado predominantemente pela espessura e volume) e o $V</w:t>
      </w:r>
      <w:r>
        <w:rPr>
          <w:rFonts w:ascii="Calibri" w:hAnsi="Calibri"/>
          <w:b w:val="0"/>
          <w:i w:val="0"/>
          <w:color w:val="222222"/>
          <w:sz w:val="22"/>
        </w:rPr>
        <w:t>T$ (controlado predominantemente pelo comprimento de arco) forma a fundação da Análise Vetorial Biomecânica Corneana (AVBC).</w:t>
      </w:r>
    </w:p>
    <w:p>
      <w:pPr>
        <w:spacing w:before="240" w:after="240"/>
        <w:jc w:val="center"/>
      </w:pPr>
      <w:r>
        <w:rPr>
          <w:rFonts w:ascii="Calibri" w:hAnsi="Calibri"/>
          <w:color w:val="1B365D"/>
          <w:sz w:val="24"/>
        </w:rPr>
        <w:t>❖   ❖   ❖</w:t>
      </w:r>
    </w:p>
    <w:p>
      <w:pPr>
        <w:pStyle w:val="Heading2"/>
      </w:pPr>
      <w:r/>
      <w:r>
        <w:rPr>
          <w:rFonts w:ascii="Calibri" w:hAnsi="Calibri"/>
          <w:b w:val="0"/>
          <w:i w:val="0"/>
          <w:color w:val="1B365D"/>
          <w:sz w:val="28"/>
        </w:rPr>
        <w:t>6.2 O Mecanismo de Cintagem (Hoop Restriction)</w:t>
      </w:r>
    </w:p>
    <w:p>
      <w:pPr>
        <w:pStyle w:val="Heading3"/>
      </w:pPr>
      <w:r/>
      <w:r>
        <w:rPr>
          <w:rFonts w:ascii="Calibri" w:hAnsi="Calibri"/>
          <w:b w:val="0"/>
          <w:i w:val="0"/>
          <w:color w:val="1B365D"/>
          <w:sz w:val="24"/>
        </w:rPr>
        <w:t>6.2.1 A Córnea como Membrana Pressurizada</w:t>
      </w:r>
    </w:p>
    <w:p>
      <w:r>
        <w:rPr>
          <w:rFonts w:ascii="Calibri" w:hAnsi="Calibri"/>
          <w:b w:val="0"/>
          <w:i w:val="0"/>
          <w:color w:val="222222"/>
          <w:sz w:val="22"/>
        </w:rPr>
        <w:t>A córnea intacta resiste à Pressão Intraocular (PIO) distribuindo a tensão de forma uniforme pelas suas fibrilas de colagénio circunferenciais, particularmente no anel límbico (Meek &amp; Knupp, 2015). No ceratocone, o enfraquecimento localizado rompe esta simetria. A área fraca cede e protrui (deslocamento radial e axial), esticando assimetricamente as lamelas adjacentes.</w:t>
      </w:r>
    </w:p>
    <w:p>
      <w:r>
        <w:rPr>
          <w:rFonts w:ascii="Calibri" w:hAnsi="Calibri"/>
          <w:b w:val="0"/>
          <w:i w:val="0"/>
          <w:color w:val="222222"/>
          <w:sz w:val="22"/>
        </w:rPr>
        <w:t>Quando um segmento ICRS (PMMA rígido) é inserido, a sua inflexibilidade inibe qualquer distensão no estroma imediatamente adjacente. Como a deformação radial no arco do PMMA é forçada a zero, a porção da córnea livre (onde não há anel) tem de absorver o restante da deformação.</w:t>
      </w:r>
    </w:p>
    <w:p>
      <w:pPr>
        <w:pStyle w:val="Heading3"/>
      </w:pPr>
      <w:r/>
      <w:r>
        <w:rPr>
          <w:rFonts w:ascii="Calibri" w:hAnsi="Calibri"/>
          <w:b w:val="0"/>
          <w:i w:val="0"/>
          <w:color w:val="1B365D"/>
          <w:sz w:val="24"/>
        </w:rPr>
        <w:t>6.2.2 Extração do Vetor VT ($\delta_{ring}$)</w:t>
      </w:r>
    </w:p>
    <w:p>
      <w:r>
        <w:rPr>
          <w:rFonts w:ascii="Calibri" w:hAnsi="Calibri"/>
          <w:b w:val="0"/>
          <w:i w:val="0"/>
          <w:color w:val="222222"/>
          <w:sz w:val="22"/>
        </w:rPr>
        <w:t>Para quantificar matematicamente este efeito de restrição, o modelo extrai o parâmetro $\delta_{ring}$ — o deslocamento radial médio ao longo do anel de 360° da zona de implante (raio = 2.5 mm).</w:t>
      </w:r>
    </w:p>
    <w:p>
      <w:pPr>
        <w:pStyle w:val="ListNumber"/>
        <w:spacing w:before="40" w:after="80" w:line="276" w:lineRule="auto"/>
      </w:pPr>
      <w:r>
        <w:rPr>
          <w:rFonts w:ascii="Calibri" w:hAnsi="Calibri"/>
          <w:b w:val="0"/>
          <w:i w:val="0"/>
          <w:color w:val="222222"/>
          <w:sz w:val="22"/>
        </w:rPr>
        <w:t>Num olho normal sem anel, a deformação $\delta_{ring}$ sob PIO é máxima (linha de base).</w:t>
      </w:r>
    </w:p>
    <w:p>
      <w:pPr>
        <w:pStyle w:val="ListNumber"/>
        <w:spacing w:before="40" w:after="80" w:line="276" w:lineRule="auto"/>
      </w:pPr>
      <w:r>
        <w:rPr>
          <w:rFonts w:ascii="Calibri" w:hAnsi="Calibri"/>
          <w:b w:val="0"/>
          <w:i w:val="0"/>
          <w:color w:val="222222"/>
          <w:sz w:val="22"/>
        </w:rPr>
        <w:t>Onde o ICRS de PMMA reside, o $\delta_{ring}$ local é 0 (incompressível no eixo XY).</w:t>
      </w:r>
    </w:p>
    <w:p>
      <w:pPr>
        <w:pStyle w:val="ListNumber"/>
        <w:spacing w:before="40" w:after="80" w:line="276" w:lineRule="auto"/>
      </w:pPr>
      <w:r>
        <w:rPr>
          <w:rFonts w:ascii="Calibri" w:hAnsi="Calibri"/>
          <w:b w:val="0"/>
          <w:i w:val="0"/>
          <w:color w:val="222222"/>
          <w:sz w:val="22"/>
        </w:rPr>
        <w:t>À medida que o arco aumenta, a percentagem de $\delta_{ring} = 0$ aumenta, reduzindo a média circunferencial linearmente.</w:t>
      </w:r>
    </w:p>
    <w:p>
      <w:r>
        <w:rPr>
          <w:rFonts w:ascii="Calibri" w:hAnsi="Calibri"/>
          <w:b w:val="0"/>
          <w:i w:val="0"/>
          <w:color w:val="222222"/>
          <w:sz w:val="22"/>
        </w:rPr>
        <w:t>Quanto menor for o $\delta</w:t>
      </w:r>
      <w:r>
        <w:rPr>
          <w:rFonts w:ascii="Calibri" w:hAnsi="Calibri"/>
          <w:b w:val="0"/>
          <w:i/>
          <w:color w:val="222222"/>
          <w:sz w:val="22"/>
        </w:rPr>
        <w:t>{ring}$ global, maior é a força de cintagem restritiva a forçar a córnea de volta para um formato regular. O $V</w:t>
      </w:r>
      <w:r>
        <w:rPr>
          <w:rFonts w:ascii="Calibri" w:hAnsi="Calibri"/>
          <w:b w:val="0"/>
          <w:i w:val="0"/>
          <w:color w:val="222222"/>
          <w:sz w:val="22"/>
        </w:rPr>
        <w:t xml:space="preserve">T$ é diretamente inversamente proporcional a este deslocamento: </w:t>
      </w:r>
      <w:r>
        <w:rPr>
          <w:rFonts w:ascii="Calibri" w:hAnsi="Calibri"/>
          <w:b/>
          <w:i w:val="0"/>
          <w:color w:val="222222"/>
          <w:sz w:val="22"/>
        </w:rPr>
        <w:t>Mais contenção = Maior efeito Vetor Tangencial.</w:t>
      </w:r>
    </w:p>
    <w:p>
      <w:pPr>
        <w:spacing w:before="240" w:after="240"/>
        <w:jc w:val="center"/>
      </w:pPr>
      <w:r>
        <w:rPr>
          <w:rFonts w:ascii="Calibri" w:hAnsi="Calibri"/>
          <w:color w:val="1B365D"/>
          <w:sz w:val="24"/>
        </w:rPr>
        <w:t>❖   ❖   ❖</w:t>
      </w:r>
    </w:p>
    <w:p>
      <w:pPr>
        <w:pStyle w:val="Heading2"/>
      </w:pPr>
      <w:r/>
      <w:r>
        <w:rPr>
          <w:rFonts w:ascii="Calibri" w:hAnsi="Calibri"/>
          <w:b w:val="0"/>
          <w:i w:val="0"/>
          <w:color w:val="1B365D"/>
          <w:sz w:val="28"/>
        </w:rPr>
        <w:t>6.3 Resultados FEM: A Regressão Linear Perfeita</w:t>
      </w:r>
    </w:p>
    <w:p>
      <w:r>
        <w:rPr>
          <w:rFonts w:ascii="Calibri" w:hAnsi="Calibri"/>
          <w:b w:val="0"/>
          <w:i w:val="0"/>
          <w:color w:val="222222"/>
          <w:sz w:val="22"/>
        </w:rPr>
        <w:t>A nova campanha paramétrica do FEBio, simulando corretamente a imposição de volume e a contenção no eixo XY, produziu resultados surpreendentemente lineares.</w:t>
      </w:r>
    </w:p>
    <w:p>
      <w:r>
        <w:rPr>
          <w:rFonts w:ascii="Calibri" w:hAnsi="Calibri"/>
          <w:b/>
          <w:i w:val="0"/>
          <w:color w:val="222222"/>
          <w:sz w:val="22"/>
        </w:rPr>
        <w:t>Tabela 7.1.</w:t>
      </w:r>
      <w:r>
        <w:rPr>
          <w:rFonts w:ascii="Calibri" w:hAnsi="Calibri"/>
          <w:b w:val="0"/>
          <w:i w:val="0"/>
          <w:color w:val="222222"/>
          <w:sz w:val="22"/>
        </w:rPr>
        <w:t xml:space="preserve"> Deslocamento circunferencial médio ao longo da zona de implante ($\delta_{ring}$) em função do arco.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CCCCCC"/>
          <w:bottom w:val="single" w:sz="4" w:space="0" w:color="CCCCCC"/>
          <w:left w:val="none"/>
          <w:right w:val="none"/>
          <w:insideH w:val="single" w:sz="4" w:space="0" w:color="E0E0E0"/>
          <w:insideV w:val="none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B365D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80" w:after="80"/>
              <w:jc w:val="left"/>
            </w:pPr>
            <w:r>
              <w:rPr>
                <w:b/>
                <w:color w:val="FFFFFF"/>
              </w:rPr>
            </w:r>
            <w:r>
              <w:rPr>
                <w:rFonts w:ascii="Calibri" w:hAnsi="Calibri"/>
                <w:b/>
                <w:i w:val="0"/>
                <w:color w:val="FFFFFF"/>
                <w:sz w:val="21"/>
              </w:rPr>
              <w:t>Configuração</w:t>
            </w:r>
          </w:p>
        </w:tc>
        <w:tc>
          <w:tcPr>
            <w:tcW w:type="dxa" w:w="2160"/>
            <w:shd w:fill="1B365D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80" w:after="80"/>
              <w:jc w:val="left"/>
            </w:pPr>
            <w:r>
              <w:rPr>
                <w:b/>
                <w:color w:val="FFFFFF"/>
              </w:rPr>
            </w:r>
            <w:r>
              <w:rPr>
                <w:rFonts w:ascii="Calibri" w:hAnsi="Calibri"/>
                <w:b/>
                <w:i w:val="0"/>
                <w:color w:val="FFFFFF"/>
                <w:sz w:val="21"/>
              </w:rPr>
              <w:t>Arco (°)</w:t>
            </w:r>
          </w:p>
        </w:tc>
        <w:tc>
          <w:tcPr>
            <w:tcW w:type="dxa" w:w="2160"/>
            <w:shd w:fill="1B365D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80" w:after="80"/>
              <w:jc w:val="left"/>
            </w:pPr>
            <w:r>
              <w:rPr>
                <w:b/>
                <w:color w:val="FFFFFF"/>
              </w:rPr>
            </w:r>
            <w:r>
              <w:rPr>
                <w:rFonts w:ascii="Calibri" w:hAnsi="Calibri"/>
                <w:b/>
                <w:i w:val="0"/>
                <w:color w:val="FFFFFF"/>
                <w:sz w:val="21"/>
              </w:rPr>
              <w:t>$\delta_{ring}$ (μm)</w:t>
            </w:r>
          </w:p>
        </w:tc>
        <w:tc>
          <w:tcPr>
            <w:tcW w:type="dxa" w:w="2160"/>
            <w:shd w:fill="1B365D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80" w:after="80"/>
              <w:jc w:val="left"/>
            </w:pPr>
            <w:r>
              <w:rPr>
                <w:b/>
                <w:color w:val="FFFFFF"/>
              </w:rPr>
            </w:r>
            <w:r>
              <w:rPr>
                <w:rFonts w:ascii="Calibri" w:hAnsi="Calibri"/>
                <w:b/>
                <w:i w:val="0"/>
                <w:color w:val="FFFFFF"/>
                <w:sz w:val="21"/>
              </w:rPr>
              <w:t>% Restrição face à base</w:t>
            </w:r>
          </w:p>
        </w:tc>
      </w:tr>
      <w:tr>
        <w:tc>
          <w:tcPr>
            <w:tcW w:type="dxa" w:w="216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Sem anel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0°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37.38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0.0%</w:t>
            </w:r>
          </w:p>
        </w:tc>
      </w:tr>
      <w:tr>
        <w:tc>
          <w:tcPr>
            <w:tcW w:type="dxa" w:w="216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Arco curto</w:t>
            </w:r>
          </w:p>
        </w:tc>
        <w:tc>
          <w:tcPr>
            <w:tcW w:type="dxa" w:w="216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90°</w:t>
            </w:r>
          </w:p>
        </w:tc>
        <w:tc>
          <w:tcPr>
            <w:tcW w:type="dxa" w:w="216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29.31</w:t>
            </w:r>
          </w:p>
        </w:tc>
        <w:tc>
          <w:tcPr>
            <w:tcW w:type="dxa" w:w="216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21.6%</w:t>
            </w:r>
          </w:p>
        </w:tc>
      </w:tr>
      <w:tr>
        <w:tc>
          <w:tcPr>
            <w:tcW w:type="dxa" w:w="216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Arco médio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160°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22.38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40.1%</w:t>
            </w:r>
          </w:p>
        </w:tc>
      </w:tr>
      <w:tr>
        <w:tc>
          <w:tcPr>
            <w:tcW w:type="dxa" w:w="216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Arco longo</w:t>
            </w:r>
          </w:p>
        </w:tc>
        <w:tc>
          <w:tcPr>
            <w:tcW w:type="dxa" w:w="216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210°</w:t>
            </w:r>
          </w:p>
        </w:tc>
        <w:tc>
          <w:tcPr>
            <w:tcW w:type="dxa" w:w="216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17.54</w:t>
            </w:r>
          </w:p>
        </w:tc>
        <w:tc>
          <w:tcPr>
            <w:tcW w:type="dxa" w:w="216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53.1%</w:t>
            </w:r>
          </w:p>
        </w:tc>
      </w:tr>
      <w:tr>
        <w:tc>
          <w:tcPr>
            <w:tcW w:type="dxa" w:w="216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Arco x-longo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255°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12.25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67.2%</w:t>
            </w:r>
          </w:p>
        </w:tc>
      </w:tr>
      <w:tr>
        <w:tc>
          <w:tcPr>
            <w:tcW w:type="dxa" w:w="216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Quase total</w:t>
            </w:r>
          </w:p>
        </w:tc>
        <w:tc>
          <w:tcPr>
            <w:tcW w:type="dxa" w:w="216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320°</w:t>
            </w:r>
          </w:p>
        </w:tc>
        <w:tc>
          <w:tcPr>
            <w:tcW w:type="dxa" w:w="216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4.50</w:t>
            </w:r>
          </w:p>
        </w:tc>
        <w:tc>
          <w:tcPr>
            <w:tcW w:type="dxa" w:w="216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88.0%</w:t>
            </w:r>
          </w:p>
        </w:tc>
      </w:tr>
      <w:tr>
        <w:tc>
          <w:tcPr>
            <w:tcW w:type="dxa" w:w="216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Anel Completo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360°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0.00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100.0%</w:t>
            </w:r>
          </w:p>
        </w:tc>
      </w:tr>
    </w:tbl>
    <w:p>
      <w:pPr>
        <w:spacing w:before="120" w:after="120"/>
      </w:pPr>
    </w:p>
    <w:p>
      <w:r>
        <w:rPr>
          <w:rFonts w:ascii="Calibri" w:hAnsi="Calibri"/>
          <w:b w:val="0"/>
          <w:i w:val="0"/>
          <w:color w:val="222222"/>
          <w:sz w:val="22"/>
        </w:rPr>
        <w:t>Cada grau adicional de anel PMMA restringe linearmente a deformação, obrigando o estroma perimetral a manter uma postura circular rígida. O coeficiente de variação é minúsculo, provando que a contenção é puramente geométrica no plano 2D.</w:t>
      </w:r>
    </w:p>
    <w:p>
      <w:r>
        <w:rPr>
          <w:rFonts w:ascii="Calibri" w:hAnsi="Calibri"/>
          <w:b w:val="0"/>
          <w:i w:val="0"/>
          <w:color w:val="222222"/>
          <w:sz w:val="22"/>
        </w:rPr>
        <w:t>A equação fundamental do $V</w:t>
      </w:r>
      <w:r>
        <w:rPr>
          <w:rFonts w:ascii="Calibri" w:hAnsi="Calibri"/>
          <w:b w:val="0"/>
          <w:i/>
          <w:color w:val="222222"/>
          <w:sz w:val="22"/>
        </w:rPr>
        <w:t>T$ (onde $V</w:t>
      </w:r>
      <w:r>
        <w:rPr>
          <w:rFonts w:ascii="Calibri" w:hAnsi="Calibri"/>
          <w:b w:val="0"/>
          <w:i w:val="0"/>
          <w:color w:val="222222"/>
          <w:sz w:val="22"/>
        </w:rPr>
        <w:t>T$ reflete a contenção $\Delta\delta_{ring}$) segue a regressão linear:</w:t>
      </w:r>
    </w:p>
    <w:p>
      <w:r>
        <w:rPr>
          <w:rFonts w:ascii="Calibri" w:hAnsi="Calibri"/>
          <w:b/>
          <w:i w:val="0"/>
          <w:color w:val="222222"/>
          <w:sz w:val="22"/>
        </w:rPr>
        <w:t>Restrição</w:t>
      </w:r>
      <w:r>
        <w:rPr>
          <w:rFonts w:ascii="Calibri" w:hAnsi="Calibri"/>
          <w:b w:val="0"/>
          <w:i w:val="0"/>
          <w:color w:val="222222"/>
          <w:sz w:val="22"/>
        </w:rPr>
        <w:t xml:space="preserve"> $\propto$ </w:t>
      </w:r>
      <w:r>
        <w:rPr>
          <w:rFonts w:ascii="Calibri" w:hAnsi="Calibri"/>
          <w:b/>
          <w:i w:val="0"/>
          <w:color w:val="222222"/>
          <w:sz w:val="22"/>
        </w:rPr>
        <w:t>Arco</w:t>
      </w:r>
      <w:r>
        <w:rPr>
          <w:rFonts w:ascii="Calibri" w:hAnsi="Calibri"/>
          <w:b w:val="0"/>
          <w:i w:val="0"/>
          <w:color w:val="222222"/>
          <w:sz w:val="22"/>
        </w:rPr>
        <w:t xml:space="preserve"> ($R^2 &gt; 0.99$).</w:t>
      </w:r>
    </w:p>
    <w:p>
      <w:pPr>
        <w:spacing w:before="240" w:after="240"/>
        <w:jc w:val="center"/>
      </w:pPr>
      <w:r>
        <w:rPr>
          <w:rFonts w:ascii="Calibri" w:hAnsi="Calibri"/>
          <w:color w:val="1B365D"/>
          <w:sz w:val="24"/>
        </w:rPr>
        <w:t>❖   ❖   ❖</w:t>
      </w:r>
    </w:p>
    <w:p>
      <w:pPr>
        <w:pStyle w:val="Heading2"/>
      </w:pPr>
      <w:r/>
      <w:r>
        <w:rPr>
          <w:rFonts w:ascii="Calibri" w:hAnsi="Calibri"/>
          <w:b w:val="0"/>
          <w:i w:val="0"/>
          <w:color w:val="1B365D"/>
          <w:sz w:val="28"/>
        </w:rPr>
        <w:t>6.4 Fatores Moduladores de VT</w:t>
      </w:r>
    </w:p>
    <w:p>
      <w:pPr>
        <w:pStyle w:val="Heading3"/>
      </w:pPr>
      <w:r/>
      <w:r>
        <w:rPr>
          <w:rFonts w:ascii="Calibri" w:hAnsi="Calibri"/>
          <w:b w:val="0"/>
          <w:i w:val="0"/>
          <w:color w:val="1B365D"/>
          <w:sz w:val="24"/>
        </w:rPr>
        <w:t>6.4.1 O Desacoplamento da Espessura</w:t>
      </w:r>
    </w:p>
    <w:p>
      <w:r>
        <w:rPr>
          <w:rFonts w:ascii="Calibri" w:hAnsi="Calibri"/>
          <w:b w:val="0"/>
          <w:i w:val="0"/>
          <w:color w:val="222222"/>
          <w:sz w:val="22"/>
        </w:rPr>
        <w:t xml:space="preserve">O achado revolucionário da AVBC e desta modelação é que o $V_T$ (restrição astigmática circunferencial) é </w:t>
      </w:r>
      <w:r>
        <w:rPr>
          <w:rFonts w:ascii="Calibri" w:hAnsi="Calibri"/>
          <w:b/>
          <w:i w:val="0"/>
          <w:color w:val="222222"/>
          <w:sz w:val="22"/>
        </w:rPr>
        <w:t>desacoplado da espessura do anel</w:t>
      </w:r>
      <w:r>
        <w:rPr>
          <w:rFonts w:ascii="Calibri" w:hAnsi="Calibri"/>
          <w:b w:val="0"/>
          <w:i w:val="0"/>
          <w:color w:val="222222"/>
          <w:sz w:val="22"/>
        </w:rPr>
        <w:t>.</w:t>
      </w:r>
    </w:p>
    <w:p>
      <w:r>
        <w:rPr>
          <w:rFonts w:ascii="Calibri" w:hAnsi="Calibri"/>
          <w:b w:val="0"/>
          <w:i w:val="0"/>
          <w:color w:val="222222"/>
          <w:sz w:val="22"/>
        </w:rPr>
        <w:t>Enquanto a injeção de espessura impulsiona massivamente o $V_R$ (Aplanamento miópico vertical, Capítulo 6), a contenção XY é quase alheia ao volume inserido no eixo Z. A contenção existe pela simples presença física do acrílico que impede a lona corneana de deslizar horizontalmente.</w:t>
      </w:r>
    </w:p>
    <w:p>
      <w:r>
        <w:rPr>
          <w:rFonts w:ascii="Calibri" w:hAnsi="Calibri"/>
          <w:b w:val="0"/>
          <w:i w:val="0"/>
          <w:color w:val="222222"/>
          <w:sz w:val="22"/>
        </w:rPr>
        <w:t>Isto significa que um segmento de 320° com 150 $\mu m$ (fino) regularizará a superfície quase exatamente da mesma forma que um de 320° com 300 $\mu m$ (espesso). No entanto, o de 300 $\mu m$ infligirá um $V_R$ dramático.</w:t>
      </w:r>
    </w:p>
    <w:p>
      <w:pPr>
        <w:pStyle w:val="Heading3"/>
      </w:pPr>
      <w:r/>
      <w:r>
        <w:rPr>
          <w:rFonts w:ascii="Calibri" w:hAnsi="Calibri"/>
          <w:b w:val="0"/>
          <w:i w:val="0"/>
          <w:color w:val="1B365D"/>
          <w:sz w:val="24"/>
        </w:rPr>
        <w:t>6.4.2 Assimetrias e Vetores Combinados</w:t>
      </w:r>
    </w:p>
    <w:p>
      <w:r>
        <w:rPr>
          <w:rFonts w:ascii="Calibri" w:hAnsi="Calibri"/>
          <w:b w:val="0"/>
          <w:i w:val="0"/>
          <w:color w:val="222222"/>
          <w:sz w:val="22"/>
        </w:rPr>
        <w:t>Na clínica, usar um anel de 360° ou 320° restringe a córnea tão fortemente que, embora trate um astigmatismo difuso, bloqueia o efeito de aplanamento local e é incapaz de redistribuir a deformação se o cone for muito excêntrico.</w:t>
      </w:r>
    </w:p>
    <w:p>
      <w:r>
        <w:rPr>
          <w:rFonts w:ascii="Calibri" w:hAnsi="Calibri"/>
          <w:b w:val="0"/>
          <w:i w:val="0"/>
          <w:color w:val="222222"/>
          <w:sz w:val="22"/>
        </w:rPr>
        <w:t>Quando a topografia exige o alisamento de "apenas metade" da córnea (ex. fenótipo Croissant paracentral), o cirurgião prescreve anéis de 160° ou 210° no meridiano mais curvo. Estes bloqueiam o estiramento na metade inferior, forçando a córnea superior a equilibrar o gradiente.</w:t>
      </w:r>
    </w:p>
    <w:p>
      <w:pPr>
        <w:spacing w:before="240" w:after="240"/>
        <w:jc w:val="center"/>
      </w:pPr>
      <w:r>
        <w:rPr>
          <w:rFonts w:ascii="Calibri" w:hAnsi="Calibri"/>
          <w:color w:val="1B365D"/>
          <w:sz w:val="24"/>
        </w:rPr>
        <w:t>❖   ❖   ❖</w:t>
      </w:r>
    </w:p>
    <w:p>
      <w:pPr>
        <w:pStyle w:val="Heading2"/>
      </w:pPr>
      <w:r/>
      <w:r>
        <w:rPr>
          <w:rFonts w:ascii="Calibri" w:hAnsi="Calibri"/>
          <w:b w:val="0"/>
          <w:i w:val="0"/>
          <w:color w:val="1B365D"/>
          <w:sz w:val="28"/>
        </w:rPr>
        <w:t>6.5 Implicações Clínicas no Planeamento (Cilindro vs. Miopia)</w:t>
      </w:r>
    </w:p>
    <w:p>
      <w:r>
        <w:rPr>
          <w:rFonts w:ascii="Calibri" w:hAnsi="Calibri"/>
          <w:b w:val="0"/>
          <w:i w:val="0"/>
          <w:color w:val="222222"/>
          <w:sz w:val="22"/>
        </w:rPr>
        <w:t>Com o modelo AVBC agora firmemente sustentado pela prova volumétrica de $V</w:t>
      </w:r>
      <w:r>
        <w:rPr>
          <w:rFonts w:ascii="Calibri" w:hAnsi="Calibri"/>
          <w:b w:val="0"/>
          <w:i/>
          <w:color w:val="222222"/>
          <w:sz w:val="22"/>
        </w:rPr>
        <w:t>R$ e elástica de $V</w:t>
      </w:r>
      <w:r>
        <w:rPr>
          <w:rFonts w:ascii="Calibri" w:hAnsi="Calibri"/>
          <w:b w:val="0"/>
          <w:i w:val="0"/>
          <w:color w:val="222222"/>
          <w:sz w:val="22"/>
        </w:rPr>
        <w:t>T$, o planeamento passa de empírico a um processo ortogonal metódico de dois passos:</w:t>
      </w:r>
    </w:p>
    <w:p>
      <w:pPr>
        <w:pStyle w:val="ListNumber"/>
        <w:spacing w:before="40" w:after="80" w:line="276" w:lineRule="auto"/>
      </w:pPr>
      <w:r>
        <w:rPr>
          <w:rFonts w:ascii="Calibri" w:hAnsi="Calibri"/>
          <w:b/>
          <w:i w:val="0"/>
          <w:color w:val="222222"/>
          <w:sz w:val="22"/>
        </w:rPr>
        <w:t>Passo 1: Definir a Regularização ($V_T$).</w:t>
      </w:r>
    </w:p>
    <w:p>
      <w:pPr>
        <w:pStyle w:val="ListBullet"/>
        <w:spacing w:before="40" w:after="80" w:line="276" w:lineRule="auto"/>
      </w:pPr>
      <w:r>
        <w:rPr>
          <w:rFonts w:ascii="Calibri" w:hAnsi="Calibri"/>
          <w:b w:val="0"/>
          <w:i w:val="0"/>
          <w:color w:val="222222"/>
          <w:sz w:val="22"/>
        </w:rPr>
        <w:t>Qual a magnitude do astigmatismo irregular (Cilindro / Coma)?</w:t>
      </w:r>
    </w:p>
    <w:p>
      <w:pPr>
        <w:pStyle w:val="ListBullet"/>
        <w:spacing w:before="40" w:after="80" w:line="276" w:lineRule="auto"/>
      </w:pPr>
      <w:r>
        <w:rPr>
          <w:rFonts w:ascii="Calibri" w:hAnsi="Calibri"/>
          <w:b w:val="0"/>
          <w:i/>
          <w:color w:val="222222"/>
          <w:sz w:val="22"/>
        </w:rPr>
        <w:t>Se baixo (&lt; 2.0 D)</w:t>
      </w:r>
      <w:r>
        <w:rPr>
          <w:rFonts w:ascii="Calibri" w:hAnsi="Calibri"/>
          <w:b w:val="0"/>
          <w:i w:val="0"/>
          <w:color w:val="222222"/>
          <w:sz w:val="22"/>
        </w:rPr>
        <w:t>: Um arco curto de 90° a 120° restringe muito pouco a periferia, deixando a cúpula simétrica.</w:t>
      </w:r>
    </w:p>
    <w:p>
      <w:pPr>
        <w:pStyle w:val="ListBullet"/>
        <w:spacing w:before="40" w:after="80" w:line="276" w:lineRule="auto"/>
      </w:pPr>
      <w:r>
        <w:rPr>
          <w:rFonts w:ascii="Calibri" w:hAnsi="Calibri"/>
          <w:b w:val="0"/>
          <w:i/>
          <w:color w:val="222222"/>
          <w:sz w:val="22"/>
        </w:rPr>
        <w:t>Se elevado (&gt; 4.0 D)</w:t>
      </w:r>
      <w:r>
        <w:rPr>
          <w:rFonts w:ascii="Calibri" w:hAnsi="Calibri"/>
          <w:b w:val="0"/>
          <w:i w:val="0"/>
          <w:color w:val="222222"/>
          <w:sz w:val="22"/>
        </w:rPr>
        <w:t>: Arcos muito longos (210° a 320°) aplicam uma restrição férrea massiva ($\delta_{ring} &lt; 10\ \mu m$), esmagando a assimetria comática.</w:t>
      </w:r>
    </w:p>
    <w:p>
      <w:pPr>
        <w:pStyle w:val="ListNumber"/>
        <w:spacing w:before="40" w:after="80" w:line="276" w:lineRule="auto"/>
      </w:pPr>
      <w:r>
        <w:rPr>
          <w:rFonts w:ascii="Calibri" w:hAnsi="Calibri"/>
          <w:b/>
          <w:i w:val="0"/>
          <w:color w:val="222222"/>
          <w:sz w:val="22"/>
        </w:rPr>
        <w:t>Passo 2: Definir o Aplanamento ($V_R$).</w:t>
      </w:r>
    </w:p>
    <w:p>
      <w:pPr>
        <w:pStyle w:val="ListBullet"/>
        <w:spacing w:before="40" w:after="80" w:line="276" w:lineRule="auto"/>
      </w:pPr>
      <w:r>
        <w:rPr>
          <w:rFonts w:ascii="Calibri" w:hAnsi="Calibri"/>
          <w:b w:val="0"/>
          <w:i w:val="0"/>
          <w:color w:val="222222"/>
          <w:sz w:val="22"/>
        </w:rPr>
        <w:t>Qual a magnitude do Erro Esférico / K-médio miópico alvo?</w:t>
      </w:r>
    </w:p>
    <w:p>
      <w:pPr>
        <w:pStyle w:val="ListBullet"/>
        <w:spacing w:before="40" w:after="80" w:line="276" w:lineRule="auto"/>
      </w:pPr>
      <w:r>
        <w:rPr>
          <w:rFonts w:ascii="Calibri" w:hAnsi="Calibri"/>
          <w:b w:val="0"/>
          <w:i/>
          <w:color w:val="222222"/>
          <w:sz w:val="22"/>
        </w:rPr>
        <w:t>Se for precisa alta refração</w:t>
      </w:r>
      <w:r>
        <w:rPr>
          <w:rFonts w:ascii="Calibri" w:hAnsi="Calibri"/>
          <w:b w:val="0"/>
          <w:i w:val="0"/>
          <w:color w:val="222222"/>
          <w:sz w:val="22"/>
        </w:rPr>
        <w:t>: Seleciona-se espessuras monstruosas (300 $\mu m$, 350 $\mu m$), independentemente do arco escolhido no Passo 1.</w:t>
      </w:r>
    </w:p>
    <w:p>
      <w:pPr>
        <w:pStyle w:val="ListBullet"/>
        <w:spacing w:before="40" w:after="80" w:line="276" w:lineRule="auto"/>
      </w:pPr>
      <w:r>
        <w:rPr>
          <w:rFonts w:ascii="Calibri" w:hAnsi="Calibri"/>
          <w:b w:val="0"/>
          <w:i/>
          <w:color w:val="222222"/>
          <w:sz w:val="22"/>
        </w:rPr>
        <w:t>Se o K-max for baixo</w:t>
      </w:r>
      <w:r>
        <w:rPr>
          <w:rFonts w:ascii="Calibri" w:hAnsi="Calibri"/>
          <w:b w:val="0"/>
          <w:i w:val="0"/>
          <w:color w:val="222222"/>
          <w:sz w:val="22"/>
        </w:rPr>
        <w:t>: Selecionam-se espessuras finas (150 $\mu m$), para que o longo arco esculpa a córnea sem induzir hipermetropia.</w:t>
      </w:r>
    </w:p>
    <w:p>
      <w:r>
        <w:rPr>
          <w:rFonts w:ascii="Calibri" w:hAnsi="Calibri"/>
          <w:b w:val="0"/>
          <w:i w:val="0"/>
          <w:color w:val="222222"/>
          <w:sz w:val="22"/>
        </w:rPr>
        <w:t>Esta dissociação total — Arco controla a regularização ($V</w:t>
      </w:r>
      <w:r>
        <w:rPr>
          <w:rFonts w:ascii="Calibri" w:hAnsi="Calibri"/>
          <w:b w:val="0"/>
          <w:i/>
          <w:color w:val="222222"/>
          <w:sz w:val="22"/>
        </w:rPr>
        <w:t>T$); Espessura controla o Aplanamento central ($V</w:t>
      </w:r>
      <w:r>
        <w:rPr>
          <w:rFonts w:ascii="Calibri" w:hAnsi="Calibri"/>
          <w:b w:val="0"/>
          <w:i w:val="0"/>
          <w:color w:val="222222"/>
          <w:sz w:val="22"/>
        </w:rPr>
        <w:t>R$) — é a "Pedra de Roseta" que desmistifica séculos de confusão nos nomogramas.</w:t>
      </w:r>
    </w:p>
    <w:p>
      <w:pPr>
        <w:spacing w:before="240" w:after="240"/>
        <w:jc w:val="center"/>
      </w:pPr>
      <w:r>
        <w:rPr>
          <w:rFonts w:ascii="Calibri" w:hAnsi="Calibri"/>
          <w:color w:val="1B365D"/>
          <w:sz w:val="24"/>
        </w:rPr>
        <w:t>❖   ❖   ❖</w:t>
      </w:r>
    </w:p>
    <w:p>
      <w:pPr>
        <w:pStyle w:val="Heading2"/>
      </w:pPr>
      <w:r/>
      <w:r>
        <w:rPr>
          <w:rFonts w:ascii="Calibri" w:hAnsi="Calibri"/>
          <w:b w:val="0"/>
          <w:i w:val="0"/>
          <w:color w:val="1B365D"/>
          <w:sz w:val="28"/>
        </w:rPr>
        <w:t>6.6 Resumo</w:t>
      </w:r>
    </w:p>
    <w:p>
      <w:pPr>
        <w:pStyle w:val="ListNumber"/>
        <w:spacing w:before="40" w:after="80" w:line="276" w:lineRule="auto"/>
      </w:pPr>
      <w:r>
        <w:rPr>
          <w:rFonts w:ascii="Calibri" w:hAnsi="Calibri"/>
          <w:b w:val="0"/>
          <w:i w:val="0"/>
          <w:color w:val="222222"/>
          <w:sz w:val="22"/>
        </w:rPr>
        <w:t>O vetor tangencial ($V_T$) governa a redução da irregularidade (Astigmatismo e Coma).</w:t>
      </w:r>
    </w:p>
    <w:p>
      <w:pPr>
        <w:pStyle w:val="ListNumber"/>
        <w:spacing w:before="40" w:after="80" w:line="276" w:lineRule="auto"/>
      </w:pPr>
      <w:r>
        <w:rPr>
          <w:rFonts w:ascii="Calibri" w:hAnsi="Calibri"/>
          <w:b w:val="0"/>
          <w:i w:val="0"/>
          <w:color w:val="222222"/>
          <w:sz w:val="22"/>
        </w:rPr>
        <w:t>Ele opera impondo uma "Cintagem Límbica" (Hoop Restriction) ao estroma, impedindo fisicamente a distensão excêntrica da periferia corneana sob pressão.</w:t>
      </w:r>
    </w:p>
    <w:p>
      <w:pPr>
        <w:pStyle w:val="ListNumber"/>
        <w:spacing w:before="40" w:after="80" w:line="276" w:lineRule="auto"/>
      </w:pPr>
      <w:r>
        <w:rPr>
          <w:rFonts w:ascii="Calibri" w:hAnsi="Calibri"/>
          <w:b w:val="0"/>
          <w:i w:val="0"/>
          <w:color w:val="222222"/>
          <w:sz w:val="22"/>
        </w:rPr>
        <w:t>A nossa análise demonstra uma correlação matemática quase prefeita, inversamente linear, entre o Comprimento de Arco e a capacidade da córnea se deformar ($R^2 &gt; 0.99$).</w:t>
      </w:r>
    </w:p>
    <w:p>
      <w:pPr>
        <w:pStyle w:val="ListNumber"/>
        <w:spacing w:before="40" w:after="80" w:line="276" w:lineRule="auto"/>
      </w:pPr>
      <w:r>
        <w:rPr>
          <w:rFonts w:ascii="Calibri" w:hAnsi="Calibri"/>
          <w:b w:val="0"/>
          <w:i w:val="0"/>
          <w:color w:val="222222"/>
          <w:sz w:val="22"/>
        </w:rPr>
        <w:t>Crucialmente, o $V_T$ é independente da espessura do anel.</w:t>
      </w:r>
    </w:p>
    <w:p>
      <w:pPr>
        <w:pStyle w:val="ListNumber"/>
        <w:spacing w:before="40" w:after="80" w:line="276" w:lineRule="auto"/>
      </w:pPr>
      <w:r>
        <w:rPr>
          <w:rFonts w:ascii="Calibri" w:hAnsi="Calibri"/>
          <w:b w:val="0"/>
          <w:i w:val="0"/>
          <w:color w:val="222222"/>
          <w:sz w:val="22"/>
        </w:rPr>
        <w:t>Cirurgicamente, o cirurgião "compra" correção astigmática estendendo o arco e "compra" redução de miopia/K-max injetando espessuras mais altas.</w:t>
      </w:r>
    </w:p>
    <w:p>
      <w:pPr>
        <w:spacing w:before="240" w:after="240"/>
        <w:jc w:val="center"/>
      </w:pPr>
      <w:r>
        <w:rPr>
          <w:rFonts w:ascii="Calibri" w:hAnsi="Calibri"/>
          <w:color w:val="1B365D"/>
          <w:sz w:val="24"/>
        </w:rPr>
        <w:t>❖   ❖   ❖</w:t>
      </w:r>
    </w:p>
    <w:p>
      <w:pPr>
        <w:pStyle w:val="Heading2"/>
      </w:pPr>
      <w:r/>
      <w:r>
        <w:rPr>
          <w:rFonts w:ascii="Calibri" w:hAnsi="Calibri"/>
          <w:b w:val="0"/>
          <w:i w:val="0"/>
          <w:color w:val="1B365D"/>
          <w:sz w:val="28"/>
        </w:rPr>
        <w:t>Referências</w:t>
      </w:r>
    </w:p>
    <w:p>
      <w:pPr>
        <w:pStyle w:val="ListNumber"/>
        <w:spacing w:before="40" w:after="80" w:line="276" w:lineRule="auto"/>
      </w:pPr>
      <w:r>
        <w:rPr>
          <w:rFonts w:ascii="Calibri" w:hAnsi="Calibri"/>
          <w:b w:val="0"/>
          <w:i w:val="0"/>
          <w:color w:val="222222"/>
          <w:sz w:val="22"/>
        </w:rPr>
        <w:t xml:space="preserve">Meek KM, Knupp C. Corneal structure and transparency. </w:t>
      </w:r>
      <w:r>
        <w:rPr>
          <w:rFonts w:ascii="Calibri" w:hAnsi="Calibri"/>
          <w:b w:val="0"/>
          <w:i/>
          <w:color w:val="222222"/>
          <w:sz w:val="22"/>
        </w:rPr>
        <w:t>Prog Retin Eye Res</w:t>
      </w:r>
      <w:r>
        <w:rPr>
          <w:rFonts w:ascii="Calibri" w:hAnsi="Calibri"/>
          <w:b w:val="0"/>
          <w:i w:val="0"/>
          <w:color w:val="222222"/>
          <w:sz w:val="22"/>
        </w:rPr>
        <w:t>. 2015;49:1–16.</w:t>
      </w:r>
    </w:p>
    <w:p>
      <w:pPr>
        <w:pStyle w:val="ListNumber"/>
        <w:spacing w:before="40" w:after="80" w:line="276" w:lineRule="auto"/>
      </w:pPr>
      <w:r>
        <w:rPr>
          <w:rFonts w:ascii="Calibri" w:hAnsi="Calibri"/>
          <w:b w:val="0"/>
          <w:i w:val="0"/>
          <w:color w:val="222222"/>
          <w:sz w:val="22"/>
        </w:rPr>
        <w:t xml:space="preserve">Alió JL, Shabayek MH, Belda JI. Semifluorinated KeraRing segments for keratoconus. </w:t>
      </w:r>
      <w:r>
        <w:rPr>
          <w:rFonts w:ascii="Calibri" w:hAnsi="Calibri"/>
          <w:b w:val="0"/>
          <w:i/>
          <w:color w:val="222222"/>
          <w:sz w:val="22"/>
        </w:rPr>
        <w:t>J Refract Surg</w:t>
      </w:r>
      <w:r>
        <w:rPr>
          <w:rFonts w:ascii="Calibri" w:hAnsi="Calibri"/>
          <w:b w:val="0"/>
          <w:i w:val="0"/>
          <w:color w:val="222222"/>
          <w:sz w:val="22"/>
        </w:rPr>
        <w:t>. 2006;22(2):149–157.</w:t>
      </w:r>
    </w:p>
    <w:p>
      <w:pPr>
        <w:pStyle w:val="ListNumber"/>
        <w:spacing w:before="40" w:after="80" w:line="276" w:lineRule="auto"/>
      </w:pPr>
      <w:r>
        <w:rPr>
          <w:rFonts w:ascii="Calibri" w:hAnsi="Calibri"/>
          <w:b w:val="0"/>
          <w:i w:val="0"/>
          <w:color w:val="222222"/>
          <w:sz w:val="22"/>
        </w:rPr>
        <w:t xml:space="preserve">Roberts CJ, Dupps WJ Jr. Biomechanics of corneal ectasia and biomechanical treatments. </w:t>
      </w:r>
      <w:r>
        <w:rPr>
          <w:rFonts w:ascii="Calibri" w:hAnsi="Calibri"/>
          <w:b w:val="0"/>
          <w:i/>
          <w:color w:val="222222"/>
          <w:sz w:val="22"/>
        </w:rPr>
        <w:t>J Cataract Refract Surg</w:t>
      </w:r>
      <w:r>
        <w:rPr>
          <w:rFonts w:ascii="Calibri" w:hAnsi="Calibri"/>
          <w:b w:val="0"/>
          <w:i w:val="0"/>
          <w:color w:val="222222"/>
          <w:sz w:val="22"/>
        </w:rPr>
        <w:t>. 2014;40(6):991–998.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</w:pPr>
    <w:rPr>
      <w:rFonts w:ascii="Calibri" w:hAnsi="Calibri"/>
      <w:color w:val="22222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1B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B365D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color w:val="1B365D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276" w:lineRule="auto" w:after="80"/>
      <w:contextualSpacing/>
    </w:pPr>
    <w:rPr>
      <w:rFonts w:ascii="Calibri" w:hAnsi="Calibri"/>
      <w:color w:val="222222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276" w:lineRule="auto" w:after="80"/>
      <w:contextualSpacing/>
    </w:pPr>
    <w:rPr>
      <w:rFonts w:ascii="Calibri" w:hAnsi="Calibri"/>
      <w:color w:val="222222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