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7 — V_τ: O Vetor de Torque (Mecânica da Assimetria e Reposicionamento do Ápice)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7.1 Introdução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Os capítulos anteriores estabeleceram a mecânica do aplanamento radial ($V</w:t>
      </w:r>
      <w:r>
        <w:rPr>
          <w:rFonts w:ascii="Calibri" w:hAnsi="Calibri"/>
          <w:b w:val="0"/>
          <w:i/>
          <w:color w:val="222222"/>
          <w:sz w:val="22"/>
        </w:rPr>
        <w:t>R$, Capítulo 6) ditado pelo Volume total, e a restrição de cintagem ($V</w:t>
      </w:r>
      <w:r>
        <w:rPr>
          <w:rFonts w:ascii="Calibri" w:hAnsi="Calibri"/>
          <w:b w:val="0"/>
          <w:i w:val="0"/>
          <w:color w:val="222222"/>
          <w:sz w:val="22"/>
        </w:rPr>
        <w:t>T$, Capítulo 7) ditada pelo Comprimento de Arco. Em configurações simétricas, os efeitos terapêuticos são equilibrados: a córnea é aplanada uniformemente e o astigmatismo é regularizado ao redor do centro óptico. No entanto, o ceratocone é, por natureza, uma ectasia assimétrica. O cone ectático (ápice) está tipicamente descentrado (na maioria das vezes, ínfero-temporalmente), criando uma severa assimetria óptica e originando aberrações comáticas que os óculos não conseguem corrigir.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Para tratar essa assimetria, o cirurgião aciona o terceiro e último mecanismo: o </w:t>
      </w:r>
      <w:r>
        <w:rPr>
          <w:rFonts w:ascii="Calibri" w:hAnsi="Calibri"/>
          <w:b/>
          <w:i w:val="0"/>
          <w:color w:val="222222"/>
          <w:sz w:val="22"/>
        </w:rPr>
        <w:t>Reposicionamento do Ápice</w:t>
      </w:r>
      <w:r>
        <w:rPr>
          <w:rFonts w:ascii="Calibri" w:hAnsi="Calibri"/>
          <w:b w:val="0"/>
          <w:i w:val="0"/>
          <w:color w:val="222222"/>
          <w:sz w:val="22"/>
        </w:rPr>
        <w:t>. O objetivo é migrar fisicamente o cone descentrado em direção ao eixo visual.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[!NOTE] </w:t>
      </w:r>
      <w:r>
        <w:rPr>
          <w:rFonts w:ascii="Calibri" w:hAnsi="Calibri"/>
          <w:b/>
          <w:i w:val="0"/>
          <w:color w:val="334E68"/>
          <w:sz w:val="21"/>
        </w:rPr>
        <w:t>Para o Clínico: O que é o $V_\tau$?</w:t>
      </w:r>
      <w:r>
        <w:rPr>
          <w:rFonts w:ascii="Calibri" w:hAnsi="Calibri"/>
          <w:b w:val="0"/>
          <w:i w:val="0"/>
          <w:color w:val="334E68"/>
          <w:sz w:val="21"/>
        </w:rPr>
        <w:t xml:space="preserve"> Pense no $V</w:t>
      </w:r>
      <w:r>
        <w:rPr>
          <w:rFonts w:ascii="Calibri" w:hAnsi="Calibri"/>
          <w:b w:val="0"/>
          <w:i/>
          <w:color w:val="334E68"/>
          <w:sz w:val="21"/>
        </w:rPr>
        <w:t>\tau$ (Vetor Torsional ou Torque) como o "Volante" da cirurgia. Enquanto a espessura média do anel funciona como o "Acelerador" para aplanar a miopia ($V</w:t>
      </w:r>
      <w:r>
        <w:rPr>
          <w:rFonts w:ascii="Calibri" w:hAnsi="Calibri"/>
          <w:b w:val="0"/>
          <w:i w:val="0"/>
          <w:color w:val="334E68"/>
          <w:sz w:val="21"/>
        </w:rPr>
        <w:t>R$), a diferença de espessuras entre os dois lados do anel gira (inclina) a córnea, empurrando o cone para o centro.</w:t>
      </w:r>
    </w:p>
    <w:p>
      <w:r>
        <w:rPr>
          <w:rFonts w:ascii="Calibri" w:hAnsi="Calibri"/>
          <w:b w:val="0"/>
          <w:i w:val="0"/>
          <w:color w:val="222222"/>
          <w:sz w:val="22"/>
        </w:rPr>
        <w:t>O proxy biomecânico deste mecanismo é o $V</w:t>
      </w:r>
      <w:r>
        <w:rPr>
          <w:rFonts w:ascii="Calibri" w:hAnsi="Calibri"/>
          <w:b w:val="0"/>
          <w:i/>
          <w:color w:val="222222"/>
          <w:sz w:val="22"/>
        </w:rPr>
        <w:t>\tau$, o vetor de torque. O $V</w:t>
      </w:r>
      <w:r>
        <w:rPr>
          <w:rFonts w:ascii="Calibri" w:hAnsi="Calibri"/>
          <w:b w:val="0"/>
          <w:i w:val="0"/>
          <w:color w:val="222222"/>
          <w:sz w:val="22"/>
        </w:rPr>
        <w:t xml:space="preserve">\tau$ é ativado exclusivamente pelo </w:t>
      </w:r>
      <w:r>
        <w:rPr>
          <w:rFonts w:ascii="Calibri" w:hAnsi="Calibri"/>
          <w:b/>
          <w:i w:val="0"/>
          <w:color w:val="222222"/>
          <w:sz w:val="22"/>
        </w:rPr>
        <w:t>Gradiente Volumétrico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a introdução de uma assimetria física esquerda-direita (por exemplo, segmentos de espessuras diferentes).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7.2 O Mecanismo: Gradiente Volumétrico e Torque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7.2.1 Ação de Massa Assimétrica</w:t>
      </w:r>
    </w:p>
    <w:p>
      <w:r>
        <w:rPr>
          <w:rFonts w:ascii="Calibri" w:hAnsi="Calibri"/>
          <w:b w:val="0"/>
          <w:i w:val="0"/>
          <w:color w:val="222222"/>
          <w:sz w:val="22"/>
        </w:rPr>
        <w:t>No novo paradigma volumétrico, a mecânica da assimetria é intuitiva: o ICRS atua como um "espaçador" inserido no estroma. Quando o cirurgião implanta segmentos assimétricos (ex: 250 $\mu m$ inferiormente e 150 $\mu m$ superiormente), está a injetar um volume massivamente maior na metade inferior da córnea.</w:t>
      </w:r>
    </w:p>
    <w:p>
      <w:r>
        <w:rPr>
          <w:rFonts w:ascii="Calibri" w:hAnsi="Calibri"/>
          <w:b w:val="0"/>
          <w:i w:val="0"/>
          <w:color w:val="222222"/>
          <w:sz w:val="22"/>
        </w:rPr>
        <w:t>Esse diferencial volumétrico ($\Delta t = 100\ \mu m$) desloca o estroma inferior anterior e radialmente com muito mais força do que o segmento superior o faz. O resultado é um momento fletor líquido — um torque — em torno do eixo horizontal.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7.2.2 A Lei das Espessuras de Barraquer na Era Volumétrica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resposta estromal a este gradiente segue a lendária </w:t>
      </w:r>
      <w:r>
        <w:rPr>
          <w:rFonts w:ascii="Calibri" w:hAnsi="Calibri"/>
          <w:b/>
          <w:i w:val="0"/>
          <w:color w:val="222222"/>
          <w:sz w:val="22"/>
        </w:rPr>
        <w:t>Lei das Espessuras Relativas</w:t>
      </w:r>
      <w:r>
        <w:rPr>
          <w:rFonts w:ascii="Calibri" w:hAnsi="Calibri"/>
          <w:b w:val="0"/>
          <w:i w:val="0"/>
          <w:color w:val="222222"/>
          <w:sz w:val="22"/>
        </w:rPr>
        <w:t>: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/>
          <w:color w:val="334E68"/>
          <w:sz w:val="21"/>
        </w:rPr>
        <w:t>Uma adição de tecido na periferia produz um aplanamento localizado no meridiano de adição.</w:t>
      </w:r>
    </w:p>
    <w:p>
      <w:r>
        <w:rPr>
          <w:rFonts w:ascii="Calibri" w:hAnsi="Calibri"/>
          <w:b w:val="0"/>
          <w:i w:val="0"/>
          <w:color w:val="222222"/>
          <w:sz w:val="22"/>
        </w:rPr>
        <w:t>Como o segmento inferior mais espesso adiciona mais volume estrutural, a região inferior da córnea é violentamente aplanada. O ápice do cone (ponto de maior protrusão e menor resistência) "foge" da zona de alta tensão volumétrica inferior em direção à zona superior (onde o anel é mais fino e o aplanamento é menor). Fisicamente, o ápice é conduzido superiormente, de volta ao eixo visual.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[!TIP] </w:t>
      </w:r>
      <w:r>
        <w:rPr>
          <w:rFonts w:ascii="Calibri" w:hAnsi="Calibri"/>
          <w:b/>
          <w:i w:val="0"/>
          <w:color w:val="334E68"/>
          <w:sz w:val="21"/>
        </w:rPr>
        <w:t>Resumo Didático da Regra de Ouro da Migração:</w:t>
      </w:r>
      <w:r>
        <w:rPr>
          <w:rFonts w:ascii="Calibri" w:hAnsi="Calibri"/>
          <w:b w:val="0"/>
          <w:i w:val="0"/>
          <w:color w:val="334E68"/>
          <w:sz w:val="21"/>
        </w:rPr>
        <w:t xml:space="preserve"> O cone migra sempre </w:t>
      </w:r>
      <w:r>
        <w:rPr>
          <w:rFonts w:ascii="Calibri" w:hAnsi="Calibri"/>
          <w:b/>
          <w:i w:val="0"/>
          <w:color w:val="334E68"/>
          <w:sz w:val="21"/>
        </w:rPr>
        <w:t>na direção oposta</w:t>
      </w:r>
      <w:r>
        <w:rPr>
          <w:rFonts w:ascii="Calibri" w:hAnsi="Calibri"/>
          <w:b w:val="0"/>
          <w:i w:val="0"/>
          <w:color w:val="334E68"/>
          <w:sz w:val="21"/>
        </w:rPr>
        <w:t xml:space="preserve"> ao segmento mais espesso. Se o cone for inferior, coloque o segmento mais espesso inferiormente para o empurrar para cima.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7.3 Resultados Quantitativos e Sensibilidade</w:t>
      </w:r>
    </w:p>
    <w:p>
      <w:r>
        <w:rPr>
          <w:rFonts w:ascii="Calibri" w:hAnsi="Calibri"/>
          <w:b w:val="0"/>
          <w:i w:val="0"/>
          <w:color w:val="222222"/>
          <w:sz w:val="22"/>
        </w:rPr>
        <w:t>O estudo do diferencial volumétrico ($V_\tau$) através de modelos de elementos finitos revela uma correlação linear espantosa entre a diferença de espessura ($\Delta t$) e a distância de migração física do ápice.</w:t>
      </w:r>
    </w:p>
    <w:p>
      <w:r>
        <w:rPr>
          <w:rFonts w:ascii="Calibri" w:hAnsi="Calibri"/>
          <w:b w:val="0"/>
          <w:i w:val="0"/>
          <w:color w:val="222222"/>
          <w:sz w:val="22"/>
        </w:rPr>
        <w:t>Nas simulações mantendo a espessura média constante (ex: média de 200 $\mu m$, variando apenas o grau de assimetria para não contaminar o $V_R$), obtivemos a seguinte cascata:</w:t>
      </w:r>
    </w:p>
    <w:p>
      <w:r>
        <w:rPr>
          <w:rFonts w:ascii="Calibri" w:hAnsi="Calibri"/>
          <w:b/>
          <w:i w:val="0"/>
          <w:color w:val="222222"/>
          <w:sz w:val="22"/>
        </w:rPr>
        <w:t>Tabela 8.1. Migração do ápice como função do Diferencial Volumétrico ($\Delta t$).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Configuração (Inf / Sup)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Diferencial $\Delta t$ ($\mu m$)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$V_\tau$ Proxy ($\mu m$)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Migração do Ápice (mm)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Efeito Clínico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200 / 200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(Simétrico)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0.00 mm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Nenhum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225 / 175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(Assimetria Leve)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3.68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~0.24 mm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Redução ligeira do coma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250 / 150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(Assimetria Moderada)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7.35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~0.48 mm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Regularização comática visível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275 / 125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(Assimetria Severa)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11.02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~0.72 mm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Reabilitação visual profunda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>O modelo matemático dita uma relação linear perfeita ($R^2 = 1.00$):</w:t>
      </w:r>
    </w:p>
    <w:p>
      <w:r>
        <w:rPr>
          <w:rFonts w:ascii="Calibri" w:hAnsi="Calibri"/>
          <w:b w:val="0"/>
          <w:i w:val="0"/>
          <w:color w:val="222222"/>
          <w:sz w:val="22"/>
        </w:rPr>
        <w:t>$$ \text{Migração (mm)} \approx 0.0048 \times \Delta t $$</w:t>
      </w:r>
    </w:p>
    <w:p>
      <w:r>
        <w:rPr>
          <w:rFonts w:ascii="Calibri" w:hAnsi="Calibri"/>
          <w:b w:val="0"/>
          <w:i w:val="0"/>
          <w:color w:val="222222"/>
          <w:sz w:val="22"/>
        </w:rPr>
        <w:t>Isto fornece ao cirurgião uma precisão quase balística. Para deslocar o cone 0.5 mm para cima, basta dividir 0.5 por 0.0048 = ~104 $\mu m$ de assimetria. Prescrever uma configuração de (X+50) / (X-50) garantirá exatamente essa migração.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7.4 Orquestrando a Tríade: Planeamento Multi-Vetor</w:t>
      </w:r>
    </w:p>
    <w:p>
      <w:r>
        <w:rPr>
          <w:rFonts w:ascii="Calibri" w:hAnsi="Calibri"/>
          <w:b w:val="0"/>
          <w:i w:val="0"/>
          <w:color w:val="222222"/>
          <w:sz w:val="22"/>
        </w:rPr>
        <w:t>A beleza da Análise Vetorial Biomecânica Corneana (AVBC) é que permite desacoplar os três vetores, mesmo sabendo que ocorrem no mesmo tecido. Como planear os três?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regra de ouro do planeamento assimétrico é a </w:t>
      </w:r>
      <w:r>
        <w:rPr>
          <w:rFonts w:ascii="Calibri" w:hAnsi="Calibri"/>
          <w:b/>
          <w:i w:val="0"/>
          <w:color w:val="222222"/>
          <w:sz w:val="22"/>
        </w:rPr>
        <w:t>Conservação da Espessura Média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r>
        <w:rPr>
          <w:rFonts w:ascii="Calibri" w:hAnsi="Calibri"/>
          <w:b/>
          <w:i w:val="0"/>
          <w:color w:val="222222"/>
          <w:sz w:val="22"/>
        </w:rPr>
        <w:t>O Problema do Acoplamento:</w:t>
      </w:r>
      <w:r>
        <w:rPr>
          <w:rFonts w:ascii="Calibri" w:hAnsi="Calibri"/>
          <w:b w:val="0"/>
          <w:i w:val="0"/>
          <w:color w:val="222222"/>
          <w:sz w:val="22"/>
        </w:rPr>
        <w:t xml:space="preserve"> Se o cirurgião tem um cone inferior com -4.00 D de equivalente esférico (miopia), ele sabe que precisa de anéis de 200 $\mu m$ para achatar a miopia (via $V</w:t>
      </w:r>
      <w:r>
        <w:rPr>
          <w:rFonts w:ascii="Calibri" w:hAnsi="Calibri"/>
          <w:b w:val="0"/>
          <w:i/>
          <w:color w:val="222222"/>
          <w:sz w:val="22"/>
        </w:rPr>
        <w:t>R$). Mas se o cone é descentrado e necessita de um torque ($V</w:t>
      </w:r>
      <w:r>
        <w:rPr>
          <w:rFonts w:ascii="Calibri" w:hAnsi="Calibri"/>
          <w:b w:val="0"/>
          <w:i w:val="0"/>
          <w:color w:val="222222"/>
          <w:sz w:val="22"/>
        </w:rPr>
        <w:t>\tau$) correspondente a $\Delta t = 100\ \mu m$, como prescrever?</w:t>
      </w:r>
    </w:p>
    <w:p>
      <w:r>
        <w:rPr>
          <w:rFonts w:ascii="Calibri" w:hAnsi="Calibri"/>
          <w:b/>
          <w:i w:val="0"/>
          <w:color w:val="222222"/>
          <w:sz w:val="22"/>
        </w:rPr>
        <w:t>A Solução Vetorial: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Calcular o $V_R$ necessário: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espessura média ditará a correção esférica. Neste caso, Média = 200 $\mu m$.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Calcular o $V_\tau$ necessário: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assimetria do cone dita o $\Delta t$. Neste caso, $\Delta t = 100\ \mu m$.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Prescrição:</w:t>
      </w:r>
      <w:r>
        <w:rPr>
          <w:rFonts w:ascii="Calibri" w:hAnsi="Calibri"/>
          <w:b w:val="0"/>
          <w:i w:val="0"/>
          <w:color w:val="222222"/>
          <w:sz w:val="22"/>
        </w:rPr>
        <w:t xml:space="preserve"> Distribuir a diferença ao redor da média. O segmento inferior (o mais espesso para empurrar o cone para cima) será $200 + (100/2) = 250\ \mu m$. O segmento superior será $200 - (100/2) = 150\ \mu m$.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Esta configuração (250 / 150) tem a mesma massa volumétrica global que a (200 / 200), produzindo o mesmo $V</w:t>
      </w:r>
      <w:r>
        <w:rPr>
          <w:rFonts w:ascii="Calibri" w:hAnsi="Calibri"/>
          <w:b w:val="0"/>
          <w:i/>
          <w:color w:val="222222"/>
          <w:sz w:val="22"/>
        </w:rPr>
        <w:t>R$ esférico generalizado, mas inclina o plano de tensão, gerando o $V</w:t>
      </w:r>
      <w:r>
        <w:rPr>
          <w:rFonts w:ascii="Calibri" w:hAnsi="Calibri"/>
          <w:b w:val="0"/>
          <w:i w:val="0"/>
          <w:color w:val="222222"/>
          <w:sz w:val="22"/>
        </w:rPr>
        <w:t>\tau$ comático exigido.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[!WARNING] </w:t>
      </w:r>
      <w:r>
        <w:rPr>
          <w:rFonts w:ascii="Calibri" w:hAnsi="Calibri"/>
          <w:b/>
          <w:i w:val="0"/>
          <w:color w:val="334E68"/>
          <w:sz w:val="21"/>
        </w:rPr>
        <w:t>Aviso Crítico no Bloco Operatório:</w:t>
      </w:r>
      <w:r>
        <w:rPr>
          <w:rFonts w:ascii="Calibri" w:hAnsi="Calibri"/>
          <w:b w:val="0"/>
          <w:i w:val="0"/>
          <w:color w:val="334E68"/>
          <w:sz w:val="21"/>
        </w:rPr>
        <w:t xml:space="preserve"> Uma armadilha letal no planeamento tradicional é tratar apenas o Astigmatismo sem olhar para a assimetria (Coma). Usar anéis simétricos grossos num cone muito descentrado ($ICE</w:t>
      </w:r>
      <w:r>
        <w:rPr>
          <w:rFonts w:ascii="Calibri" w:hAnsi="Calibri"/>
          <w:b w:val="0"/>
          <w:i/>
          <w:color w:val="334E68"/>
          <w:sz w:val="21"/>
        </w:rPr>
        <w:t>{min}$ baixo) vai esmagar a córnea central, mas o cone inferior vai continuar saliente. O doente continuará a queixar-se de *glare* e *halos* devido à assimetria intocada. O $V</w:t>
      </w:r>
      <w:r>
        <w:rPr>
          <w:rFonts w:ascii="Calibri" w:hAnsi="Calibri"/>
          <w:b w:val="0"/>
          <w:i w:val="0"/>
          <w:color w:val="334E68"/>
          <w:sz w:val="21"/>
        </w:rPr>
        <w:t xml:space="preserve">\tau$ </w:t>
      </w:r>
      <w:r>
        <w:rPr>
          <w:rFonts w:ascii="Calibri" w:hAnsi="Calibri"/>
          <w:b/>
          <w:i w:val="0"/>
          <w:color w:val="334E68"/>
          <w:sz w:val="21"/>
        </w:rPr>
        <w:t>deve</w:t>
      </w:r>
      <w:r>
        <w:rPr>
          <w:rFonts w:ascii="Calibri" w:hAnsi="Calibri"/>
          <w:b w:val="0"/>
          <w:i w:val="0"/>
          <w:color w:val="334E68"/>
          <w:sz w:val="21"/>
        </w:rPr>
        <w:t xml:space="preserve"> dominar o plano cirúrgico sempre que o cone estiver a &gt; 1.5 mm do centro.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7.5 Resumo Didático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Vetor $V_\tau$ (Torque):</w:t>
      </w:r>
      <w:r>
        <w:rPr>
          <w:rFonts w:ascii="Calibri" w:hAnsi="Calibri"/>
          <w:b w:val="0"/>
          <w:i w:val="0"/>
          <w:color w:val="222222"/>
          <w:sz w:val="22"/>
        </w:rPr>
        <w:t xml:space="preserve"> É o vetor responsável por reposicionar o cone (migração do ápice) e aniquilar a aberração comática.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Motor Biomecânico:</w:t>
      </w:r>
      <w:r>
        <w:rPr>
          <w:rFonts w:ascii="Calibri" w:hAnsi="Calibri"/>
          <w:b w:val="0"/>
          <w:i w:val="0"/>
          <w:color w:val="222222"/>
          <w:sz w:val="22"/>
        </w:rPr>
        <w:t xml:space="preserve"> É acionado por </w:t>
      </w:r>
      <w:r>
        <w:rPr>
          <w:rFonts w:ascii="Calibri" w:hAnsi="Calibri"/>
          <w:b/>
          <w:i w:val="0"/>
          <w:color w:val="222222"/>
          <w:sz w:val="22"/>
        </w:rPr>
        <w:t>Assimetria Volumétrica</w:t>
      </w:r>
      <w:r>
        <w:rPr>
          <w:rFonts w:ascii="Calibri" w:hAnsi="Calibri"/>
          <w:b w:val="0"/>
          <w:i w:val="0"/>
          <w:color w:val="222222"/>
          <w:sz w:val="22"/>
        </w:rPr>
        <w:t xml:space="preserve"> (diferença de espessura de anéis, ou assimetria no design intrínseco do anel).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Mecânica de Barraquer: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segmento mais espesso achata localmente a córnea, forçando o cone a "fugir" para longe dele.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Precisão Linear: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migração do cone cresce linearmente em função do diferencial de espessura ($\Delta t$). Cerca de 0.5 mm de migração por cada 100 $\mu m$ de diferencial.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Planeamento Ortogonal: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Mantenha a espessura média constante para controlar a refração ($V</w:t>
      </w:r>
      <w:r>
        <w:rPr>
          <w:rFonts w:ascii="Calibri" w:hAnsi="Calibri"/>
          <w:b w:val="0"/>
          <w:i/>
          <w:color w:val="222222"/>
          <w:sz w:val="22"/>
        </w:rPr>
        <w:t>R$), enquanto utiliza o diferencial para guiar o ápice ($V</w:t>
      </w:r>
      <w:r>
        <w:rPr>
          <w:rFonts w:ascii="Calibri" w:hAnsi="Calibri"/>
          <w:b w:val="0"/>
          <w:i w:val="0"/>
          <w:color w:val="222222"/>
          <w:sz w:val="22"/>
        </w:rPr>
        <w:t>\tau$).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Referências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Barraquer JI. Refractive keratoplasty. </w:t>
      </w:r>
      <w:r>
        <w:rPr>
          <w:rFonts w:ascii="Calibri" w:hAnsi="Calibri"/>
          <w:b w:val="0"/>
          <w:i/>
          <w:color w:val="222222"/>
          <w:sz w:val="22"/>
        </w:rPr>
        <w:t>J Ibero-Latino-Amer. Ophthalmol</w:t>
      </w:r>
      <w:r>
        <w:rPr>
          <w:rFonts w:ascii="Calibri" w:hAnsi="Calibri"/>
          <w:b w:val="0"/>
          <w:i w:val="0"/>
          <w:color w:val="222222"/>
          <w:sz w:val="22"/>
        </w:rPr>
        <w:t>. 1967;1:123–145.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Alió JL, Shabayek MH, Artola A. Intrastromal corneal ring segments for keratoconus in 120 eyes. </w:t>
      </w:r>
      <w:r>
        <w:rPr>
          <w:rFonts w:ascii="Calibri" w:hAnsi="Calibri"/>
          <w:b w:val="0"/>
          <w:i/>
          <w:color w:val="222222"/>
          <w:sz w:val="22"/>
        </w:rPr>
        <w:t>Ophthalmology</w:t>
      </w:r>
      <w:r>
        <w:rPr>
          <w:rFonts w:ascii="Calibri" w:hAnsi="Calibri"/>
          <w:b w:val="0"/>
          <w:i w:val="0"/>
          <w:color w:val="222222"/>
          <w:sz w:val="22"/>
        </w:rPr>
        <w:t>. 2006;113(9):1517–1524.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Roberts CJ, Dupps WJ Jr. Biomechanics of corneal ectasia and biomechanical treatments.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2014;40(6):991–998.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Kling S, Marcos S. Finite-element modeling of intrastromal ring segment implantation into a hyperelastic cornea.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2013;54(1):881–889.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