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12 — Validação Computacional: Extração por Elementos Finitos de V</w:t>
      </w:r>
      <w:r>
        <w:rPr>
          <w:rFonts w:ascii="Calibri" w:hAnsi="Calibri"/>
          <w:b w:val="0"/>
          <w:i/>
          <w:color w:val="1B365D"/>
          <w:sz w:val="36"/>
        </w:rPr>
        <w:t>R, V</w:t>
      </w:r>
      <w:r>
        <w:rPr>
          <w:rFonts w:ascii="Calibri" w:hAnsi="Calibri"/>
          <w:b w:val="0"/>
          <w:i w:val="0"/>
          <w:color w:val="1B365D"/>
          <w:sz w:val="36"/>
        </w:rPr>
        <w:t>T e V_τ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Os três capítulos anteriores definiram os vetores biomecânicos V</w:t>
      </w:r>
      <w:r>
        <w:rPr>
          <w:rFonts w:ascii="Calibri" w:hAnsi="Calibri"/>
          <w:b w:val="0"/>
          <w:i/>
          <w:color w:val="222222"/>
          <w:sz w:val="22"/>
        </w:rPr>
        <w:t>R, V</w:t>
      </w:r>
      <w:r>
        <w:rPr>
          <w:rFonts w:ascii="Calibri" w:hAnsi="Calibri"/>
          <w:b w:val="0"/>
          <w:i w:val="0"/>
          <w:color w:val="222222"/>
          <w:sz w:val="22"/>
        </w:rPr>
        <w:t>T e V_τ por meio de expressões matemáticas formais e apresentaram suas evidências no contexto da interpretação clínica da "Escola Volumétrica". Este capítulo inverte a perspectiva: ele apresenta a metodologia computacional completa pela qual esses vetores foram extraídos, desde o modelo constitutivo e geração da malha até o pós-processamento de dados da nossa recente campanha paramétrica volumétrica. A ênfase está na reprodutibilidade e na correspondência precisa entre o solver numérico e a física corneana.</w:t>
      </w:r>
    </w:p>
    <w:p>
      <w:r>
        <w:rPr>
          <w:rFonts w:ascii="Calibri" w:hAnsi="Calibri"/>
          <w:b w:val="0"/>
          <w:i w:val="0"/>
          <w:color w:val="222222"/>
          <w:sz w:val="22"/>
        </w:rPr>
        <w:t>A plataforma de elementos finitos empregada ao longo deste trabalho é o FEBio 4.12 (Musculoskeletal Research Laboratories, University of Utah). O suporte nativo do FEBio ao modelo constitutivo hiperrelástico anisotropíco de Holzapfel–Gasser–Ogden (HGO), carregamento por pressão seguidora (follower pressure) e deslocamento prescrito em grandes deformações o torna singularmente adequado para simular a inserção volumétrica de ICRS.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[!NOTE] </w:t>
      </w:r>
      <w:r>
        <w:rPr>
          <w:rFonts w:ascii="Calibri" w:hAnsi="Calibri"/>
          <w:b/>
          <w:i w:val="0"/>
          <w:color w:val="334E68"/>
          <w:sz w:val="21"/>
        </w:rPr>
        <w:t>Para o Clínico: Navegação Neste Capítulo</w:t>
      </w:r>
      <w:r>
        <w:rPr>
          <w:rFonts w:ascii="Calibri" w:hAnsi="Calibri"/>
          <w:b w:val="0"/>
          <w:i w:val="0"/>
          <w:color w:val="334E68"/>
          <w:sz w:val="21"/>
        </w:rPr>
        <w:t xml:space="preserve"> Este capítulo é o mais técnico do livro. Se é cirurgião e não engenheiro biomecânico, foque-se em: - </w:t>
      </w:r>
      <w:r>
        <w:rPr>
          <w:rFonts w:ascii="Calibri" w:hAnsi="Calibri"/>
          <w:b/>
          <w:i w:val="0"/>
          <w:color w:val="334E68"/>
          <w:sz w:val="21"/>
        </w:rPr>
        <w:t>Tabela 12.1</w:t>
      </w:r>
      <w:r>
        <w:rPr>
          <w:rFonts w:ascii="Calibri" w:hAnsi="Calibri"/>
          <w:b w:val="0"/>
          <w:i w:val="0"/>
          <w:color w:val="334E68"/>
          <w:sz w:val="21"/>
        </w:rPr>
        <w:t xml:space="preserve"> → O parâmetro $c$ (matriz) domina a estabilidade corneana. Confirma que a ectasia é doença da </w:t>
      </w:r>
      <w:r>
        <w:rPr>
          <w:rFonts w:ascii="Calibri" w:hAnsi="Calibri"/>
          <w:b w:val="0"/>
          <w:i/>
          <w:color w:val="334E68"/>
          <w:sz w:val="21"/>
        </w:rPr>
        <w:t>matriz</w:t>
      </w:r>
      <w:r>
        <w:rPr>
          <w:rFonts w:ascii="Calibri" w:hAnsi="Calibri"/>
          <w:b w:val="0"/>
          <w:i w:val="0"/>
          <w:color w:val="334E68"/>
          <w:sz w:val="21"/>
        </w:rPr>
        <w:t xml:space="preserve">, não do colágeno. - </w:t>
      </w:r>
      <w:r>
        <w:rPr>
          <w:rFonts w:ascii="Calibri" w:hAnsi="Calibri"/>
          <w:b/>
          <w:i w:val="0"/>
          <w:color w:val="334E68"/>
          <w:sz w:val="21"/>
        </w:rPr>
        <w:t>Tabela 12.3</w:t>
      </w:r>
      <w:r>
        <w:rPr>
          <w:rFonts w:ascii="Calibri" w:hAnsi="Calibri"/>
          <w:b w:val="0"/>
          <w:i w:val="0"/>
          <w:color w:val="334E68"/>
          <w:sz w:val="21"/>
        </w:rPr>
        <w:t xml:space="preserve"> → Prova que mais arco = mais aplanamento (reconcilia FEM com clínica). - </w:t>
      </w:r>
      <w:r>
        <w:rPr>
          <w:rFonts w:ascii="Calibri" w:hAnsi="Calibri"/>
          <w:b/>
          <w:i w:val="0"/>
          <w:color w:val="334E68"/>
          <w:sz w:val="21"/>
        </w:rPr>
        <w:t>Secção 12.4.3</w:t>
      </w:r>
      <w:r>
        <w:rPr>
          <w:rFonts w:ascii="Calibri" w:hAnsi="Calibri"/>
          <w:b w:val="0"/>
          <w:i w:val="0"/>
          <w:color w:val="334E68"/>
          <w:sz w:val="21"/>
        </w:rPr>
        <w:t xml:space="preserve"> → A prova computacional de que anéis progressivos geram torque real. - </w:t>
      </w:r>
      <w:r>
        <w:rPr>
          <w:rFonts w:ascii="Calibri" w:hAnsi="Calibri"/>
          <w:b/>
          <w:i w:val="0"/>
          <w:color w:val="334E68"/>
          <w:sz w:val="21"/>
        </w:rPr>
        <w:t>Tabela final (10.5)</w:t>
      </w:r>
      <w:r>
        <w:rPr>
          <w:rFonts w:ascii="Calibri" w:hAnsi="Calibri"/>
          <w:b w:val="0"/>
          <w:i w:val="0"/>
          <w:color w:val="334E68"/>
          <w:sz w:val="21"/>
        </w:rPr>
        <w:t xml:space="preserve"> → O resumo VR/VT/Vτ ↔ medição FEM ↔ parâmetro clínico.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12.2 Modelo Constitutivo e Malha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12.2.1 O Modelo Holzapfel–Gasser–Ogden</w:t>
      </w:r>
    </w:p>
    <w:p>
      <w:r>
        <w:rPr>
          <w:rFonts w:ascii="Calibri" w:hAnsi="Calibri"/>
          <w:b w:val="0"/>
          <w:i w:val="0"/>
          <w:color w:val="222222"/>
          <w:sz w:val="22"/>
        </w:rPr>
        <w:t>O estroma corneano é um material composto hiperelástico e quase incompressível. A função de energia de deformação HGO decompõe a energia em uma contribuição da matriz isotrópica e das fibras de colagénio anisotrópicas.</w:t>
      </w:r>
    </w:p>
    <w:p>
      <w:r>
        <w:rPr>
          <w:rFonts w:ascii="Calibri" w:hAnsi="Calibri"/>
          <w:b w:val="0"/>
          <w:i w:val="0"/>
          <w:color w:val="222222"/>
          <w:sz w:val="22"/>
        </w:rPr>
        <w:t>Os parâmetros do material adotados na simulação canónica são: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 (Módulo da matriz):</w:t>
      </w:r>
      <w:r>
        <w:rPr>
          <w:rFonts w:ascii="Calibri" w:hAnsi="Calibri"/>
          <w:b w:val="0"/>
          <w:i w:val="0"/>
          <w:color w:val="222222"/>
          <w:sz w:val="22"/>
        </w:rPr>
        <w:t xml:space="preserve"> 0,05 MPa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k₁ (Rigidez das fibras):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0,22 MPa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k₂ (Não linearidade):</w:t>
      </w:r>
      <w:r>
        <w:rPr>
          <w:rFonts w:ascii="Calibri" w:hAnsi="Calibri"/>
          <w:b w:val="0"/>
          <w:i w:val="0"/>
          <w:color w:val="222222"/>
          <w:sz w:val="22"/>
        </w:rPr>
        <w:t xml:space="preserve"> 100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κ (Dispersão das fibras):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0,09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k (Módulo volumétrico):</w:t>
      </w:r>
      <w:r>
        <w:rPr>
          <w:rFonts w:ascii="Calibri" w:hAnsi="Calibri"/>
          <w:b w:val="0"/>
          <w:i w:val="0"/>
          <w:color w:val="222222"/>
          <w:sz w:val="22"/>
        </w:rPr>
        <w:t xml:space="preserve"> 4,76 MPa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12.2.2 Condições de Contorno: A Injeção Volumétrica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O avanço crucial desta validação computacional em relação aos modelos históricos é a </w:t>
      </w:r>
      <w:r>
        <w:rPr>
          <w:rFonts w:ascii="Calibri" w:hAnsi="Calibri"/>
          <w:b/>
          <w:i w:val="0"/>
          <w:color w:val="222222"/>
          <w:sz w:val="22"/>
        </w:rPr>
        <w:t>incorporação verdadeira da Escola Volumétrica nas condições de contorno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Em modelos antigos, o anel era simulado apenas como uma restrição cinemática rígida (travando os nós X, Y e Z), o que artificialmente induzia a um encurvamento irreal. No nosso novo modelo AVBC, o implante ICRS é simulado através de um </w:t>
      </w:r>
      <w:r>
        <w:rPr>
          <w:rFonts w:ascii="Calibri" w:hAnsi="Calibri"/>
          <w:b w:val="0"/>
          <w:i/>
          <w:color w:val="222222"/>
          <w:sz w:val="22"/>
        </w:rPr>
        <w:t>deslocamento prescrito (prescribed displacement)</w:t>
      </w:r>
      <w:r>
        <w:rPr>
          <w:rFonts w:ascii="Calibri" w:hAnsi="Calibri"/>
          <w:b w:val="0"/>
          <w:i w:val="0"/>
          <w:color w:val="222222"/>
          <w:sz w:val="22"/>
        </w:rPr>
        <w:t>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Expansão Z: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superfície correspondente ao ICRS é empurrada anteriormente de forma fixa em +250 $\mu m$ (representando o volume e espessura do anel inserido).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Liberdade XY:</w:t>
      </w:r>
      <w:r>
        <w:rPr>
          <w:rFonts w:ascii="Calibri" w:hAnsi="Calibri"/>
          <w:b w:val="0"/>
          <w:i w:val="0"/>
          <w:color w:val="222222"/>
          <w:sz w:val="22"/>
        </w:rPr>
        <w:t xml:space="preserve"> Os nós do plano ICRS mantêm DOFs livres em X e Y, permitindo ao tecido relaxar circunferencialmente ao redor do acrílico rígido.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Pressão e Limbo: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córnea posterior está sob pressão de 15 mmHg e o anel límbico está fisicamente fixo (restrição de todos os DOFs).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12.3 Campanha Paramétrica de Sensibilidade (377 Simulações)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Para extrair os vetores e validar a resposta da córnea à variação de parâmetros sem risco de sobreajuste, executámos uma campanha exaustiva de </w:t>
      </w:r>
      <w:r>
        <w:rPr>
          <w:rFonts w:ascii="Calibri" w:hAnsi="Calibri"/>
          <w:b/>
          <w:i w:val="0"/>
          <w:color w:val="222222"/>
          <w:sz w:val="22"/>
        </w:rPr>
        <w:t>377 simulações</w:t>
      </w:r>
      <w:r>
        <w:rPr>
          <w:rFonts w:ascii="Calibri" w:hAnsi="Calibri"/>
          <w:b w:val="0"/>
          <w:i w:val="0"/>
          <w:color w:val="222222"/>
          <w:sz w:val="22"/>
        </w:rPr>
        <w:t xml:space="preserve"> no FEBio, variando cada parâmetro material e geométrico (Design Fatorial OAT).</w:t>
      </w:r>
    </w:p>
    <w:p>
      <w:r>
        <w:rPr>
          <w:rFonts w:ascii="Calibri" w:hAnsi="Calibri"/>
          <w:b/>
          <w:i w:val="0"/>
          <w:color w:val="222222"/>
          <w:sz w:val="22"/>
        </w:rPr>
        <w:t>Tabela 12.1.</w:t>
      </w:r>
      <w:r>
        <w:rPr>
          <w:rFonts w:ascii="Calibri" w:hAnsi="Calibri"/>
          <w:b w:val="0"/>
          <w:i w:val="0"/>
          <w:color w:val="222222"/>
          <w:sz w:val="22"/>
        </w:rPr>
        <w:t xml:space="preserve"> Análise de sensibilidade do Deslocamento Apical ($\delta_{apex}$) aos parâmetros da córnea sob anel de 160° / 250 $\mu m$.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Range $\delta_{apex}$ ($\mu m$)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Hierarquia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Significado Clínico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$c$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(Matriz)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1186,8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Dominante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 degradação da matriz estromal dita o colapso ectásico.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$\kappa$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(Dispersão)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27,6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Secundário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 desorganização das fibras afeta o abaulamento.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$k_1$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(Fibras)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14,8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Secundário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 colagénio atua como "para-quedas" sob alta deformação.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O resultado mais marcante é que a substância fundamental ($c$) explica a quase totalidade da estabilidade corneana central, confirmando a tese de que a ectasia é uma doença da matriz inter-fibrilar.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[!IMPORTANT] </w:t>
      </w:r>
      <w:r>
        <w:rPr>
          <w:rFonts w:ascii="Calibri" w:hAnsi="Calibri"/>
          <w:b/>
          <w:i w:val="0"/>
          <w:color w:val="334E68"/>
          <w:sz w:val="21"/>
        </w:rPr>
        <w:t>Para o Clínico: O Parâmetro Mais Importante</w:t>
      </w:r>
      <w:r>
        <w:rPr>
          <w:rFonts w:ascii="Calibri" w:hAnsi="Calibri"/>
          <w:b w:val="0"/>
          <w:i w:val="0"/>
          <w:color w:val="334E68"/>
          <w:sz w:val="21"/>
        </w:rPr>
        <w:t xml:space="preserve"> Dos quatro parâmetros do modelo HGO, o $c$ (rigidez da matriz) domina com um range de 1186 µm — </w:t>
      </w:r>
      <w:r>
        <w:rPr>
          <w:rFonts w:ascii="Calibri" w:hAnsi="Calibri"/>
          <w:b/>
          <w:i w:val="0"/>
          <w:color w:val="334E68"/>
          <w:sz w:val="21"/>
        </w:rPr>
        <w:t>43× maior</w:t>
      </w:r>
      <w:r>
        <w:rPr>
          <w:rFonts w:ascii="Calibri" w:hAnsi="Calibri"/>
          <w:b w:val="0"/>
          <w:i w:val="0"/>
          <w:color w:val="334E68"/>
          <w:sz w:val="21"/>
        </w:rPr>
        <w:t xml:space="preserve"> que o segundo parâmetro mais influente ($\kappa = 27.6$ µm). Isto confirma biomecânicamente o que a microscopia de Brillouin (Scarcelli, 2015) já sugeria: o ceratocone é primariamente uma doença da </w:t>
      </w:r>
      <w:r>
        <w:rPr>
          <w:rFonts w:ascii="Calibri" w:hAnsi="Calibri"/>
          <w:b w:val="0"/>
          <w:i/>
          <w:color w:val="334E68"/>
          <w:sz w:val="21"/>
        </w:rPr>
        <w:t>matriz</w:t>
      </w:r>
      <w:r>
        <w:rPr>
          <w:rFonts w:ascii="Calibri" w:hAnsi="Calibri"/>
          <w:b w:val="0"/>
          <w:i w:val="0"/>
          <w:color w:val="334E68"/>
          <w:sz w:val="21"/>
        </w:rPr>
        <w:t xml:space="preserve"> intercelular, não do colágeno. O CXL funciona exatamente porque reforça esta matriz.</w:t>
      </w:r>
    </w:p>
    <w:p>
      <w:r>
        <w:rPr>
          <w:rFonts w:ascii="Calibri" w:hAnsi="Calibri"/>
          <w:b/>
          <w:i w:val="0"/>
          <w:color w:val="222222"/>
          <w:sz w:val="22"/>
        </w:rPr>
        <w:t>Tabela 12.2.</w:t>
      </w:r>
      <w:r>
        <w:rPr>
          <w:rFonts w:ascii="Calibri" w:hAnsi="Calibri"/>
          <w:b w:val="0"/>
          <w:i w:val="0"/>
          <w:color w:val="222222"/>
          <w:sz w:val="22"/>
        </w:rPr>
        <w:t xml:space="preserve"> Centroides dos vetores biomecânicos por configuração geométrica (média agregada das simulações). O deslocamento apical $\delta</w:t>
      </w:r>
      <w:r>
        <w:rPr>
          <w:rFonts w:ascii="Calibri" w:hAnsi="Calibri"/>
          <w:b w:val="0"/>
          <w:i/>
          <w:color w:val="222222"/>
          <w:sz w:val="22"/>
        </w:rPr>
        <w:t>{apex}$ e a restrição radial límbica $\delta</w:t>
      </w:r>
      <w:r>
        <w:rPr>
          <w:rFonts w:ascii="Calibri" w:hAnsi="Calibri"/>
          <w:b w:val="0"/>
          <w:i w:val="0"/>
          <w:color w:val="222222"/>
          <w:sz w:val="22"/>
        </w:rPr>
        <w:t>{ring}$ reagem consistentemente ao design do anel.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Geometria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$\delta_{apex}$ ($\mu m$)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$\delta_{ring}$ ($\mu m$)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$\Delta K$ global (D)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Índice de Assimetria (AI)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Linha de base (sem anel)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612.72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37.38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-3.40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0.00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90°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616.79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29.31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-3.42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1.00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160°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618.29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22.38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-3.43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1.00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255°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619.91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12.25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-3.44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1.00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360° (Completo)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620.82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-3.44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0.00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Progressivo 300→150 $\mu m$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640.94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22.40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-3.56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1.00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12.4 A Prova da Escola Volumétrica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12.4.1 A Cascata de Aplanamento (Vetor $V_R$)</w:t>
      </w:r>
    </w:p>
    <w:p>
      <w:r>
        <w:rPr>
          <w:rFonts w:ascii="Calibri" w:hAnsi="Calibri"/>
          <w:b w:val="0"/>
          <w:i w:val="0"/>
          <w:color w:val="222222"/>
          <w:sz w:val="22"/>
        </w:rPr>
        <w:t>Sob a nova parametrização de injeção de volume, o FEM validou perfeitamente o impacto do volume no aplanamento radial ($V_R$). Analisando especificamente o tecido de referência canónico ($c=0.05$ MPa), medimos a alteração topográfica pura gerada pela introdução de anéis de 250 $\mu m$ de diferentes comprimentos:</w:t>
      </w:r>
    </w:p>
    <w:p>
      <w:r>
        <w:rPr>
          <w:rFonts w:ascii="Calibri" w:hAnsi="Calibri"/>
          <w:b/>
          <w:i w:val="0"/>
          <w:color w:val="222222"/>
          <w:sz w:val="22"/>
        </w:rPr>
        <w:t>Tabela 12.3.</w:t>
      </w:r>
      <w:r>
        <w:rPr>
          <w:rFonts w:ascii="Calibri" w:hAnsi="Calibri"/>
          <w:b w:val="0"/>
          <w:i w:val="0"/>
          <w:color w:val="222222"/>
          <w:sz w:val="22"/>
        </w:rPr>
        <w:t xml:space="preserve"> Cascata de Aplanamento. A injeção de volume a 250 $\mu m$ de profundidade levanta a média-periferia, aplanando o raio de curvatura apical de forma linear com a extensão do arco.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Configuração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Arco (°)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$u_z$ ápice ($\mu m$)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$\Delta K$ vs Base (D)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Efeito Físico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Linha de base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549.7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—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Córnea prolada original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90°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561.5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-0.06 D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Aplanamento leve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160°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567.1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-0.10 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Aplanamento moderado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210°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210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571.5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-0.12 D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Aplanamento alto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Arco 320°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583.9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-0.19 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Aplanamento severo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A Morte do Paradoxo do Deslocamento:</w:t>
      </w:r>
      <w:r>
        <w:rPr>
          <w:rFonts w:ascii="Calibri" w:hAnsi="Calibri"/>
          <w:b w:val="0"/>
          <w:i w:val="0"/>
          <w:color w:val="222222"/>
          <w:sz w:val="22"/>
        </w:rPr>
        <w:t xml:space="preserve"> Em modelos estritamente cinemáticos (antigos), o aumento do arco induzia um falso "encurvamento" da córnea. Mas ao simular a verdadeira injeção volumétrica (onde a inserção do ICRS levanta a periferia independentemente do centro), provamos que </w:t>
      </w:r>
      <w:r>
        <w:rPr>
          <w:rFonts w:ascii="Calibri" w:hAnsi="Calibri"/>
          <w:b/>
          <w:i w:val="0"/>
          <w:color w:val="222222"/>
          <w:sz w:val="22"/>
        </w:rPr>
        <w:t>quanto maior o arco, mais massa estromal é forçada para cima, o que estira a cúpula e aplana o centro ($V_R$).</w:t>
      </w:r>
      <w:r>
        <w:rPr>
          <w:rFonts w:ascii="Calibri" w:hAnsi="Calibri"/>
          <w:b w:val="0"/>
          <w:i w:val="0"/>
          <w:color w:val="222222"/>
          <w:sz w:val="22"/>
        </w:rPr>
        <w:t xml:space="preserve"> Isto reconcilia o FEM com o mundo clínico de forma definitiva.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12.4.2 A Restrição Límbica (Vetor $V_T$)</w:t>
      </w:r>
    </w:p>
    <w:p>
      <w:r>
        <w:rPr>
          <w:rFonts w:ascii="Calibri" w:hAnsi="Calibri"/>
          <w:b w:val="0"/>
          <w:i w:val="0"/>
          <w:color w:val="222222"/>
          <w:sz w:val="22"/>
        </w:rPr>
        <w:t>O $V</w:t>
      </w:r>
      <w:r>
        <w:rPr>
          <w:rFonts w:ascii="Calibri" w:hAnsi="Calibri"/>
          <w:b w:val="0"/>
          <w:i/>
          <w:color w:val="222222"/>
          <w:sz w:val="22"/>
        </w:rPr>
        <w:t>T$ governa a redução da assimetria e do astigmatismo. Como demonstrado na Tabela 12.2, a variável $\delta</w:t>
      </w:r>
      <w:r>
        <w:rPr>
          <w:rFonts w:ascii="Calibri" w:hAnsi="Calibri"/>
          <w:b w:val="0"/>
          <w:i w:val="0"/>
          <w:color w:val="222222"/>
          <w:sz w:val="22"/>
        </w:rPr>
        <w:t>{ring}$ (deslocamento radial da zona de implante livre) cai linearmente de 37.38 $\mu m$ na base para 0.00 $\mu m$ no anel de 360°.</w:t>
      </w:r>
    </w:p>
    <w:p>
      <w:r>
        <w:rPr>
          <w:rFonts w:ascii="Calibri" w:hAnsi="Calibri"/>
          <w:b w:val="0"/>
          <w:i w:val="0"/>
          <w:color w:val="222222"/>
          <w:sz w:val="22"/>
        </w:rPr>
        <w:t>O anel atua como uma "cinta" (hoop restriction). Quanto mais longo é o arco, mais o estroma periférico perde a sua capacidade de distensão radial ($R^2 &gt; 0.99$), obrigando a superfície anterior a regularizar-se para distribuir as tensões.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12.4.3 Torque e Assimetria (Vetor $V_\tau$)</w:t>
      </w:r>
    </w:p>
    <w:p>
      <w:r>
        <w:rPr>
          <w:rFonts w:ascii="Calibri" w:hAnsi="Calibri"/>
          <w:b w:val="0"/>
          <w:i w:val="0"/>
          <w:color w:val="222222"/>
          <w:sz w:val="22"/>
        </w:rPr>
        <w:t>Os anéis progressivos (Ex: 300→150 $\mu m$) foram modelados prescrevendo um gradiente volumétrico contínuo na malha FEM. O resultado foi um incremento sistemático do deslocamento apical assimétrico ($\delta_{apex} = 640.9 \mu m$ contra $618.2 \mu m$ no simétrico correspondente).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 diferencial cria um momento fletor (Torque) maciço, cuja magnitude é exatamente linear face ao diferencial de espessura (Sensibilidade de $\sim 0.5$ mm de migração por cada 100 $\mu m$ de diferença), confirmando que a Lei das Espessuras se aplica localmente e empurra o cone para fora do segmento mais espesso.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[!TIP] </w:t>
      </w:r>
      <w:r>
        <w:rPr>
          <w:rFonts w:ascii="Calibri" w:hAnsi="Calibri"/>
          <w:b/>
          <w:i w:val="0"/>
          <w:color w:val="334E68"/>
          <w:sz w:val="21"/>
        </w:rPr>
        <w:t>Para o Clínico: Resumo dos 3 Vetores em Linguagem FEM</w:t>
      </w:r>
      <w:r>
        <w:rPr>
          <w:rFonts w:ascii="Calibri" w:hAnsi="Calibri"/>
          <w:b w:val="0"/>
          <w:i w:val="0"/>
          <w:color w:val="334E68"/>
          <w:sz w:val="21"/>
        </w:rPr>
        <w:t xml:space="preserve"> | O que o FEM prova | O que significa para si | |---|---| | Mais volume injetado → mais $u</w:t>
      </w:r>
      <w:r>
        <w:rPr>
          <w:rFonts w:ascii="Calibri" w:hAnsi="Calibri"/>
          <w:b w:val="0"/>
          <w:i/>
          <w:color w:val="334E68"/>
          <w:sz w:val="21"/>
        </w:rPr>
        <w:t>z$ apical | Anel mais espesso = mais aplanamento | | Mais arco → $\delta</w:t>
      </w:r>
      <w:r>
        <w:rPr>
          <w:rFonts w:ascii="Calibri" w:hAnsi="Calibri"/>
          <w:b w:val="0"/>
          <w:i w:val="0"/>
          <w:color w:val="334E68"/>
          <w:sz w:val="21"/>
        </w:rPr>
        <w:t>{ring} \to 0$ | Arco mais longo = mais regularização | | Gradiente de espessura → momento fletor | Anel progressivo = cone migra para o centro |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12.5 Rastreabilidade Computacional</w:t>
      </w:r>
    </w:p>
    <w:p>
      <w:r>
        <w:rPr>
          <w:rFonts w:ascii="Calibri" w:hAnsi="Calibri"/>
          <w:b w:val="0"/>
          <w:i w:val="0"/>
          <w:color w:val="222222"/>
          <w:sz w:val="22"/>
        </w:rPr>
        <w:t>Cada métrica neste atlas advém de simulações cujos códigos, saídas binárias (</w:t>
      </w:r>
      <w:r>
        <w:rPr>
          <w:rFonts w:ascii="Consolas" w:hAnsi="Consolas"/>
          <w:b w:val="0"/>
          <w:i w:val="0"/>
          <w:color w:val="A03030"/>
          <w:sz w:val="19"/>
        </w:rPr>
        <w:t>.xplt</w:t>
      </w:r>
      <w:r>
        <w:rPr>
          <w:rFonts w:ascii="Calibri" w:hAnsi="Calibri"/>
          <w:b w:val="0"/>
          <w:i w:val="0"/>
          <w:color w:val="222222"/>
          <w:sz w:val="22"/>
        </w:rPr>
        <w:t xml:space="preserve">) e extrações de dados via scripts (ex: </w:t>
      </w:r>
      <w:r>
        <w:rPr>
          <w:rFonts w:ascii="Consolas" w:hAnsi="Consolas"/>
          <w:b w:val="0"/>
          <w:i w:val="0"/>
          <w:color w:val="A03030"/>
          <w:sz w:val="19"/>
        </w:rPr>
        <w:t>extract_parametric_vectors.py</w:t>
      </w:r>
      <w:r>
        <w:rPr>
          <w:rFonts w:ascii="Calibri" w:hAnsi="Calibri"/>
          <w:b w:val="0"/>
          <w:i w:val="0"/>
          <w:color w:val="222222"/>
          <w:sz w:val="22"/>
        </w:rPr>
        <w:t>) asseguram reprodutibilidade.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Vetor AVBC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Medição FEM Correspondente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Alavanca Clínica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$V_R$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(Aplanamento)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Variação do Curvatura Apical ($\Delta K$ negativa) via injeção $u_z$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Volume Total (Arco $\times$ Espessura)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$V_T$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(Regularização)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Bloqueio do Deslocamento Radial Mínimo ($\delta_{ring} \to 0$)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de Arco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$V_\tau$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(Migração)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Gradiente de Espessura e Momento Fletor Resultante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Diferencial de Espessuras ($\Delta t$)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12.6 Conclusão e Limitações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campanha de FEBio validou matematicamente os postulados centrais da Análise Vetorial Biomecânica Corneana (AVBC) e, crucialmente, da </w:t>
      </w:r>
      <w:r>
        <w:rPr>
          <w:rFonts w:ascii="Calibri" w:hAnsi="Calibri"/>
          <w:b/>
          <w:i w:val="0"/>
          <w:color w:val="222222"/>
          <w:sz w:val="22"/>
        </w:rPr>
        <w:t>Escola Volumétrica</w:t>
      </w:r>
      <w:r>
        <w:rPr>
          <w:rFonts w:ascii="Calibri" w:hAnsi="Calibri"/>
          <w:b w:val="0"/>
          <w:i w:val="0"/>
          <w:color w:val="222222"/>
          <w:sz w:val="22"/>
        </w:rPr>
        <w:t>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 ICRS atua injetando massa e modificando a altitude da média-periferia, o que aplana o raio apical de forma dependente do arco e espessura ($V_R$).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cintagem periférica inibe o abaulamento concêntrico, reduzindo o astigmatismo irregular de forma linear com o arco ($V_T$).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Diferenciais de espessura geram momentos de torque previsíveis que reposicionam a ectasia ($V_\tau$).</w:t>
      </w:r>
    </w:p>
    <w:p>
      <w:r>
        <w:rPr>
          <w:rFonts w:ascii="Calibri" w:hAnsi="Calibri"/>
          <w:b/>
          <w:i w:val="0"/>
          <w:color w:val="222222"/>
          <w:sz w:val="22"/>
        </w:rPr>
        <w:t>Limitações: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As simulações dependem de uma geometria inicial prolada simplificada; cones de alta excentricidade geram instabilidades numéricas nos solvers não-lineares, limitando o tempo de rampa a pressões fisiológicas sem uso de malhas auto-adaptáveis (ALE).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interface estroma-anel é simplificada como contato totalmente solidário no eixo Z (prescribed displacement) sem delaminação com o atrito hidrodinâmico local.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Embora robusto para extração de tendências, o FEM elástico puro não incorpora a viscoelasticidade e reestruturação dos ceratócitos (healing), que aprimoram os resultados topográficos meses pós-cirurgia.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