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Capítulo 10 — Fluxo de Trabalho Clínico: Do Mapa ao Anel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/>
          <w:i w:val="0"/>
          <w:color w:val="334E68"/>
          <w:sz w:val="21"/>
        </w:rPr>
        <w:t>Análise Vetorial Biomecânica Corneana para Planejamento de Segmento de Anel Intraestromal</w:t>
      </w:r>
      <w:r>
        <w:rPr>
          <w:rFonts w:ascii="Calibri" w:hAnsi="Calibri"/>
          <w:b w:val="0"/>
          <w:i w:val="0"/>
          <w:color w:val="334E68"/>
          <w:sz w:val="21"/>
        </w:rPr>
        <w:t xml:space="preserve"> </w:t>
      </w:r>
      <w:r>
        <w:rPr>
          <w:rFonts w:ascii="Calibri" w:hAnsi="Calibri"/>
          <w:b w:val="0"/>
          <w:i/>
          <w:color w:val="334E68"/>
          <w:sz w:val="21"/>
        </w:rPr>
        <w:t>Parte III — Da Teoria à Prática Clínica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10.1 Introdução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>Os capítulos anteriores estabeleceram o arcabouço teórico: os três vetores biomecânicos (VR, VT, Vτ), sua extração de modelos de elementos finitos, sua dependência dos parâmetros do anel e o sistema de classificação integrado AVBC. O desafio agora é a tradução — converter este arcabouço em um fluxo de trabalho clínico reprodutível que um cirurgião de córnea possa aplicar em seu consultório.</w:t>
      </w:r>
    </w:p>
    <w:p>
      <w:r>
        <w:rPr>
          <w:rFonts w:ascii="Calibri" w:hAnsi="Calibri"/>
          <w:b w:val="0"/>
          <w:i w:val="0"/>
          <w:color w:val="222222"/>
          <w:sz w:val="22"/>
        </w:rPr>
        <w:t>Este capítulo apresenta o protocolo clínico AVBC como uma árvore de decisão sequencial. O fluxo de trabalho destila a avaliação trimodal (O, T, B) em uma série de etapas práticas, cada uma apoiada por critérios quantitativos e vinculada a instrumentos específicos de exame. Dois exemplos clínicos práticos ilustram o protocolo desde a avaliação inicial até a seleção do anel e a estimativa do resultado esperado.</w:t>
      </w:r>
    </w:p>
    <w:p>
      <w:r>
        <w:rPr>
          <w:rFonts w:ascii="Calibri" w:hAnsi="Calibri"/>
          <w:b w:val="0"/>
          <w:i w:val="0"/>
          <w:color w:val="222222"/>
          <w:sz w:val="22"/>
        </w:rPr>
        <w:t>O protocolo foi projetado para ser aditivo, e não disruptivo: ele adiciona o raciocínio biomecânico ao exame clínico existente em vez de substituí-lo. O cirurgião que já realiza a tomografia de Pentacam, a aberrometria de frente de onda e a refração clínica sob cicloplegia possui todos os dados necessários para a avaliação do AVBC. O arcabouço reorganiza e reinterpreta esses dados dentro de um contexto mecânico.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[!NOTE] </w:t>
      </w:r>
      <w:r>
        <w:rPr>
          <w:rFonts w:ascii="Calibri" w:hAnsi="Calibri"/>
          <w:b/>
          <w:i w:val="0"/>
          <w:color w:val="334E68"/>
          <w:sz w:val="21"/>
        </w:rPr>
        <w:t>Para o Clínico: Checklist Pré-Operatório AVBC</w:t>
      </w:r>
      <w:r>
        <w:rPr>
          <w:rFonts w:ascii="Calibri" w:hAnsi="Calibri"/>
          <w:b w:val="0"/>
          <w:i w:val="0"/>
          <w:color w:val="334E68"/>
          <w:sz w:val="21"/>
        </w:rPr>
        <w:t xml:space="preserve"> Antes de avançar para o bloco cirúrgico, confirme que tem todos os dados necessários: - </w:t>
      </w:r>
      <w:r>
        <w:rPr>
          <w:rFonts w:ascii="Consolas" w:hAnsi="Consolas"/>
          <w:b w:val="0"/>
          <w:i w:val="0"/>
          <w:color w:val="A03030"/>
          <w:sz w:val="18"/>
        </w:rPr>
        <w:t>[ ]</w:t>
      </w:r>
      <w:r>
        <w:rPr>
          <w:rFonts w:ascii="Calibri" w:hAnsi="Calibri"/>
          <w:b w:val="0"/>
          <w:i w:val="0"/>
          <w:color w:val="334E68"/>
          <w:sz w:val="21"/>
        </w:rPr>
        <w:t xml:space="preserve"> Refração manifesta e sob cicloplegia (Esfera, Cil, Eixo) - </w:t>
      </w:r>
      <w:r>
        <w:rPr>
          <w:rFonts w:ascii="Consolas" w:hAnsi="Consolas"/>
          <w:b w:val="0"/>
          <w:i w:val="0"/>
          <w:color w:val="A03030"/>
          <w:sz w:val="18"/>
        </w:rPr>
        <w:t>[ ]</w:t>
      </w:r>
      <w:r>
        <w:rPr>
          <w:rFonts w:ascii="Calibri" w:hAnsi="Calibri"/>
          <w:b w:val="0"/>
          <w:i w:val="0"/>
          <w:color w:val="334E68"/>
          <w:sz w:val="21"/>
        </w:rPr>
        <w:t xml:space="preserve"> Topografia de Scheimpflug (Pentacam/Galilei) com mapas anterior e posterior - </w:t>
      </w:r>
      <w:r>
        <w:rPr>
          <w:rFonts w:ascii="Consolas" w:hAnsi="Consolas"/>
          <w:b w:val="0"/>
          <w:i w:val="0"/>
          <w:color w:val="A03030"/>
          <w:sz w:val="18"/>
        </w:rPr>
        <w:t>[ ]</w:t>
      </w:r>
      <w:r>
        <w:rPr>
          <w:rFonts w:ascii="Calibri" w:hAnsi="Calibri"/>
          <w:b w:val="0"/>
          <w:i w:val="0"/>
          <w:color w:val="334E68"/>
          <w:sz w:val="21"/>
        </w:rPr>
        <w:t xml:space="preserve"> ENM calculado (Elevação Posterior BFS 8 mm → meridiano de pico) - </w:t>
      </w:r>
      <w:r>
        <w:rPr>
          <w:rFonts w:ascii="Consolas" w:hAnsi="Consolas"/>
          <w:b w:val="0"/>
          <w:i w:val="0"/>
          <w:color w:val="A03030"/>
          <w:sz w:val="18"/>
        </w:rPr>
        <w:t>[ ]</w:t>
      </w:r>
      <w:r>
        <w:rPr>
          <w:rFonts w:ascii="Calibri" w:hAnsi="Calibri"/>
          <w:b w:val="0"/>
          <w:i w:val="0"/>
          <w:color w:val="334E68"/>
          <w:sz w:val="21"/>
        </w:rPr>
        <w:t xml:space="preserve"> Aberrometria de frente de onda (Coma, HOA Total — pupila 6 mm) - </w:t>
      </w:r>
      <w:r>
        <w:rPr>
          <w:rFonts w:ascii="Consolas" w:hAnsi="Consolas"/>
          <w:b w:val="0"/>
          <w:i w:val="0"/>
          <w:color w:val="A03030"/>
          <w:sz w:val="18"/>
        </w:rPr>
        <w:t>[ ]</w:t>
      </w:r>
      <w:r>
        <w:rPr>
          <w:rFonts w:ascii="Calibri" w:hAnsi="Calibri"/>
          <w:b w:val="0"/>
          <w:i w:val="0"/>
          <w:color w:val="334E68"/>
          <w:sz w:val="21"/>
        </w:rPr>
        <w:t xml:space="preserve"> Paquimetria local no meridiano de implante planeado (para $RT</w:t>
      </w:r>
      <w:r>
        <w:rPr>
          <w:rFonts w:ascii="Calibri" w:hAnsi="Calibri"/>
          <w:b w:val="0"/>
          <w:i/>
          <w:color w:val="334E68"/>
          <w:sz w:val="21"/>
        </w:rPr>
        <w:t>{max}$) - `[ ]` Classificação O (O+, O~, O−) documentada - `[ ]` Arquétipo Topográfico (Módulo T) documentado - `[ ]` Vetor Dominante selecionado (VR / VT / Vτ) - `[ ]` Prescrição final do anel (espessura, arco, meridiano, profundidade) verificada contra $RT</w:t>
      </w:r>
      <w:r>
        <w:rPr>
          <w:rFonts w:ascii="Calibri" w:hAnsi="Calibri"/>
          <w:b w:val="0"/>
          <w:i w:val="0"/>
          <w:color w:val="334E68"/>
          <w:sz w:val="21"/>
        </w:rPr>
        <w:t>{max}$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10.2 Avaliação Pré-Operatória: A Sequência de Exames AVBC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Etapa 1 — Exame Oftalmológico Padrão</w:t>
      </w:r>
    </w:p>
    <w:p>
      <w:r>
        <w:rPr>
          <w:rFonts w:ascii="Calibri" w:hAnsi="Calibri"/>
          <w:b w:val="0"/>
          <w:i w:val="0"/>
          <w:color w:val="222222"/>
          <w:sz w:val="22"/>
        </w:rPr>
        <w:t>Antes de qualquer avaliação biomecânica, a avaliação clínica padrão deve ser concluída: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Acuidade visual melhor corrigida (AVMC):</w:t>
      </w:r>
      <w:r>
        <w:rPr>
          <w:rFonts w:ascii="Calibri" w:hAnsi="Calibri"/>
          <w:b w:val="0"/>
          <w:i w:val="0"/>
          <w:color w:val="222222"/>
          <w:sz w:val="22"/>
        </w:rPr>
        <w:t xml:space="preserve"> Snellen ou logMAR, com correção de óculos e com teste de lente de contato rígida. A diferença entre a AVMC com óculos e com lente de contato é um indicador aproximado da carga de astigmatismo irregular.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Refração sob cicloplegia e manifesta:</w:t>
      </w:r>
      <w:r>
        <w:rPr>
          <w:rFonts w:ascii="Calibri" w:hAnsi="Calibri"/>
          <w:b w:val="0"/>
          <w:i w:val="0"/>
          <w:color w:val="222222"/>
          <w:sz w:val="22"/>
        </w:rPr>
        <w:t xml:space="preserve"> Esfera, cilindro, eixo. Esses dados alimentam o módulo Óptico.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Biomicroscopia em lâmpada de fenda:</w:t>
      </w:r>
      <w:r>
        <w:rPr>
          <w:rFonts w:ascii="Calibri" w:hAnsi="Calibri"/>
          <w:b w:val="0"/>
          <w:i w:val="0"/>
          <w:color w:val="222222"/>
          <w:sz w:val="22"/>
        </w:rPr>
        <w:t xml:space="preserve"> Avaliar a transparência corneana, estrias de Vogt, anel de Fleischer, cicatrizes. Cicatrizes centrais significativas podem contraindicar o ICRS ou exigir ceratoplastia lamelar.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Paquimetria no local do túnel: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espessura estromal mínima no raio de implantação planejado (tipicamente 5,0–6,0 mm do eixo visual) deve exceder 400 μm para acomodar o anel com segurança em uma profundidade de 70–80%. A espessura corneana local ($CT$) no meridiano exato planejado para a implantação deve ser registrada para calcular a espessura máxima segura do anel ($RT_{max}$) sob a </w:t>
      </w:r>
      <w:r>
        <w:rPr>
          <w:rFonts w:ascii="Calibri" w:hAnsi="Calibri"/>
          <w:b/>
          <w:i w:val="0"/>
          <w:color w:val="222222"/>
          <w:sz w:val="22"/>
        </w:rPr>
        <w:t>Lei das Espessuras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Pressão intraocular:</w:t>
      </w:r>
      <w:r>
        <w:rPr>
          <w:rFonts w:ascii="Calibri" w:hAnsi="Calibri"/>
          <w:b w:val="0"/>
          <w:i w:val="0"/>
          <w:color w:val="222222"/>
          <w:sz w:val="22"/>
        </w:rPr>
        <w:t xml:space="preserve"> Tonometria de Goldmann ou de contorno dinâmico. Os valores da PIO informam a condição de carregamento do FEM (15 mmHg é a suposição de modelagem padrão; desvios significativos exigem ajuste do modelo).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Etapa 2 — Tomografia Corneana (Entrada do Módulo T)</w:t>
      </w:r>
    </w:p>
    <w:p>
      <w:r>
        <w:rPr>
          <w:rFonts w:ascii="Calibri" w:hAnsi="Calibri"/>
          <w:b w:val="0"/>
          <w:i w:val="0"/>
          <w:color w:val="222222"/>
          <w:sz w:val="22"/>
        </w:rPr>
        <w:t>A tomografia de Scheimpflug (Pentacam, Galilei ou equivalente) fornece o mapa espacial da ectasia: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Mapa de curvatura sagital: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Identificar o padrão topográfico — oval central, mamilo (nipple) inferior, crescente paracentral, formato D periférico ou globus.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Mapa de elevação posterior:</w:t>
      </w:r>
      <w:r>
        <w:rPr>
          <w:rFonts w:ascii="Calibri" w:hAnsi="Calibri"/>
          <w:b w:val="0"/>
          <w:i w:val="0"/>
          <w:color w:val="222222"/>
          <w:sz w:val="22"/>
        </w:rPr>
        <w:t xml:space="preserve"> Calcular o ENM (Eixo Neutro Mecânico) — o meridiano de elevação posterior máxima em relação à esfera de melhor ajuste. Registrar o ângulo do ENM (°) e comparar com o eixo K-steep.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Localização e valor do ponto mais fino: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ponto paquimétrico mais fino frequentemente se correlaciona com o ápice do cone. Registrar sua distância do eixo visual (mm) e o meridiano.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Valores de KMax e K-steep:</w:t>
      </w:r>
      <w:r>
        <w:rPr>
          <w:rFonts w:ascii="Calibri" w:hAnsi="Calibri"/>
          <w:b w:val="0"/>
          <w:i w:val="0"/>
          <w:color w:val="222222"/>
          <w:sz w:val="22"/>
        </w:rPr>
        <w:t xml:space="preserve"> Registrar para comparação com o nomograma e estimativa do VR.</w:t>
      </w:r>
    </w:p>
    <w:p>
      <w:r>
        <w:rPr>
          <w:rFonts w:ascii="Calibri" w:hAnsi="Calibri"/>
          <w:b/>
          <w:i w:val="0"/>
          <w:color w:val="222222"/>
          <w:sz w:val="22"/>
        </w:rPr>
        <w:t>Protocolo de determinação do ENM: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Abra o mapa de elevação posterior (tela refrativa de 4 mapas).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Selecione a esfera de melhor ajuste (BFS) com um diâmetro de 8,0 mm.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Identifique o meridiano que passa pelo ponto de elevação posterior máxima.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Registre este meridiano como o ENM.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Compare com o eixo K-steep: se |ENM − K-steep| &gt; 15°, a avaliação do AVBC é indicada; se &gt; 45°, o planejamento por nomogramas não é confiável.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Etapa 3 — Aberrometria de Frente de Onda (Entrada do Módulo O)</w:t>
      </w:r>
    </w:p>
    <w:p>
      <w:r>
        <w:rPr>
          <w:rFonts w:ascii="Calibri" w:hAnsi="Calibri"/>
          <w:b w:val="0"/>
          <w:i w:val="0"/>
          <w:color w:val="222222"/>
          <w:sz w:val="22"/>
        </w:rPr>
        <w:t>A análise de frente de onda fornece o contexto óptico: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RMS de Coma (pupila de 6 mm):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aberração de alta ordem primária no ceratocone. Valores &lt; 2,50 μm são favoráveis; &gt; 3.50 μm são desfavoráveis para melhoria funcional apenas com ICRS.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RMS de HOA Total (pupila de 6 mm):</w:t>
      </w:r>
      <w:r>
        <w:rPr>
          <w:rFonts w:ascii="Calibri" w:hAnsi="Calibri"/>
          <w:b w:val="0"/>
          <w:i w:val="0"/>
          <w:color w:val="222222"/>
          <w:sz w:val="22"/>
        </w:rPr>
        <w:t xml:space="preserve"> Valores &lt; 2,0 μm são favoráveis; &gt; 4,0 μm sugerem que a correção geométrica isolada pode não restaurar uma óptica útil.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Alinhamento de eixos:</w:t>
      </w:r>
      <w:r>
        <w:rPr>
          <w:rFonts w:ascii="Calibri" w:hAnsi="Calibri"/>
          <w:b w:val="0"/>
          <w:i w:val="0"/>
          <w:color w:val="222222"/>
          <w:sz w:val="22"/>
        </w:rPr>
        <w:t xml:space="preserve"> Comparar o eixo do cilindro refrativo com o eixo topográfico íngreme. Divergência &gt; 30° sugere que o perfil de aberração é complexo e pode não responder ao posicionamento padrão do anel.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Vetor de coma versus ápice do cone: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Determinar se o vetor de coma é ipsilateral (favorável) ou contralateral (desfavorável) ao ápice do cone.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Etapa 4 — Avaliação Biomecânica (Entrada do Módulo B)</w:t>
      </w:r>
    </w:p>
    <w:p>
      <w:r>
        <w:rPr>
          <w:rFonts w:ascii="Calibri" w:hAnsi="Calibri"/>
          <w:b w:val="0"/>
          <w:i w:val="0"/>
          <w:color w:val="222222"/>
          <w:sz w:val="22"/>
        </w:rPr>
        <w:t>Se disponíveis, medições biomecânicas diretas refinam a avaliação: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Corvis ST:</w:t>
      </w:r>
      <w:r>
        <w:rPr>
          <w:rFonts w:ascii="Calibri" w:hAnsi="Calibri"/>
          <w:b w:val="0"/>
          <w:i w:val="0"/>
          <w:color w:val="222222"/>
          <w:sz w:val="22"/>
        </w:rPr>
        <w:t xml:space="preserve"> Amplitude de deformação, parâmetro de rigidez (SP-A1), CBI. Estes fornecem confirmação qualitativa do comprometimento biomecânico.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ORA:</w:t>
      </w:r>
      <w:r>
        <w:rPr>
          <w:rFonts w:ascii="Calibri" w:hAnsi="Calibri"/>
          <w:b w:val="0"/>
          <w:i w:val="0"/>
          <w:color w:val="222222"/>
          <w:sz w:val="22"/>
        </w:rPr>
        <w:t xml:space="preserve"> CH e CRF. Valores reduzidos apoiam o modelo biomecânico da doença.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Microscopia de Brillouin (se disponível):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mapeamento de rigidez regional fornece a avaliação mais direta da variação das propriedades do material.</w:t>
      </w:r>
    </w:p>
    <w:p>
      <w:r>
        <w:rPr>
          <w:rFonts w:ascii="Calibri" w:hAnsi="Calibri"/>
          <w:b w:val="0"/>
          <w:i w:val="0"/>
          <w:color w:val="222222"/>
          <w:sz w:val="22"/>
        </w:rPr>
        <w:t>Na ausência de medições biomecânicas diretas — que continuam a ser a realidade clínica na maioria dos centros —, o arcabouço AVBC utiliza substitutos (surrogates) topográficos e tomográficos: a distribuição paquimétrica, o padrão de elevação posterior e a divergência do ENM servem como indicadores indiretos do estado biomecânico.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10.3 Classificação do Módulo O</w:t>
      </w:r>
    </w:p>
    <w:p>
      <w:r>
        <w:rPr>
          <w:rFonts w:ascii="Calibri" w:hAnsi="Calibri"/>
          <w:b w:val="0"/>
          <w:i w:val="0"/>
          <w:color w:val="222222"/>
          <w:sz w:val="22"/>
        </w:rPr>
        <w:t>Aplicar os critérios ópticos do Capítulo 4: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Critério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Favorável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Intermediário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Desfavorável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RMS de Coma (6 mm)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&lt; 2,50 μm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2,50–3,50 μm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&gt; 3,50 μm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Δ Eixo (refração vs K)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&lt; 15°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15°–30°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&gt; 30°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RMS de HOA total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&lt; 2,0 μm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2,0–4,0 μm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&gt; 4,0 μm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Coma vs ápice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Ipsilateral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Ambíguo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Contralateral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/>
          <w:i w:val="0"/>
          <w:color w:val="222222"/>
          <w:sz w:val="22"/>
        </w:rPr>
        <w:t>Regra de classificação: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O+</w:t>
      </w:r>
      <w:r>
        <w:rPr>
          <w:rFonts w:ascii="Calibri" w:hAnsi="Calibri"/>
          <w:b w:val="0"/>
          <w:i w:val="0"/>
          <w:color w:val="222222"/>
          <w:sz w:val="22"/>
        </w:rPr>
        <w:t xml:space="preserve"> (≥ 3 favoráveis): Prosseguir com o ICRS; esperar melhoria tanto topográfica quanto funcional.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O~</w:t>
      </w:r>
      <w:r>
        <w:rPr>
          <w:rFonts w:ascii="Calibri" w:hAnsi="Calibri"/>
          <w:b w:val="0"/>
          <w:i w:val="0"/>
          <w:color w:val="222222"/>
          <w:sz w:val="22"/>
        </w:rPr>
        <w:t xml:space="preserve"> (misto): Prosseguir, mas aconselhar o paciente que a melhoria funcional pode ser parcial; considerar correção adjuvante.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O−</w:t>
      </w:r>
      <w:r>
        <w:rPr>
          <w:rFonts w:ascii="Calibri" w:hAnsi="Calibri"/>
          <w:b w:val="0"/>
          <w:i w:val="0"/>
          <w:color w:val="222222"/>
          <w:sz w:val="22"/>
        </w:rPr>
        <w:t xml:space="preserve"> (≥ 3 desfavoráveis): O ICRS ainda pode ser implantado para manejo topográfico, mas alinhar as expectativas adequadamente. Considerar que o objetivo principal pode ser facilitar a adaptação de lentes de contato em vez de independência de óculos.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10.4 Classificação do Módulo T</w:t>
      </w:r>
    </w:p>
    <w:p>
      <w:r>
        <w:rPr>
          <w:rFonts w:ascii="Calibri" w:hAnsi="Calibri"/>
          <w:b w:val="0"/>
          <w:i w:val="0"/>
          <w:color w:val="222222"/>
          <w:sz w:val="22"/>
        </w:rPr>
        <w:t>Determinar a morfologia topográfica e o ENM: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Morfologia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ENM Típico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Estratégia de Posicionamento do Anel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Oval central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Próximo ao eixo visual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Anel simétrico, centrado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Mamilo inferior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 horas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Segmento inferior, mais espesso inferiormente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Crescente paracentral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Variável, descentrado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Segmento único ou par assimétrico, direcionado ao cone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Formato D periférico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Periférico, &gt; 2 mm do eixo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Arco amplo ou dois segmentos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Globus (KMax &gt; 60 D)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Estabilização estrutural / tolerância a LC (até 85 D)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 w:val="0"/>
          <w:i w:val="0"/>
          <w:color w:val="222222"/>
          <w:sz w:val="22"/>
        </w:rPr>
        <w:t>Registrar a divergência do ENM: |ENM − K-steep|.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10.5 Módulo B: Seleção do Vetor</w:t>
      </w:r>
    </w:p>
    <w:p>
      <w:r>
        <w:rPr>
          <w:rFonts w:ascii="Calibri" w:hAnsi="Calibri"/>
          <w:b w:val="0"/>
          <w:i w:val="0"/>
          <w:color w:val="222222"/>
          <w:sz w:val="22"/>
        </w:rPr>
        <w:t>Com base na necessidade clínica identificada através dos Módulos O e T, determinar o vetor dominante:</w:t>
      </w:r>
    </w:p>
    <w:p>
      <w:r>
        <w:rPr>
          <w:rFonts w:ascii="Calibri" w:hAnsi="Calibri"/>
          <w:b/>
          <w:i w:val="0"/>
          <w:color w:val="222222"/>
          <w:sz w:val="22"/>
        </w:rPr>
        <w:t>Árvore de decisão: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 necessidade primária é o aplanamento (K-steep elevado, astigmatismo alinhado)?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→ </w:t>
      </w:r>
      <w:r>
        <w:rPr>
          <w:rFonts w:ascii="Calibri" w:hAnsi="Calibri"/>
          <w:b/>
          <w:i w:val="0"/>
          <w:color w:val="222222"/>
          <w:sz w:val="22"/>
        </w:rPr>
        <w:t>VR dominante</w:t>
      </w:r>
      <w:r>
        <w:rPr>
          <w:rFonts w:ascii="Calibri" w:hAnsi="Calibri"/>
          <w:b w:val="0"/>
          <w:i w:val="0"/>
          <w:color w:val="222222"/>
          <w:sz w:val="22"/>
        </w:rPr>
        <w:t xml:space="preserve"> → Aumentar a </w:t>
      </w:r>
      <w:r>
        <w:rPr>
          <w:rFonts w:ascii="Calibri" w:hAnsi="Calibri"/>
          <w:b/>
          <w:i w:val="0"/>
          <w:color w:val="222222"/>
          <w:sz w:val="22"/>
        </w:rPr>
        <w:t>espessura</w:t>
      </w:r>
      <w:r>
        <w:rPr>
          <w:rFonts w:ascii="Calibri" w:hAnsi="Calibri"/>
          <w:b w:val="0"/>
          <w:i w:val="0"/>
          <w:color w:val="222222"/>
          <w:sz w:val="22"/>
        </w:rPr>
        <w:t xml:space="preserve"> do anel (300–400 μm). Comprimento de arco secundário.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 necessidade primária é a regularização do astigmatismo (Cil irregular elevado, ENM ≠ K-steep)?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→ </w:t>
      </w:r>
      <w:r>
        <w:rPr>
          <w:rFonts w:ascii="Calibri" w:hAnsi="Calibri"/>
          <w:b/>
          <w:i w:val="0"/>
          <w:color w:val="222222"/>
          <w:sz w:val="22"/>
        </w:rPr>
        <w:t>VT dominant</w:t>
      </w:r>
      <w:r>
        <w:rPr>
          <w:rFonts w:ascii="Calibri" w:hAnsi="Calibri"/>
          <w:b w:val="0"/>
          <w:i w:val="0"/>
          <w:color w:val="222222"/>
          <w:sz w:val="22"/>
        </w:rPr>
        <w:t xml:space="preserve"> → Aumentar o </w:t>
      </w:r>
      <w:r>
        <w:rPr>
          <w:rFonts w:ascii="Calibri" w:hAnsi="Calibri"/>
          <w:b/>
          <w:i w:val="0"/>
          <w:color w:val="222222"/>
          <w:sz w:val="22"/>
        </w:rPr>
        <w:t>comprimento de arco</w:t>
      </w:r>
      <w:r>
        <w:rPr>
          <w:rFonts w:ascii="Calibri" w:hAnsi="Calibri"/>
          <w:b w:val="0"/>
          <w:i w:val="0"/>
          <w:color w:val="222222"/>
          <w:sz w:val="22"/>
        </w:rPr>
        <w:t xml:space="preserve"> (160°–320°). Espessura secundária.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 necessidade primária é o reposicionamento do ápice (ápice &gt; 1 mm do eixo visual, coma elevado)?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→ </w:t>
      </w:r>
      <w:r>
        <w:rPr>
          <w:rFonts w:ascii="Calibri" w:hAnsi="Calibri"/>
          <w:b/>
          <w:i w:val="0"/>
          <w:color w:val="222222"/>
          <w:sz w:val="22"/>
        </w:rPr>
        <w:t>Vτ dominante</w:t>
      </w:r>
      <w:r>
        <w:rPr>
          <w:rFonts w:ascii="Calibri" w:hAnsi="Calibri"/>
          <w:b w:val="0"/>
          <w:i w:val="0"/>
          <w:color w:val="222222"/>
          <w:sz w:val="22"/>
        </w:rPr>
        <w:t xml:space="preserve"> → Usar </w:t>
      </w:r>
      <w:r>
        <w:rPr>
          <w:rFonts w:ascii="Calibri" w:hAnsi="Calibri"/>
          <w:b/>
          <w:i w:val="0"/>
          <w:color w:val="222222"/>
          <w:sz w:val="22"/>
        </w:rPr>
        <w:t>anel assimétrico</w:t>
      </w:r>
      <w:r>
        <w:rPr>
          <w:rFonts w:ascii="Calibri" w:hAnsi="Calibri"/>
          <w:b w:val="0"/>
          <w:i w:val="0"/>
          <w:color w:val="222222"/>
          <w:sz w:val="22"/>
        </w:rPr>
        <w:t xml:space="preserve"> (perfil de espessura progressiva), orientado ao longo do ENM.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 necessidade primária é a estabilização (ectasia progressiva)?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→ </w:t>
      </w:r>
      <w:r>
        <w:rPr>
          <w:rFonts w:ascii="Calibri" w:hAnsi="Calibri"/>
          <w:b/>
          <w:i w:val="0"/>
          <w:color w:val="222222"/>
          <w:sz w:val="22"/>
        </w:rPr>
        <w:t>VR + VT combinados</w:t>
      </w:r>
      <w:r>
        <w:rPr>
          <w:rFonts w:ascii="Calibri" w:hAnsi="Calibri"/>
          <w:b w:val="0"/>
          <w:i w:val="0"/>
          <w:color w:val="222222"/>
          <w:sz w:val="22"/>
        </w:rPr>
        <w:t xml:space="preserve"> → Realizar </w:t>
      </w:r>
      <w:r>
        <w:rPr>
          <w:rFonts w:ascii="Calibri" w:hAnsi="Calibri"/>
          <w:b/>
          <w:i w:val="0"/>
          <w:color w:val="222222"/>
          <w:sz w:val="22"/>
        </w:rPr>
        <w:t>CXL primeiro</w:t>
      </w:r>
      <w:r>
        <w:rPr>
          <w:rFonts w:ascii="Calibri" w:hAnsi="Calibri"/>
          <w:b w:val="0"/>
          <w:i w:val="0"/>
          <w:color w:val="222222"/>
          <w:sz w:val="22"/>
        </w:rPr>
        <w:t xml:space="preserve"> (intervalo de 3 a 6 meses), depois o ICRS.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Múltiplas necessidades?</w:t>
      </w:r>
    </w:p>
    <w:p>
      <w:r>
        <w:rPr>
          <w:rFonts w:ascii="Calibri" w:hAnsi="Calibri"/>
          <w:b w:val="0"/>
          <w:i w:val="0"/>
          <w:color w:val="222222"/>
          <w:sz w:val="22"/>
        </w:rPr>
        <w:t>→ Priorizar pela urgência clínica. Tipicamente: estabilizar primeiro, depois regularizar, depois aplanar.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[!TIP] </w:t>
      </w:r>
      <w:r>
        <w:rPr>
          <w:rFonts w:ascii="Calibri" w:hAnsi="Calibri"/>
          <w:b/>
          <w:i w:val="0"/>
          <w:color w:val="334E68"/>
          <w:sz w:val="21"/>
        </w:rPr>
        <w:t>Para o Clínico: Regra dos 3 Vetores em 3 Perguntas</w:t>
      </w:r>
      <w:r>
        <w:rPr>
          <w:rFonts w:ascii="Calibri" w:hAnsi="Calibri"/>
          <w:b w:val="0"/>
          <w:i w:val="0"/>
          <w:color w:val="334E68"/>
          <w:sz w:val="21"/>
        </w:rPr>
        <w:t xml:space="preserve"> Antes de abrir o catálogo de anéis, responda a estas 3 perguntas em sequência: 1. </w:t>
      </w:r>
      <w:r>
        <w:rPr>
          <w:rFonts w:ascii="Calibri" w:hAnsi="Calibri"/>
          <w:b/>
          <w:i w:val="0"/>
          <w:color w:val="334E68"/>
          <w:sz w:val="21"/>
        </w:rPr>
        <w:t>"O meu doente precisa principalmente de baixar a miopia?"</w:t>
      </w:r>
      <w:r>
        <w:rPr>
          <w:rFonts w:ascii="Calibri" w:hAnsi="Calibri"/>
          <w:b w:val="0"/>
          <w:i w:val="0"/>
          <w:color w:val="334E68"/>
          <w:sz w:val="21"/>
        </w:rPr>
        <w:t xml:space="preserve"> → VR → Espessura. 2. </w:t>
      </w:r>
      <w:r>
        <w:rPr>
          <w:rFonts w:ascii="Calibri" w:hAnsi="Calibri"/>
          <w:b/>
          <w:i w:val="0"/>
          <w:color w:val="334E68"/>
          <w:sz w:val="21"/>
        </w:rPr>
        <w:t>"O meu doente precisa principalmente de eliminar o astigmatismo irregular?"</w:t>
      </w:r>
      <w:r>
        <w:rPr>
          <w:rFonts w:ascii="Calibri" w:hAnsi="Calibri"/>
          <w:b w:val="0"/>
          <w:i w:val="0"/>
          <w:color w:val="334E68"/>
          <w:sz w:val="21"/>
        </w:rPr>
        <w:t xml:space="preserve"> → VT → Arco Longo. 3. </w:t>
      </w:r>
      <w:r>
        <w:rPr>
          <w:rFonts w:ascii="Calibri" w:hAnsi="Calibri"/>
          <w:b/>
          <w:i w:val="0"/>
          <w:color w:val="334E68"/>
          <w:sz w:val="21"/>
        </w:rPr>
        <w:t>"O meu doente precisa principalmente de centrar o cone deslocado?"</w:t>
      </w:r>
      <w:r>
        <w:rPr>
          <w:rFonts w:ascii="Calibri" w:hAnsi="Calibri"/>
          <w:b w:val="0"/>
          <w:i w:val="0"/>
          <w:color w:val="334E68"/>
          <w:sz w:val="21"/>
        </w:rPr>
        <w:t xml:space="preserve"> → Vτ → Anel Progressivo.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>A maioria dos doentes tem mais do que uma necessidade. Priorize o vetor dominante e ajuste os outros como moduladores secundários.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10.6 Prescrição do Anel</w:t>
      </w:r>
    </w:p>
    <w:p>
      <w:r>
        <w:rPr>
          <w:rFonts w:ascii="Calibri" w:hAnsi="Calibri"/>
          <w:b w:val="0"/>
          <w:i w:val="0"/>
          <w:color w:val="222222"/>
          <w:sz w:val="22"/>
        </w:rPr>
        <w:t>Com o vetor dominante identificado, traduzir para os parâmetros do anel: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Prescrição VR-Dominante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Racional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Espessura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250–400 μm (proporcional ao ΔK desejado)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VR escala com o volume; </w:t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estritamente sujeito a $RT_{max} \le CT \times 0,60$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Comprimento de arco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120°–160° (padrão)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Comprimento de arco não modula o VR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Perfil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Simétrico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Sem necessidade de torque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Profundidade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70–80% da paquimetria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Amplifica o VR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Meridiano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Eixo K-steep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Quando ENM ≈ K-steep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/>
          <w:i w:val="0"/>
          <w:color w:val="222222"/>
          <w:sz w:val="22"/>
        </w:rPr>
        <w:t>Efeito VR esperado:</w:t>
      </w:r>
      <w:r>
        <w:rPr>
          <w:rFonts w:ascii="Calibri" w:hAnsi="Calibri"/>
          <w:b w:val="0"/>
          <w:i w:val="0"/>
          <w:color w:val="222222"/>
          <w:sz w:val="22"/>
        </w:rPr>
        <w:t xml:space="preserve"> Nossos modelos de FEM mostram um VR central de 19,2–19,9 μm para arcos parciais com geometria padrão. Tradução clínica: ΔK ≈ 2–4 D, dependendo da espessura e da biomecânica específica do paciente.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Prescrição VT-Dominante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Racional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Espessura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150–250 μm (moderada)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VR é secundário; </w:t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estritamente sujeito a $RT_{max} \le CT \times 0,60$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Comprimento de arco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210°–320° (arco longo)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Equação do VT: cada grau reduz σ_θθ em 0,0018 kPa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Perfil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Simétrico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Exceto se Vτ também for necessário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Profundidade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70–75% da paquimetria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Profundidade moderada é suficiente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Meridiano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Eixo do ENM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Direcionado para a zona de deformação biomecânica máxima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/>
          <w:i w:val="0"/>
          <w:color w:val="222222"/>
          <w:sz w:val="22"/>
        </w:rPr>
        <w:t>Efeito VT esperado:</w:t>
      </w:r>
      <w:r>
        <w:rPr>
          <w:rFonts w:ascii="Calibri" w:hAnsi="Calibri"/>
          <w:b w:val="0"/>
          <w:i w:val="0"/>
          <w:color w:val="222222"/>
          <w:sz w:val="22"/>
        </w:rPr>
        <w:t xml:space="preserve"> VT(210°) = 7,39 kPa; VT(320°) = 7,20 kPa. Arcos mais longos produzem mais regularização, seguindo a relação linear VT(arco°) = −0,0018 × arco° + 7,79.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Prescrição Vτ-Dominante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Racional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Perfil de espessura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Progressivo (ex: 300→150 μm)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Gera binário de forças assimétrico; </w:t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espessura máxima estritamente sujeita a $RT_{max} \le CT \times 0,60$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Comprimento de arco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160°–210°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Suficiente para a geração de torque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Perfil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Assimétrico (progressivo)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Essencial para Vτ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Profundidade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70–80% da paquimetria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Amplifica o torque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Meridiano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Eixo do ENM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direção do Vτ deve direcionar o ápice em direção ao eixo visual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/>
          <w:i w:val="0"/>
          <w:color w:val="222222"/>
          <w:sz w:val="22"/>
        </w:rPr>
        <w:t>Regra de orientação: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extremidade mais espessa do anel progressivo é colocada </w:t>
      </w:r>
      <w:r>
        <w:rPr>
          <w:rFonts w:ascii="Calibri" w:hAnsi="Calibri"/>
          <w:b w:val="0"/>
          <w:i/>
          <w:color w:val="222222"/>
          <w:sz w:val="22"/>
        </w:rPr>
        <w:t>oposta</w:t>
      </w:r>
      <w:r>
        <w:rPr>
          <w:rFonts w:ascii="Calibri" w:hAnsi="Calibri"/>
          <w:b w:val="0"/>
          <w:i w:val="0"/>
          <w:color w:val="222222"/>
          <w:sz w:val="22"/>
        </w:rPr>
        <w:t xml:space="preserve"> à direção desejada de migração do ápice. O ápice migra em direção à extremidade mais fina porque o binário de forças gerado pela espessura assimétrica cria um momento fletor que direciona o deslocamento em direção à região de menor restrição.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[!CAUTION] </w:t>
      </w:r>
      <w:r>
        <w:rPr>
          <w:rFonts w:ascii="Calibri" w:hAnsi="Calibri"/>
          <w:b/>
          <w:i w:val="0"/>
          <w:color w:val="334E68"/>
          <w:sz w:val="21"/>
        </w:rPr>
        <w:t>Para o Clínico: Não Inverta o Anel Progressivo!</w:t>
      </w:r>
      <w:r>
        <w:rPr>
          <w:rFonts w:ascii="Calibri" w:hAnsi="Calibri"/>
          <w:b w:val="0"/>
          <w:i w:val="0"/>
          <w:color w:val="334E68"/>
          <w:sz w:val="21"/>
        </w:rPr>
        <w:t xml:space="preserve"> Num anel de espessura progressiva (ex: 300→150 µm), a extremidade grossa deve ser colocada do </w:t>
      </w:r>
      <w:r>
        <w:rPr>
          <w:rFonts w:ascii="Calibri" w:hAnsi="Calibri"/>
          <w:b/>
          <w:i w:val="0"/>
          <w:color w:val="334E68"/>
          <w:sz w:val="21"/>
        </w:rPr>
        <w:t>mesmo lado do cone</w:t>
      </w:r>
      <w:r>
        <w:rPr>
          <w:rFonts w:ascii="Calibri" w:hAnsi="Calibri"/>
          <w:b w:val="0"/>
          <w:i w:val="0"/>
          <w:color w:val="334E68"/>
          <w:sz w:val="21"/>
        </w:rPr>
        <w:t xml:space="preserve"> (não ao lado oposto!). O gradiente de volume empurra o cone </w:t>
      </w:r>
      <w:r>
        <w:rPr>
          <w:rFonts w:ascii="Calibri" w:hAnsi="Calibri"/>
          <w:b/>
          <w:i w:val="0"/>
          <w:color w:val="334E68"/>
          <w:sz w:val="21"/>
        </w:rPr>
        <w:t>para longe do segmento mais espesso</w:t>
      </w:r>
      <w:r>
        <w:rPr>
          <w:rFonts w:ascii="Calibri" w:hAnsi="Calibri"/>
          <w:b w:val="0"/>
          <w:i w:val="0"/>
          <w:color w:val="334E68"/>
          <w:sz w:val="21"/>
        </w:rPr>
        <w:t>. Portanto: - Cone inferior → extremidade grossa inferiormente → cone migra para cima (centraliza). - Se inverter acidentalmente o anel, o cone será deslocado ainda mais para baixo! Verificar sempre a orientação com o microscópio antes de fechar o túnel.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10.6.4 A Lei das Espessuras Relativas (Lei das Espessuras)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Para prevenir o colapso da ponte estromal, melting (fusão estromal), necrose mecânica localizada ou extrusão induzida por pressão, o protocolo AVBC implementa uma lei de segurança estrita validada por 60 simulações de elementos finitos de alta fidelidade. A </w:t>
      </w:r>
      <w:r>
        <w:rPr>
          <w:rFonts w:ascii="Calibri" w:hAnsi="Calibri"/>
          <w:b/>
          <w:i w:val="0"/>
          <w:color w:val="222222"/>
          <w:sz w:val="22"/>
        </w:rPr>
        <w:t>Lei das Espessuras Relativas (Lei das Espessuras)</w:t>
      </w:r>
      <w:r>
        <w:rPr>
          <w:rFonts w:ascii="Calibri" w:hAnsi="Calibri"/>
          <w:b w:val="0"/>
          <w:i w:val="0"/>
          <w:color w:val="222222"/>
          <w:sz w:val="22"/>
        </w:rPr>
        <w:t xml:space="preserve"> dita que a espessura máxima segura do anel ($RT_{max}$) é estritamente limitada pela espessura corneana local ($CT$) no meridiano exato do plano de implantação:</w:t>
      </w:r>
    </w:p>
    <w:p>
      <w:r>
        <w:rPr>
          <w:rFonts w:ascii="Calibri" w:hAnsi="Calibri"/>
          <w:b w:val="0"/>
          <w:i w:val="0"/>
          <w:color w:val="222222"/>
          <w:sz w:val="22"/>
        </w:rPr>
        <w:t>$$RT_{max} \le CT \times 0,60$$</w:t>
      </w:r>
    </w:p>
    <w:p>
      <w:r>
        <w:rPr>
          <w:rFonts w:ascii="Calibri" w:hAnsi="Calibri"/>
          <w:b w:val="0"/>
          <w:i w:val="0"/>
          <w:color w:val="222222"/>
          <w:sz w:val="22"/>
        </w:rPr>
        <w:t>Esta regra de proporcionalidade garante que um mínimo de 40% da espessura corneana local seja preservado como uma ponte estromal de suporte de carga sobre o implante. O limite de segurança varia ligeiramente com base no perfil geométrico específico do segmento: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Perfis Triangulares (Ferrara / Mediphacos):</w:t>
      </w:r>
      <w:r>
        <w:rPr>
          <w:rFonts w:ascii="Calibri" w:hAnsi="Calibri"/>
          <w:b w:val="0"/>
          <w:i w:val="0"/>
          <w:color w:val="222222"/>
          <w:sz w:val="22"/>
        </w:rPr>
        <w:t xml:space="preserve"> Seguem estritamente o limite padrão de </w:t>
      </w:r>
      <w:r>
        <w:rPr>
          <w:rFonts w:ascii="Calibri" w:hAnsi="Calibri"/>
          <w:b/>
          <w:i w:val="0"/>
          <w:color w:val="222222"/>
          <w:sz w:val="22"/>
        </w:rPr>
        <w:t>0,60</w:t>
      </w:r>
      <w:r>
        <w:rPr>
          <w:rFonts w:ascii="Calibri" w:hAnsi="Calibri"/>
          <w:b w:val="0"/>
          <w:i w:val="0"/>
          <w:color w:val="222222"/>
          <w:sz w:val="22"/>
        </w:rPr>
        <w:t xml:space="preserve"> ($RT_{max} \le CT \times 0,60$).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Perfis Ferrara de Alta Miopia (HM):</w:t>
      </w:r>
      <w:r>
        <w:rPr>
          <w:rFonts w:ascii="Calibri" w:hAnsi="Calibri"/>
          <w:b w:val="0"/>
          <w:i w:val="0"/>
          <w:color w:val="222222"/>
          <w:sz w:val="22"/>
        </w:rPr>
        <w:t xml:space="preserve"> Limitados a um limite conservador de </w:t>
      </w:r>
      <w:r>
        <w:rPr>
          <w:rFonts w:ascii="Calibri" w:hAnsi="Calibri"/>
          <w:b/>
          <w:i w:val="0"/>
          <w:color w:val="222222"/>
          <w:sz w:val="22"/>
        </w:rPr>
        <w:t>0,55</w:t>
      </w:r>
      <w:r>
        <w:rPr>
          <w:rFonts w:ascii="Calibri" w:hAnsi="Calibri"/>
          <w:b w:val="0"/>
          <w:i w:val="0"/>
          <w:color w:val="222222"/>
          <w:sz w:val="22"/>
        </w:rPr>
        <w:t xml:space="preserve"> ($RT_{max} \le CT \times 0,55$) devido às altas concentrações de tensão (stress) apical vertical e bordas geométricas afiadas que aumentam o risco de erosão estromal.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Perfis Arredondados (Cornealring):</w:t>
      </w:r>
      <w:r>
        <w:rPr>
          <w:rFonts w:ascii="Calibri" w:hAnsi="Calibri"/>
          <w:b w:val="0"/>
          <w:i w:val="0"/>
          <w:color w:val="222222"/>
          <w:sz w:val="22"/>
        </w:rPr>
        <w:t xml:space="preserve"> Seguem o limite padrão de </w:t>
      </w:r>
      <w:r>
        <w:rPr>
          <w:rFonts w:ascii="Calibri" w:hAnsi="Calibri"/>
          <w:b/>
          <w:i w:val="0"/>
          <w:color w:val="222222"/>
          <w:sz w:val="22"/>
        </w:rPr>
        <w:t>0,60</w:t>
      </w:r>
      <w:r>
        <w:rPr>
          <w:rFonts w:ascii="Calibri" w:hAnsi="Calibri"/>
          <w:b w:val="0"/>
          <w:i w:val="0"/>
          <w:color w:val="222222"/>
          <w:sz w:val="22"/>
        </w:rPr>
        <w:t xml:space="preserve"> ($RT_{max} \le CT \times 0,60$). A mecânica de contato mais suave e a distribuição uniforme de tensão das geometrias arredondadas proporcionam excelentes margens de segurança mesmo no limite superior da regra de proporcionalidade.</w:t>
      </w:r>
    </w:p>
    <w:p>
      <w:r>
        <w:rPr>
          <w:rFonts w:ascii="Calibri" w:hAnsi="Calibri"/>
          <w:b w:val="0"/>
          <w:i w:val="0"/>
          <w:color w:val="222222"/>
          <w:sz w:val="22"/>
        </w:rPr>
        <w:t>Antes de finalizar qualquer prescrição de anel, o cirurgião deve calcular a $RT</w:t>
      </w:r>
      <w:r>
        <w:rPr>
          <w:rFonts w:ascii="Calibri" w:hAnsi="Calibri"/>
          <w:b w:val="0"/>
          <w:i/>
          <w:color w:val="222222"/>
          <w:sz w:val="22"/>
        </w:rPr>
        <w:t>{max}$ utilizando a paquimetria local no meridiano de implantação. Se a espessura planejada exceder a $RT</w:t>
      </w:r>
      <w:r>
        <w:rPr>
          <w:rFonts w:ascii="Calibri" w:hAnsi="Calibri"/>
          <w:b w:val="0"/>
          <w:i w:val="0"/>
          <w:color w:val="222222"/>
          <w:sz w:val="22"/>
        </w:rPr>
        <w:t>{max}$, a prescrição deve ser reduzida para a espessura de segmento disponível imediatamente abaixo do limite de segurança.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10.7 Exemplos Clínicos Práticos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Exemplo 1: Ceratocone Simétrico Central — VR Dominante</w:t>
      </w:r>
    </w:p>
    <w:p>
      <w:r>
        <w:rPr>
          <w:rFonts w:ascii="Calibri" w:hAnsi="Calibri"/>
          <w:b/>
          <w:i w:val="0"/>
          <w:color w:val="222222"/>
          <w:sz w:val="22"/>
        </w:rPr>
        <w:t>Paciente:</w:t>
      </w:r>
      <w:r>
        <w:rPr>
          <w:rFonts w:ascii="Calibri" w:hAnsi="Calibri"/>
          <w:b w:val="0"/>
          <w:i w:val="0"/>
          <w:color w:val="222222"/>
          <w:sz w:val="22"/>
        </w:rPr>
        <w:t xml:space="preserve"> Homem de 28 anos. K-steep 49,5 D, K-flat 45,0 D, cilindro de 4,5 D a 85°. KMax 51,0 D (central). Paquimetria mais fina de 462 μm centralmente. AVMC de 20/40 com óculos.</w:t>
      </w:r>
    </w:p>
    <w:p>
      <w:r>
        <w:rPr>
          <w:rFonts w:ascii="Calibri" w:hAnsi="Calibri"/>
          <w:b/>
          <w:i w:val="0"/>
          <w:color w:val="222222"/>
          <w:sz w:val="22"/>
        </w:rPr>
        <w:t>Módulo O:</w:t>
      </w:r>
      <w:r>
        <w:rPr>
          <w:rFonts w:ascii="Calibri" w:hAnsi="Calibri"/>
          <w:b w:val="0"/>
          <w:i w:val="0"/>
          <w:color w:val="222222"/>
          <w:sz w:val="22"/>
        </w:rPr>
        <w:t xml:space="preserve"> RMS de Coma = 1,8 μm (favorável), Δ Eixo = 8° (favorável), HOA total = 1,6 μm (favorável), Coma ipsilateral (favorável). → </w:t>
      </w:r>
      <w:r>
        <w:rPr>
          <w:rFonts w:ascii="Calibri" w:hAnsi="Calibri"/>
          <w:b/>
          <w:i w:val="0"/>
          <w:color w:val="222222"/>
          <w:sz w:val="22"/>
        </w:rPr>
        <w:t>O+</w:t>
      </w:r>
    </w:p>
    <w:p>
      <w:r>
        <w:rPr>
          <w:rFonts w:ascii="Calibri" w:hAnsi="Calibri"/>
          <w:b/>
          <w:i w:val="0"/>
          <w:color w:val="222222"/>
          <w:sz w:val="22"/>
        </w:rPr>
        <w:t>Módulo T:</w:t>
      </w:r>
      <w:r>
        <w:rPr>
          <w:rFonts w:ascii="Calibri" w:hAnsi="Calibri"/>
          <w:b w:val="0"/>
          <w:i w:val="0"/>
          <w:color w:val="222222"/>
          <w:sz w:val="22"/>
        </w:rPr>
        <w:t xml:space="preserve"> Morfologia oval central. ENM a 88°, K-steep a 85°. |ENM − K-steep| = 3° &lt; 15°. → Posicionamento padrão, ENM ≈ K-steep.</w:t>
      </w:r>
    </w:p>
    <w:p>
      <w:r>
        <w:rPr>
          <w:rFonts w:ascii="Calibri" w:hAnsi="Calibri"/>
          <w:b/>
          <w:i w:val="0"/>
          <w:color w:val="222222"/>
          <w:sz w:val="22"/>
        </w:rPr>
        <w:t>Módulo B: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necessidade primária é o aplanamento (K-steep 49,5 D, astigmatismo alinhado). → </w:t>
      </w:r>
      <w:r>
        <w:rPr>
          <w:rFonts w:ascii="Calibri" w:hAnsi="Calibri"/>
          <w:b/>
          <w:i w:val="0"/>
          <w:color w:val="222222"/>
          <w:sz w:val="22"/>
        </w:rPr>
        <w:t>VR dominante</w:t>
      </w:r>
    </w:p>
    <w:p>
      <w:r>
        <w:rPr>
          <w:rFonts w:ascii="Calibri" w:hAnsi="Calibri"/>
          <w:b/>
          <w:i w:val="0"/>
          <w:color w:val="222222"/>
          <w:sz w:val="22"/>
        </w:rPr>
        <w:t>Prescribção: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Anel: Ferrara 250 μm, arco 160°, simétrico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Profundidade: 75% de 462 μm = 347 μm → túnel a 350 μm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Meridiano: 85° (K-steep ≈ ENM)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ΔK esperado: 2,5–3,5 D (estimativa baseada em VR)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Exemplo 2: Ceratocone Paracentral com Divergência de Eixo — VT + Vτ Dominante</w:t>
      </w:r>
    </w:p>
    <w:p>
      <w:r>
        <w:rPr>
          <w:rFonts w:ascii="Calibri" w:hAnsi="Calibri"/>
          <w:b/>
          <w:i w:val="0"/>
          <w:color w:val="222222"/>
          <w:sz w:val="22"/>
        </w:rPr>
        <w:t>Paciente:</w:t>
      </w:r>
      <w:r>
        <w:rPr>
          <w:rFonts w:ascii="Calibri" w:hAnsi="Calibri"/>
          <w:b w:val="0"/>
          <w:i w:val="0"/>
          <w:color w:val="222222"/>
          <w:sz w:val="22"/>
        </w:rPr>
        <w:t xml:space="preserve"> Mulher de 32 anos. K-steep 52,0 D, K-flat 46,0 D, cilindro de 6,0 D a 65°. KMax 55,0 D (1,5 mm inferior-temporal do eixo visual). Paquimetria mais fina de 435 μm. AVMC de 20/60.</w:t>
      </w:r>
    </w:p>
    <w:p>
      <w:r>
        <w:rPr>
          <w:rFonts w:ascii="Calibri" w:hAnsi="Calibri"/>
          <w:b/>
          <w:i w:val="0"/>
          <w:color w:val="222222"/>
          <w:sz w:val="22"/>
        </w:rPr>
        <w:t>Módulo O:</w:t>
      </w:r>
      <w:r>
        <w:rPr>
          <w:rFonts w:ascii="Calibri" w:hAnsi="Calibri"/>
          <w:b w:val="0"/>
          <w:i w:val="0"/>
          <w:color w:val="222222"/>
          <w:sz w:val="22"/>
        </w:rPr>
        <w:t xml:space="preserve"> RMS de Coma = 3,2 μm (intermediário), Δ Eixo = 25° (intermediário), HOA total = 3,5 μm (intermediário), Coma contralateral (desfavorável). → </w:t>
      </w:r>
      <w:r>
        <w:rPr>
          <w:rFonts w:ascii="Calibri" w:hAnsi="Calibri"/>
          <w:b/>
          <w:i w:val="0"/>
          <w:color w:val="222222"/>
          <w:sz w:val="22"/>
        </w:rPr>
        <w:t>O~</w:t>
      </w:r>
    </w:p>
    <w:p>
      <w:r>
        <w:rPr>
          <w:rFonts w:ascii="Calibri" w:hAnsi="Calibri"/>
          <w:b/>
          <w:i w:val="0"/>
          <w:color w:val="222222"/>
          <w:sz w:val="22"/>
        </w:rPr>
        <w:t>Módulo T:</w:t>
      </w:r>
      <w:r>
        <w:rPr>
          <w:rFonts w:ascii="Calibri" w:hAnsi="Calibri"/>
          <w:b w:val="0"/>
          <w:i w:val="0"/>
          <w:color w:val="222222"/>
          <w:sz w:val="22"/>
        </w:rPr>
        <w:t xml:space="preserve"> Morfologia de crescente paracentral. ENM a 250°, K-steep a 65° (diferença de eixo de 5° em relação a 245°, mas o ENM está a 250° — divergência com K-steep = |250° − 245°| = 5°, mas o ENM é medido como o meridiano de elevação posterior máxima que neste caso está a 250° enquanto o eixo K-steep está a 65°/245°). |ENM − K-steep| = 5°. → Direcionado ao cone inferior-temporal.</w:t>
      </w:r>
    </w:p>
    <w:p>
      <w:r>
        <w:rPr>
          <w:rFonts w:ascii="Calibri" w:hAnsi="Calibri"/>
          <w:b/>
          <w:i w:val="0"/>
          <w:color w:val="222222"/>
          <w:sz w:val="22"/>
        </w:rPr>
        <w:t>Módulo B: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necessidade primária é a regularização (cilindro irregular elevado, ápice deslocado). Necessidade secundária: reposicionamento do ápice (ápice a 1,5 mm do eixo visual, coma de 3,2 μm). → </w:t>
      </w:r>
      <w:r>
        <w:rPr>
          <w:rFonts w:ascii="Calibri" w:hAnsi="Calibri"/>
          <w:b/>
          <w:i w:val="0"/>
          <w:color w:val="222222"/>
          <w:sz w:val="22"/>
        </w:rPr>
        <w:t>VT + Vτ dominante</w:t>
      </w:r>
    </w:p>
    <w:p>
      <w:r>
        <w:rPr>
          <w:rFonts w:ascii="Calibri" w:hAnsi="Calibri"/>
          <w:b/>
          <w:i w:val="0"/>
          <w:color w:val="222222"/>
          <w:sz w:val="22"/>
        </w:rPr>
        <w:t>Prescrição: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Anel: Progressivo assimétrico, 250→150 μm, arco 210°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Profundidade: 75% de 435 μm = 326 μm → túnel a 325 μm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Meridiano: Eixo do ENM (250°), extremidade mais espessa superiormente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Efeito esperado: Regularização do astigmatismo (VT a 210° = 7,39 kPa, −5,0% em relação à linha de base) + deslocamento moderado do ápice (Vτ validado = $11,76\ \mu\text{N}\cdot\text{m}$)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Orientar a paciente: Classificação O~ → melhoria funcional incerta; a adaptação de lente de contato ainda pode ser necessária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10.8 Avaliação Pós-Operatória: O Ciclo de Feedback AVBC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Pós-Operatório Imediato (Dia 1 – Semana 1)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Confirmar a posição e a profundidade do anel (lâmpada de fenda, OCT de segmento anterior)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Avaliar eventos adversos (extrusão, infecção, perfuração)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Sem avaliação topográfica (córnea edemaciada, não confiável)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Avaliação Precoce (1 Mês)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Acuidade visual sem e com melhor correção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Topografia: avaliar o aplanamento (ΔK = K-steep</w:t>
      </w:r>
      <w:r>
        <w:rPr>
          <w:rFonts w:ascii="Calibri" w:hAnsi="Calibri"/>
          <w:b w:val="0"/>
          <w:i/>
          <w:color w:val="222222"/>
          <w:sz w:val="22"/>
        </w:rPr>
        <w:t>pré − K-steep</w:t>
      </w:r>
      <w:r>
        <w:rPr>
          <w:rFonts w:ascii="Calibri" w:hAnsi="Calibri"/>
          <w:b w:val="0"/>
          <w:i w:val="0"/>
          <w:color w:val="222222"/>
          <w:sz w:val="22"/>
        </w:rPr>
        <w:t>pós)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Comparação inicial: ΔK</w:t>
      </w:r>
      <w:r>
        <w:rPr>
          <w:rFonts w:ascii="Calibri" w:hAnsi="Calibri"/>
          <w:b w:val="0"/>
          <w:i/>
          <w:color w:val="222222"/>
          <w:sz w:val="22"/>
        </w:rPr>
        <w:t>observado vs ΔK</w:t>
      </w:r>
      <w:r>
        <w:rPr>
          <w:rFonts w:ascii="Calibri" w:hAnsi="Calibri"/>
          <w:b w:val="0"/>
          <w:i w:val="0"/>
          <w:color w:val="222222"/>
          <w:sz w:val="22"/>
        </w:rPr>
        <w:t>esperado (a partir da estimativa de VR)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Avaliação Definitiva (3–6 Meses)</w:t>
      </w:r>
    </w:p>
    <w:p>
      <w:r>
        <w:rPr>
          <w:rFonts w:ascii="Calibri" w:hAnsi="Calibri"/>
          <w:b w:val="0"/>
          <w:i w:val="0"/>
          <w:color w:val="222222"/>
          <w:sz w:val="22"/>
        </w:rPr>
        <w:t>Análise completa do feedback AVBC: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Avaliação do VR:</w:t>
      </w:r>
      <w:r>
        <w:rPr>
          <w:rFonts w:ascii="Calibri" w:hAnsi="Calibri"/>
          <w:b w:val="0"/>
          <w:i w:val="0"/>
          <w:color w:val="222222"/>
          <w:sz w:val="22"/>
        </w:rPr>
        <w:t xml:space="preserve"> ΔK</w:t>
      </w:r>
      <w:r>
        <w:rPr>
          <w:rFonts w:ascii="Calibri" w:hAnsi="Calibri"/>
          <w:b w:val="0"/>
          <w:i/>
          <w:color w:val="222222"/>
          <w:sz w:val="22"/>
        </w:rPr>
        <w:t>induzido = K-steep</w:t>
      </w:r>
      <w:r>
        <w:rPr>
          <w:rFonts w:ascii="Calibri" w:hAnsi="Calibri"/>
          <w:b w:val="0"/>
          <w:i w:val="0"/>
          <w:color w:val="222222"/>
          <w:sz w:val="22"/>
        </w:rPr>
        <w:t>pré − K-steep</w:t>
      </w:r>
      <w:r>
        <w:rPr>
          <w:rFonts w:ascii="Calibri" w:hAnsi="Calibri"/>
          <w:b w:val="0"/>
          <w:i/>
          <w:color w:val="222222"/>
          <w:sz w:val="22"/>
        </w:rPr>
        <w:t>pós. Comparar com VR</w:t>
      </w:r>
      <w:r>
        <w:rPr>
          <w:rFonts w:ascii="Calibri" w:hAnsi="Calibri"/>
          <w:b w:val="0"/>
          <w:i w:val="0"/>
          <w:color w:val="222222"/>
          <w:sz w:val="22"/>
        </w:rPr>
        <w:t>previsto.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AVBC-CI (aplanamento)</w:t>
      </w:r>
      <w:r>
        <w:rPr>
          <w:rFonts w:ascii="Calibri" w:hAnsi="Calibri"/>
          <w:b w:val="0"/>
          <w:i w:val="0"/>
          <w:color w:val="222222"/>
          <w:sz w:val="22"/>
        </w:rPr>
        <w:t xml:space="preserve"> = ΔK</w:t>
      </w:r>
      <w:r>
        <w:rPr>
          <w:rFonts w:ascii="Calibri" w:hAnsi="Calibri"/>
          <w:b w:val="0"/>
          <w:i/>
          <w:color w:val="222222"/>
          <w:sz w:val="22"/>
        </w:rPr>
        <w:t>induzido / ΔK</w:t>
      </w:r>
      <w:r>
        <w:rPr>
          <w:rFonts w:ascii="Calibri" w:hAnsi="Calibri"/>
          <w:b w:val="0"/>
          <w:i w:val="0"/>
          <w:color w:val="222222"/>
          <w:sz w:val="22"/>
        </w:rPr>
        <w:t>previsto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CI = 1,0 ± 0,1 → ideal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CI &lt; 0,8 → subcorreção (considerar maior espessura na próxima vez)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CI &gt; 1,2 → supercorreção (reduzir a espessura na próxima vez)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Avaliação do VT:</w:t>
      </w:r>
      <w:r>
        <w:rPr>
          <w:rFonts w:ascii="Calibri" w:hAnsi="Calibri"/>
          <w:b w:val="0"/>
          <w:i w:val="0"/>
          <w:color w:val="222222"/>
          <w:sz w:val="22"/>
        </w:rPr>
        <w:t xml:space="preserve"> ΔCyl</w:t>
      </w:r>
      <w:r>
        <w:rPr>
          <w:rFonts w:ascii="Calibri" w:hAnsi="Calibri"/>
          <w:b w:val="0"/>
          <w:i/>
          <w:color w:val="222222"/>
          <w:sz w:val="22"/>
        </w:rPr>
        <w:t>induzido = Cyl</w:t>
      </w:r>
      <w:r>
        <w:rPr>
          <w:rFonts w:ascii="Calibri" w:hAnsi="Calibri"/>
          <w:b w:val="0"/>
          <w:i w:val="0"/>
          <w:color w:val="222222"/>
          <w:sz w:val="22"/>
        </w:rPr>
        <w:t>pré − Cyl_pós (componente de regularização).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VT-ratio</w:t>
      </w:r>
      <w:r>
        <w:rPr>
          <w:rFonts w:ascii="Calibri" w:hAnsi="Calibri"/>
          <w:b w:val="0"/>
          <w:i w:val="0"/>
          <w:color w:val="222222"/>
          <w:sz w:val="22"/>
        </w:rPr>
        <w:t xml:space="preserve"> = ΔCyl</w:t>
      </w:r>
      <w:r>
        <w:rPr>
          <w:rFonts w:ascii="Calibri" w:hAnsi="Calibri"/>
          <w:b w:val="0"/>
          <w:i/>
          <w:color w:val="222222"/>
          <w:sz w:val="22"/>
        </w:rPr>
        <w:t>induzido / ΔCyl</w:t>
      </w:r>
      <w:r>
        <w:rPr>
          <w:rFonts w:ascii="Calibri" w:hAnsi="Calibri"/>
          <w:b w:val="0"/>
          <w:i w:val="0"/>
          <w:color w:val="222222"/>
          <w:sz w:val="22"/>
        </w:rPr>
        <w:t>esperado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Avaliar a melhora das HOAs, particularmente coma e trefoil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Avaliação do Vτ (se usado anel assimétrico):</w:t>
      </w:r>
      <w:r>
        <w:rPr>
          <w:rFonts w:ascii="Calibri" w:hAnsi="Calibri"/>
          <w:b w:val="0"/>
          <w:i w:val="0"/>
          <w:color w:val="222222"/>
          <w:sz w:val="22"/>
        </w:rPr>
        <w:t xml:space="preserve"> Medir a migração do ápice no mapa de elevação posterior.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Vτ-ratio</w:t>
      </w:r>
      <w:r>
        <w:rPr>
          <w:rFonts w:ascii="Calibri" w:hAnsi="Calibri"/>
          <w:b w:val="0"/>
          <w:i w:val="0"/>
          <w:color w:val="222222"/>
          <w:sz w:val="22"/>
        </w:rPr>
        <w:t xml:space="preserve"> = Migração</w:t>
      </w:r>
      <w:r>
        <w:rPr>
          <w:rFonts w:ascii="Calibri" w:hAnsi="Calibri"/>
          <w:b w:val="0"/>
          <w:i/>
          <w:color w:val="222222"/>
          <w:sz w:val="22"/>
        </w:rPr>
        <w:t>do</w:t>
      </w:r>
      <w:r>
        <w:rPr>
          <w:rFonts w:ascii="Calibri" w:hAnsi="Calibri"/>
          <w:b w:val="0"/>
          <w:i w:val="0"/>
          <w:color w:val="222222"/>
          <w:sz w:val="22"/>
        </w:rPr>
        <w:t>ápice</w:t>
      </w:r>
      <w:r>
        <w:rPr>
          <w:rFonts w:ascii="Calibri" w:hAnsi="Calibri"/>
          <w:b w:val="0"/>
          <w:i/>
          <w:color w:val="222222"/>
          <w:sz w:val="22"/>
        </w:rPr>
        <w:t>observada / Migração</w:t>
      </w:r>
      <w:r>
        <w:rPr>
          <w:rFonts w:ascii="Calibri" w:hAnsi="Calibri"/>
          <w:b w:val="0"/>
          <w:i w:val="0"/>
          <w:color w:val="222222"/>
          <w:sz w:val="22"/>
        </w:rPr>
        <w:t>do</w:t>
      </w:r>
      <w:r>
        <w:rPr>
          <w:rFonts w:ascii="Calibri" w:hAnsi="Calibri"/>
          <w:b w:val="0"/>
          <w:i/>
          <w:color w:val="222222"/>
          <w:sz w:val="22"/>
        </w:rPr>
        <w:t>ápice</w:t>
      </w:r>
      <w:r>
        <w:rPr>
          <w:rFonts w:ascii="Calibri" w:hAnsi="Calibri"/>
          <w:b w:val="0"/>
          <w:i w:val="0"/>
          <w:color w:val="222222"/>
          <w:sz w:val="22"/>
        </w:rPr>
        <w:t>esperada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Migração positiva em direção ao eixo visual → torque eficaz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Construção da Curva de Calibração Pessoal</w:t>
      </w:r>
    </w:p>
    <w:p>
      <w:r>
        <w:rPr>
          <w:rFonts w:ascii="Calibri" w:hAnsi="Calibri"/>
          <w:b w:val="0"/>
          <w:i w:val="0"/>
          <w:color w:val="222222"/>
          <w:sz w:val="22"/>
        </w:rPr>
        <w:t>Ao longo de N cirurgias, o cirurgião acumula valores pessoais de AVBC-CI. O CI médio representa o fator de calibração pessoal do cirurgião, análogo à constante A no cálculo de LIO. Se o CI médio for consistentemente 0,85 (subcorreção sistemática), o cirurgião pode ajustar as previsões futuras dividindo-as por 0,85 — uma melhoria sistemática na precisão a cada caso adicional.</w:t>
      </w:r>
    </w:p>
    <w:p>
      <w:r>
        <w:rPr>
          <w:rFonts w:ascii="Calibri" w:hAnsi="Calibri"/>
          <w:b w:val="0"/>
          <w:i w:val="0"/>
          <w:color w:val="222222"/>
          <w:sz w:val="22"/>
        </w:rPr>
        <w:t>Este ciclo de feedback específico do cirurgião é um paralelo estrutural direto ao método de Alpins e representa um dos aspectos de maior valor prático do arcabouço AVBC.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[!NOTE] </w:t>
      </w:r>
      <w:r>
        <w:rPr>
          <w:rFonts w:ascii="Calibri" w:hAnsi="Calibri"/>
          <w:b/>
          <w:i w:val="0"/>
          <w:color w:val="334E68"/>
          <w:sz w:val="21"/>
        </w:rPr>
        <w:t>Para o Clínico: O Diário AVBC — 5 Minutos por Caso</w:t>
      </w:r>
      <w:r>
        <w:rPr>
          <w:rFonts w:ascii="Calibri" w:hAnsi="Calibri"/>
          <w:b w:val="0"/>
          <w:i w:val="0"/>
          <w:color w:val="334E68"/>
          <w:sz w:val="21"/>
        </w:rPr>
        <w:t xml:space="preserve"> Após cada cirurgia, registe numa folha de cálculo simples: | Data | Caso | Espessura | Arco | VR Previsto | VR Real (ΔK pós) | CI_R | |------|------|-----------|------|-------------|------------------|------|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>Ao fim de 20 casos, calcule o seu CI_R médio. Esse é o seu "fator pessoal" AVBC. Se for 0.85, multiplique sempre as espessuras recomendadas por 1.18. Simples, mas poderoso.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10.9 Resumo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fluxo de trabalho clínico do AVBC é uma </w:t>
      </w:r>
      <w:r>
        <w:rPr>
          <w:rFonts w:ascii="Calibri" w:hAnsi="Calibri"/>
          <w:b/>
          <w:i w:val="0"/>
          <w:color w:val="222222"/>
          <w:sz w:val="22"/>
        </w:rPr>
        <w:t>avaliação sequencial em três módulos</w:t>
      </w:r>
      <w:r>
        <w:rPr>
          <w:rFonts w:ascii="Calibri" w:hAnsi="Calibri"/>
          <w:b w:val="0"/>
          <w:i w:val="0"/>
          <w:color w:val="222222"/>
          <w:sz w:val="22"/>
        </w:rPr>
        <w:t xml:space="preserve"> (O → T → B) que traduz a compreensão biomecânica na seleção do anel.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protocolo é </w:t>
      </w:r>
      <w:r>
        <w:rPr>
          <w:rFonts w:ascii="Calibri" w:hAnsi="Calibri"/>
          <w:b/>
          <w:i w:val="0"/>
          <w:color w:val="222222"/>
          <w:sz w:val="22"/>
        </w:rPr>
        <w:t>aditivo</w:t>
      </w:r>
      <w:r>
        <w:rPr>
          <w:rFonts w:ascii="Calibri" w:hAnsi="Calibri"/>
          <w:b w:val="0"/>
          <w:i w:val="0"/>
          <w:color w:val="222222"/>
          <w:sz w:val="22"/>
        </w:rPr>
        <w:t>: utiliza dados clínicos existentes (topografia, aberrometria, refração) reorganizados dentro de um arcabouço mecânico.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</w:t>
      </w:r>
      <w:r>
        <w:rPr>
          <w:rFonts w:ascii="Calibri" w:hAnsi="Calibri"/>
          <w:b/>
          <w:i w:val="0"/>
          <w:color w:val="222222"/>
          <w:sz w:val="22"/>
        </w:rPr>
        <w:t>ENM</w:t>
      </w:r>
      <w:r>
        <w:rPr>
          <w:rFonts w:ascii="Calibri" w:hAnsi="Calibri"/>
          <w:b w:val="0"/>
          <w:i w:val="0"/>
          <w:color w:val="222222"/>
          <w:sz w:val="22"/>
        </w:rPr>
        <w:t xml:space="preserve"> (Eixo Neutro Mecânico) é um parâmetro crítico que deve ser avaliado para cada paciente com ceratocone — quando o ENM diverge do K-steep por &gt; 15°, a precisão do nomograma degrada.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Os parâmetros do anel se mapeiam para vetores específicos: </w:t>
      </w:r>
      <w:r>
        <w:rPr>
          <w:rFonts w:ascii="Calibri" w:hAnsi="Calibri"/>
          <w:b/>
          <w:i w:val="0"/>
          <w:color w:val="222222"/>
          <w:sz w:val="22"/>
        </w:rPr>
        <w:t>espessura → VR</w:t>
      </w:r>
      <w:r>
        <w:rPr>
          <w:rFonts w:ascii="Calibri" w:hAnsi="Calibri"/>
          <w:b w:val="0"/>
          <w:i w:val="0"/>
          <w:color w:val="222222"/>
          <w:sz w:val="22"/>
        </w:rPr>
        <w:t xml:space="preserve">, </w:t>
      </w:r>
      <w:r>
        <w:rPr>
          <w:rFonts w:ascii="Calibri" w:hAnsi="Calibri"/>
          <w:b/>
          <w:i w:val="0"/>
          <w:color w:val="222222"/>
          <w:sz w:val="22"/>
        </w:rPr>
        <w:t>comprimento de arco → VT</w:t>
      </w:r>
      <w:r>
        <w:rPr>
          <w:rFonts w:ascii="Calibri" w:hAnsi="Calibri"/>
          <w:b w:val="0"/>
          <w:i w:val="0"/>
          <w:color w:val="222222"/>
          <w:sz w:val="22"/>
        </w:rPr>
        <w:t xml:space="preserve">, </w:t>
      </w:r>
      <w:r>
        <w:rPr>
          <w:rFonts w:ascii="Calibri" w:hAnsi="Calibri"/>
          <w:b/>
          <w:i w:val="0"/>
          <w:color w:val="222222"/>
          <w:sz w:val="22"/>
        </w:rPr>
        <w:t>assimetria → Vτ</w:t>
      </w:r>
      <w:r>
        <w:rPr>
          <w:rFonts w:ascii="Calibri" w:hAnsi="Calibri"/>
          <w:b w:val="0"/>
          <w:i w:val="0"/>
          <w:color w:val="222222"/>
          <w:sz w:val="22"/>
        </w:rPr>
        <w:t xml:space="preserve">, </w:t>
      </w:r>
      <w:r>
        <w:rPr>
          <w:rFonts w:ascii="Calibri" w:hAnsi="Calibri"/>
          <w:b/>
          <w:i w:val="0"/>
          <w:color w:val="222222"/>
          <w:sz w:val="22"/>
        </w:rPr>
        <w:t>profundidade → amplificador universal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 avaliação pós-operatória usando o </w:t>
      </w:r>
      <w:r>
        <w:rPr>
          <w:rFonts w:ascii="Calibri" w:hAnsi="Calibri"/>
          <w:b/>
          <w:i w:val="0"/>
          <w:color w:val="222222"/>
          <w:sz w:val="22"/>
        </w:rPr>
        <w:t>ciclo de feedback do AVBC</w:t>
      </w:r>
      <w:r>
        <w:rPr>
          <w:rFonts w:ascii="Calibri" w:hAnsi="Calibri"/>
          <w:b w:val="0"/>
          <w:i w:val="0"/>
          <w:color w:val="222222"/>
          <w:sz w:val="22"/>
        </w:rPr>
        <w:t xml:space="preserve"> (AVBC-CI, VT-ratio, Vτ-ratio) permite uma calibração específica do cirurgião análoga ao índice de correção de Alpins.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Com o tempo, cada cirurgião constrói uma </w:t>
      </w:r>
      <w:r>
        <w:rPr>
          <w:rFonts w:ascii="Calibri" w:hAnsi="Calibri"/>
          <w:b/>
          <w:i w:val="0"/>
          <w:color w:val="222222"/>
          <w:sz w:val="22"/>
        </w:rPr>
        <w:t>curva de calibração pessoal</w:t>
      </w:r>
      <w:r>
        <w:rPr>
          <w:rFonts w:ascii="Calibri" w:hAnsi="Calibri"/>
          <w:b w:val="0"/>
          <w:i w:val="0"/>
          <w:color w:val="222222"/>
          <w:sz w:val="22"/>
        </w:rPr>
        <w:t xml:space="preserve"> que melhora sistematicamente a precisão preditiva.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Referências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Alió JL, Shabayek MH. Corneal higher order aberrations: a method to grade keratoconus. </w:t>
      </w:r>
      <w:r>
        <w:rPr>
          <w:rFonts w:ascii="Calibri" w:hAnsi="Calibri"/>
          <w:b w:val="0"/>
          <w:i/>
          <w:color w:val="222222"/>
          <w:sz w:val="22"/>
        </w:rPr>
        <w:t>J Refract Surg</w:t>
      </w:r>
      <w:r>
        <w:rPr>
          <w:rFonts w:ascii="Calibri" w:hAnsi="Calibri"/>
          <w:b w:val="0"/>
          <w:i w:val="0"/>
          <w:color w:val="222222"/>
          <w:sz w:val="22"/>
        </w:rPr>
        <w:t>. 2006;22(6):539–545.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Alpins NA. A new method of analyzing vectors for changes in astigmatism.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1993;19(4):524–533.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Colin J, Cochener B, Savary G, et al. Correcting keratoconus with intracorneal rings.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2000;26(8):1117–1122.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Dupps WJ Jr, Roberts CJ. Biomechanics of corneal ectasia and biomechanical treatments.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2014;40(6):991–998.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Ferrara de Almeida Cunha P. Intrastromal corneal ring. </w:t>
      </w:r>
      <w:r>
        <w:rPr>
          <w:rFonts w:ascii="Calibri" w:hAnsi="Calibri"/>
          <w:b w:val="0"/>
          <w:i/>
          <w:color w:val="222222"/>
          <w:sz w:val="22"/>
        </w:rPr>
        <w:t>Arq Bras Oftalmol</w:t>
      </w:r>
      <w:r>
        <w:rPr>
          <w:rFonts w:ascii="Calibri" w:hAnsi="Calibri"/>
          <w:b w:val="0"/>
          <w:i w:val="0"/>
          <w:color w:val="222222"/>
          <w:sz w:val="22"/>
        </w:rPr>
        <w:t>. 1997;60:631–640.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García de Oteyza G, Kling S, Álvarez de Toledo J, Barraquer RI. Refractive changes of a new asymmetric intracorneal ring segment with variable thickness and base width: A 2D finite-element model. </w:t>
      </w:r>
      <w:r>
        <w:rPr>
          <w:rFonts w:ascii="Calibri" w:hAnsi="Calibri"/>
          <w:b w:val="0"/>
          <w:i/>
          <w:color w:val="222222"/>
          <w:sz w:val="22"/>
        </w:rPr>
        <w:t>PLoS One</w:t>
      </w:r>
      <w:r>
        <w:rPr>
          <w:rFonts w:ascii="Calibri" w:hAnsi="Calibri"/>
          <w:b w:val="0"/>
          <w:i w:val="0"/>
          <w:color w:val="222222"/>
          <w:sz w:val="22"/>
        </w:rPr>
        <w:t>. 2021;16(1):e0245063.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Kling S, Marcos S. Finite-element modeling of intracorneal ring segment implantation into a hyperelastic cornea. </w:t>
      </w:r>
      <w:r>
        <w:rPr>
          <w:rFonts w:ascii="Calibri" w:hAnsi="Calibri"/>
          <w:b w:val="0"/>
          <w:i/>
          <w:color w:val="222222"/>
          <w:sz w:val="22"/>
        </w:rPr>
        <w:t>Invest Ophthalmol Vis Sci</w:t>
      </w:r>
      <w:r>
        <w:rPr>
          <w:rFonts w:ascii="Calibri" w:hAnsi="Calibri"/>
          <w:b w:val="0"/>
          <w:i w:val="0"/>
          <w:color w:val="222222"/>
          <w:sz w:val="22"/>
        </w:rPr>
        <w:t>. 2013;54(1):881–889.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Piñero DP, Alcón N. Corneal biomechanics: a review. </w:t>
      </w:r>
      <w:r>
        <w:rPr>
          <w:rFonts w:ascii="Calibri" w:hAnsi="Calibri"/>
          <w:b w:val="0"/>
          <w:i/>
          <w:color w:val="222222"/>
          <w:sz w:val="22"/>
        </w:rPr>
        <w:t>Clin Exp Optom</w:t>
      </w:r>
      <w:r>
        <w:rPr>
          <w:rFonts w:ascii="Calibri" w:hAnsi="Calibri"/>
          <w:b w:val="0"/>
          <w:i w:val="0"/>
          <w:color w:val="222222"/>
          <w:sz w:val="22"/>
        </w:rPr>
        <w:t>. 2015;98(2):107–116.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Rabinowitz YS. Keratoconus. </w:t>
      </w:r>
      <w:r>
        <w:rPr>
          <w:rFonts w:ascii="Calibri" w:hAnsi="Calibri"/>
          <w:b w:val="0"/>
          <w:i/>
          <w:color w:val="222222"/>
          <w:sz w:val="22"/>
        </w:rPr>
        <w:t>Surv Ophthalmol</w:t>
      </w:r>
      <w:r>
        <w:rPr>
          <w:rFonts w:ascii="Calibri" w:hAnsi="Calibri"/>
          <w:b w:val="0"/>
          <w:i w:val="0"/>
          <w:color w:val="222222"/>
          <w:sz w:val="22"/>
        </w:rPr>
        <w:t>. 1998;42(4):297–319.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Torquetti L, Berbel RF, Ferrara P. Long-term follow-up of intrastromal corneal ring segments in keratoconus.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2009;35(10):1768–1773.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Vega-Estrada A, Alió JL, Plaza-Puche AB. Keratoconus progression after intrastromal corneal ring segment implantation. </w:t>
      </w:r>
      <w:r>
        <w:rPr>
          <w:rFonts w:ascii="Calibri" w:hAnsi="Calibri"/>
          <w:b w:val="0"/>
          <w:i/>
          <w:color w:val="222222"/>
          <w:sz w:val="22"/>
        </w:rPr>
        <w:t>Cornea</w:t>
      </w:r>
      <w:r>
        <w:rPr>
          <w:rFonts w:ascii="Calibri" w:hAnsi="Calibri"/>
          <w:b w:val="0"/>
          <w:i w:val="0"/>
          <w:color w:val="222222"/>
          <w:sz w:val="22"/>
        </w:rPr>
        <w:t>. 2013;32(5):611–616.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