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Capítulo 11 — Estudos de Casos Ilustrativos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/>
          <w:i w:val="0"/>
          <w:color w:val="334E68"/>
          <w:sz w:val="21"/>
        </w:rPr>
        <w:t>Análise Vetorial Biomecânica Corneana para Planejamento de Segmento de Anel Intraestromal</w:t>
      </w:r>
      <w:r>
        <w:rPr>
          <w:rFonts w:ascii="Calibri" w:hAnsi="Calibri"/>
          <w:b w:val="0"/>
          <w:i w:val="0"/>
          <w:color w:val="334E68"/>
          <w:sz w:val="21"/>
        </w:rPr>
        <w:t xml:space="preserve"> </w:t>
      </w:r>
      <w:r>
        <w:rPr>
          <w:rFonts w:ascii="Calibri" w:hAnsi="Calibri"/>
          <w:b w:val="0"/>
          <w:i/>
          <w:color w:val="334E68"/>
          <w:sz w:val="21"/>
        </w:rPr>
        <w:t>Parte IV — Aplicação Clínica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11.1 Introdução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>Os capítulos anteriores apresentaram o arcabouço AVBC como um construto teórico apoiado por simulações de elementos finitos. Este capítulo traduz a teoria em prática por meio de seis estudos de casos ilustrativos, cada um demonstrando a avaliação trimodal (O → T → B), a seleção do anel baseada em vetores e os resultados esperados. Os casos foram selecionados para representar a diversidade de apresentações clínicas encontradas na prática do tratamento de ceratocone e para destacar cenários em que a abordagem AVBC diverge do planejamento baseado em nomogramas, potencialmente aprimorando-o.</w:t>
      </w:r>
    </w:p>
    <w:p>
      <w:r>
        <w:rPr>
          <w:rFonts w:ascii="Calibri" w:hAnsi="Calibri"/>
          <w:b w:val="0"/>
          <w:i w:val="0"/>
          <w:color w:val="222222"/>
          <w:sz w:val="22"/>
        </w:rPr>
        <w:t>Cada caso segue um formato padronizado: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Apresentação clínica: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Dados demográficos, acuidade visual, refração, dados topográficos.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Avaliação AVBC:</w:t>
      </w:r>
      <w:r>
        <w:rPr>
          <w:rFonts w:ascii="Calibri" w:hAnsi="Calibri"/>
          <w:b w:val="0"/>
          <w:i w:val="0"/>
          <w:color w:val="222222"/>
          <w:sz w:val="22"/>
        </w:rPr>
        <w:t xml:space="preserve"> Classificação dos Módulos O, T e B.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Seleção de vetores:</w:t>
      </w:r>
      <w:r>
        <w:rPr>
          <w:rFonts w:ascii="Calibri" w:hAnsi="Calibri"/>
          <w:b w:val="0"/>
          <w:i w:val="0"/>
          <w:color w:val="222222"/>
          <w:sz w:val="22"/>
        </w:rPr>
        <w:t xml:space="preserve"> Identificação do vetor dominante e prescrição do anel.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Comparação com nomogramas: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que um nomograma padrão prescreveria e como difere.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Resultado esperado:</w:t>
      </w:r>
      <w:r>
        <w:rPr>
          <w:rFonts w:ascii="Calibri" w:hAnsi="Calibri"/>
          <w:b w:val="0"/>
          <w:i w:val="0"/>
          <w:color w:val="222222"/>
          <w:sz w:val="22"/>
        </w:rPr>
        <w:t xml:space="preserve"> ΔK, ΔCyl e migração do ápice previstos com base em dados de FEM.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>[!NOTE] Estes casos são ilustrações didáticas construídas a partir de apresentações clínicas típicas e calibradas em relação aos resultados de FEM apresentados no Capítulo 12. Eles não representam resultados clínicos retrospectivos, mas previsões prospectivas usando o arcabouço AVBC. Estudos de validação clínica estão planejados (Capítulo 13).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[!TIP] </w:t>
      </w:r>
      <w:r>
        <w:rPr>
          <w:rFonts w:ascii="Calibri" w:hAnsi="Calibri"/>
          <w:b/>
          <w:i w:val="0"/>
          <w:color w:val="334E68"/>
          <w:sz w:val="21"/>
        </w:rPr>
        <w:t>Para o Clínico: Como Estudar Este Capítulo</w:t>
      </w:r>
      <w:r>
        <w:rPr>
          <w:rFonts w:ascii="Calibri" w:hAnsi="Calibri"/>
          <w:b w:val="0"/>
          <w:i w:val="0"/>
          <w:color w:val="334E68"/>
          <w:sz w:val="21"/>
        </w:rPr>
        <w:t xml:space="preserve"> Em cada caso, antes de ler a </w:t>
      </w:r>
      <w:r>
        <w:rPr>
          <w:rFonts w:ascii="Calibri" w:hAnsi="Calibri"/>
          <w:b/>
          <w:i w:val="0"/>
          <w:color w:val="334E68"/>
          <w:sz w:val="21"/>
        </w:rPr>
        <w:t>Avaliação AVBC</w:t>
      </w:r>
      <w:r>
        <w:rPr>
          <w:rFonts w:ascii="Calibri" w:hAnsi="Calibri"/>
          <w:b w:val="0"/>
          <w:i w:val="0"/>
          <w:color w:val="334E68"/>
          <w:sz w:val="21"/>
        </w:rPr>
        <w:t>, tente classificar você mesmo: o doente é O+/O~/O-? Qual arquétipo topográfico? Qual vetor dominante? Depois compare com a análise AVBC. Esta autoavaliação ativa o raciocínio cirúrgico muito mais eficientemente do que leitura passiva.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11.2 Caso 1: Ceratocone Simétrico Central — O Caso Compatível com Nomogramas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Apresentação Clínica</w:t>
      </w:r>
    </w:p>
    <w:p>
      <w:r>
        <w:rPr>
          <w:rFonts w:ascii="Calibri" w:hAnsi="Calibri"/>
          <w:b w:val="0"/>
          <w:i w:val="0"/>
          <w:color w:val="222222"/>
          <w:sz w:val="22"/>
        </w:rPr>
        <w:t>Um homem de 26 anos apresenta ceratocone bilateral, pior no olho direito. Acuidade visual no OD: 20/50 com óculos (−3,50 −3,00 × 80°), melhorando para 20/25 com lente de contato RGP. Sem histórico de coçar os olhos. Sem progressão na topografia seriada ao longo de 12 meses após CXL.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K-steep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47,5 D a 80°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K-flat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44,0 D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KMax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49,2 D (central)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Cilindro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3,5 D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Paquimetria mais fina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478 μm (central)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RMS de Coma (6 mm)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1,4 μm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RMS de HOA total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1,8 μm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Distância do ápice do cone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0,3 mm do eixo visual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Avaliação AVBC</w:t>
      </w:r>
    </w:p>
    <w:p>
      <w:r>
        <w:rPr>
          <w:rFonts w:ascii="Calibri" w:hAnsi="Calibri"/>
          <w:b/>
          <w:i w:val="0"/>
          <w:color w:val="222222"/>
          <w:sz w:val="22"/>
        </w:rPr>
        <w:t>Módulo O:</w:t>
      </w:r>
      <w:r>
        <w:rPr>
          <w:rFonts w:ascii="Calibri" w:hAnsi="Calibri"/>
          <w:b w:val="0"/>
          <w:i w:val="0"/>
          <w:color w:val="222222"/>
          <w:sz w:val="22"/>
        </w:rPr>
        <w:t xml:space="preserve"> Coma &lt; 2,50 (favorável), Δ Eixo = 5° (favorável), HOA &lt; 2,0 (favorável), Coma ipsilateral (favorável). → </w:t>
      </w:r>
      <w:r>
        <w:rPr>
          <w:rFonts w:ascii="Calibri" w:hAnsi="Calibri"/>
          <w:b/>
          <w:i w:val="0"/>
          <w:color w:val="222222"/>
          <w:sz w:val="22"/>
        </w:rPr>
        <w:t>O+</w:t>
      </w:r>
    </w:p>
    <w:p>
      <w:r>
        <w:rPr>
          <w:rFonts w:ascii="Calibri" w:hAnsi="Calibri"/>
          <w:b/>
          <w:i w:val="0"/>
          <w:color w:val="222222"/>
          <w:sz w:val="22"/>
        </w:rPr>
        <w:t>Módulo T:</w:t>
      </w:r>
      <w:r>
        <w:rPr>
          <w:rFonts w:ascii="Calibri" w:hAnsi="Calibri"/>
          <w:b w:val="0"/>
          <w:i w:val="0"/>
          <w:color w:val="222222"/>
          <w:sz w:val="22"/>
        </w:rPr>
        <w:t xml:space="preserve"> Morfologia oval central. ENM a 82°, K-steep a 80°. |ENM − K-steep| = 2°. → Central, simétrico.</w:t>
      </w:r>
    </w:p>
    <w:p>
      <w:r>
        <w:rPr>
          <w:rFonts w:ascii="Calibri" w:hAnsi="Calibri"/>
          <w:b/>
          <w:i w:val="0"/>
          <w:color w:val="222222"/>
          <w:sz w:val="22"/>
        </w:rPr>
        <w:t>Módulo B: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necessidade primária é o aplanamento moderado. O astigmatismo é regular e alinhado. O ápice está quase centrado. → </w:t>
      </w:r>
      <w:r>
        <w:rPr>
          <w:rFonts w:ascii="Calibri" w:hAnsi="Calibri"/>
          <w:b/>
          <w:i w:val="0"/>
          <w:color w:val="222222"/>
          <w:sz w:val="22"/>
        </w:rPr>
        <w:t>VR dominante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Prescrição do Anel</w:t>
      </w:r>
    </w:p>
    <w:p>
      <w:r>
        <w:rPr>
          <w:rFonts w:ascii="Calibri" w:hAnsi="Calibri"/>
          <w:b w:val="0"/>
          <w:i w:val="0"/>
          <w:color w:val="222222"/>
          <w:sz w:val="22"/>
        </w:rPr>
        <w:t>Anel simétrico, espessura de 200 μm, arco de 150°, profundidade de 75% (túnel a 358 μm), meridiano a 80°.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Comparação com Nomogramas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Um nomograma padrão de Ferrara prescreveria um anel de 200 μm a 160° para este K-steep e valor Q — essencialmente a mesma configuração. </w:t>
      </w:r>
      <w:r>
        <w:rPr>
          <w:rFonts w:ascii="Calibri" w:hAnsi="Calibri"/>
          <w:b/>
          <w:i w:val="0"/>
          <w:color w:val="222222"/>
          <w:sz w:val="22"/>
        </w:rPr>
        <w:t>Este é o caso em que o nomograma funciona bem</w:t>
      </w:r>
      <w:r>
        <w:rPr>
          <w:rFonts w:ascii="Calibri" w:hAnsi="Calibri"/>
          <w:b w:val="0"/>
          <w:i w:val="0"/>
          <w:color w:val="222222"/>
          <w:sz w:val="22"/>
        </w:rPr>
        <w:t xml:space="preserve"> porque o ENM ≈ K-steep, a morfologia é central e a necessidade dominante (aplanamento) se alinha com o único mecanismo que o nomograma captura.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Resultado Esperado</w:t>
      </w:r>
    </w:p>
    <w:p>
      <w:r>
        <w:rPr>
          <w:rFonts w:ascii="Calibri" w:hAnsi="Calibri"/>
          <w:b w:val="0"/>
          <w:i w:val="0"/>
          <w:color w:val="222222"/>
          <w:sz w:val="22"/>
        </w:rPr>
        <w:t>ΔK ≈ 2,0–2,5 D (com base nos dados de VR para o anel de 200 μm); ΔCyl modesto; sem migração do ápice (anel simétrico, Vτ = 0).</w:t>
      </w:r>
    </w:p>
    <w:p>
      <w:r>
        <w:rPr>
          <w:rFonts w:ascii="Calibri" w:hAnsi="Calibri"/>
          <w:b/>
          <w:i w:val="0"/>
          <w:color w:val="222222"/>
          <w:sz w:val="22"/>
        </w:rPr>
        <w:t>Ponto de aprendizado: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arcabouço AVBC não é necessário para todos os casos. Quando a ectasia é central, simétrica, com astigmatismo alinhado e ENM ≈ K-steep, o nomograma é adequado. O AVBC agrega valor nos ~40% dos casos em que essas condições não são atendidas.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[!IMPORTANT] </w:t>
      </w:r>
      <w:r>
        <w:rPr>
          <w:rFonts w:ascii="Calibri" w:hAnsi="Calibri"/>
          <w:b/>
          <w:i w:val="0"/>
          <w:color w:val="334E68"/>
          <w:sz w:val="21"/>
        </w:rPr>
        <w:t>Para o Clínico: Quando o Nomograma é Suficiente</w:t>
      </w:r>
      <w:r>
        <w:rPr>
          <w:rFonts w:ascii="Calibri" w:hAnsi="Calibri"/>
          <w:b w:val="0"/>
          <w:i w:val="0"/>
          <w:color w:val="334E68"/>
          <w:sz w:val="21"/>
        </w:rPr>
        <w:t xml:space="preserve"> Se todas estas condições se verificam em simultâneo, o nomograma funciona bem e não precisa da AVBC: 1. ENM diverge menos de 15° do K-steep 2. Morfologia oval central 3. Astigmatismo alinhado (Eixo cilindro vs K-steep &lt; 15°) 4. Coma ipsilateral &lt; 2.5 µm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>Fora destas condições, você está no território em que a AVBC faz diferença.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11.3 Caso 2: Ceratocone Paracentral com Divergência de ENM — VT Dominante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Apresentação Clínica</w:t>
      </w:r>
    </w:p>
    <w:p>
      <w:r>
        <w:rPr>
          <w:rFonts w:ascii="Calibri" w:hAnsi="Calibri"/>
          <w:b w:val="0"/>
          <w:i w:val="0"/>
          <w:color w:val="222222"/>
          <w:sz w:val="22"/>
        </w:rPr>
        <w:t>Uma mulher de 30 anos. AVMC no OE: 20/60 com óculos (−2,00 −5,50 × 100°), melhorando para 20/30 com RGP.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K-steep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50,0 D a 100°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K-flat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44,5 D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KMax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54,3 D (1,2 mm inferior do eixo)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Cilindro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5,5 D (componente irregular &gt; 2,0 D)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Paquimetria mais fina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445 μm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RMS de Coma (6 mm)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2,8 μm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RMS de HOA total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3,2 μm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ENM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135°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Avaliação AVBC</w:t>
      </w:r>
    </w:p>
    <w:p>
      <w:r>
        <w:rPr>
          <w:rFonts w:ascii="Calibri" w:hAnsi="Calibri"/>
          <w:b/>
          <w:i w:val="0"/>
          <w:color w:val="222222"/>
          <w:sz w:val="22"/>
        </w:rPr>
        <w:t>Módulo O:</w:t>
      </w:r>
      <w:r>
        <w:rPr>
          <w:rFonts w:ascii="Calibri" w:hAnsi="Calibri"/>
          <w:b w:val="0"/>
          <w:i w:val="0"/>
          <w:color w:val="222222"/>
          <w:sz w:val="22"/>
        </w:rPr>
        <w:t xml:space="preserve"> Coma 2,8 (intermediário), Δ Eixo = 22° (intermediário), HOA 3,2 (intermediário), Coma ambíguo. → </w:t>
      </w:r>
      <w:r>
        <w:rPr>
          <w:rFonts w:ascii="Calibri" w:hAnsi="Calibri"/>
          <w:b/>
          <w:i w:val="0"/>
          <w:color w:val="222222"/>
          <w:sz w:val="22"/>
        </w:rPr>
        <w:t>O~</w:t>
      </w:r>
    </w:p>
    <w:p>
      <w:r>
        <w:rPr>
          <w:rFonts w:ascii="Calibri" w:hAnsi="Calibri"/>
          <w:b/>
          <w:i w:val="0"/>
          <w:color w:val="222222"/>
          <w:sz w:val="22"/>
        </w:rPr>
        <w:t>Módulo T:</w:t>
      </w:r>
      <w:r>
        <w:rPr>
          <w:rFonts w:ascii="Calibri" w:hAnsi="Calibri"/>
          <w:b w:val="0"/>
          <w:i w:val="0"/>
          <w:color w:val="222222"/>
          <w:sz w:val="22"/>
        </w:rPr>
        <w:t xml:space="preserve"> Crescente paracentral. ENM a 135°, K-steep a 100°. |ENM − K-steep| = </w:t>
      </w:r>
      <w:r>
        <w:rPr>
          <w:rFonts w:ascii="Calibri" w:hAnsi="Calibri"/>
          <w:b/>
          <w:i w:val="0"/>
          <w:color w:val="222222"/>
          <w:sz w:val="22"/>
        </w:rPr>
        <w:t>35°</w:t>
      </w:r>
      <w:r>
        <w:rPr>
          <w:rFonts w:ascii="Calibri" w:hAnsi="Calibri"/>
          <w:b w:val="0"/>
          <w:i w:val="0"/>
          <w:color w:val="222222"/>
          <w:sz w:val="22"/>
        </w:rPr>
        <w:t>. Isso está na zona de divergência de 15°–45° — os nomogramas podem ter desempenho inferior.</w:t>
      </w:r>
    </w:p>
    <w:p>
      <w:r>
        <w:rPr>
          <w:rFonts w:ascii="Calibri" w:hAnsi="Calibri"/>
          <w:b/>
          <w:i w:val="0"/>
          <w:color w:val="222222"/>
          <w:sz w:val="22"/>
        </w:rPr>
        <w:t>Módulo B: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problema clínico dominante é o astigmatismo irregular (5,5 D total, componente irregular &gt; 2,0 D). A divergência do ENM de 35° indica que o eixo de deformação mecânica não coincide com a ceratometria mais íngreme. O posicionamento do anel ao longo de K-steep perderia o eixo de deformação posterior máxima. → </w:t>
      </w:r>
      <w:r>
        <w:rPr>
          <w:rFonts w:ascii="Calibri" w:hAnsi="Calibri"/>
          <w:b/>
          <w:i w:val="0"/>
          <w:color w:val="222222"/>
          <w:sz w:val="22"/>
        </w:rPr>
        <w:t>VT dominante</w:t>
      </w:r>
      <w:r>
        <w:rPr>
          <w:rFonts w:ascii="Calibri" w:hAnsi="Calibri"/>
          <w:b w:val="0"/>
          <w:i w:val="0"/>
          <w:color w:val="222222"/>
          <w:sz w:val="22"/>
        </w:rPr>
        <w:t>, com anel orientado em direção ao ENM.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Prescrição do Anel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Anel simétrico, espessura de 200 μm, </w:t>
      </w:r>
      <w:r>
        <w:rPr>
          <w:rFonts w:ascii="Calibri" w:hAnsi="Calibri"/>
          <w:b/>
          <w:i w:val="0"/>
          <w:color w:val="222222"/>
          <w:sz w:val="22"/>
        </w:rPr>
        <w:t>arco de 255°</w:t>
      </w:r>
      <w:r>
        <w:rPr>
          <w:rFonts w:ascii="Calibri" w:hAnsi="Calibri"/>
          <w:b w:val="0"/>
          <w:i w:val="0"/>
          <w:color w:val="222222"/>
          <w:sz w:val="22"/>
        </w:rPr>
        <w:t xml:space="preserve"> (arco longo para VT máximo), profundidade de 70% (túnel a 312 μm), meridiano a </w:t>
      </w:r>
      <w:r>
        <w:rPr>
          <w:rFonts w:ascii="Calibri" w:hAnsi="Calibri"/>
          <w:b/>
          <w:i w:val="0"/>
          <w:color w:val="222222"/>
          <w:sz w:val="22"/>
        </w:rPr>
        <w:t>135°</w:t>
      </w:r>
      <w:r>
        <w:rPr>
          <w:rFonts w:ascii="Calibri" w:hAnsi="Calibri"/>
          <w:b w:val="0"/>
          <w:i w:val="0"/>
          <w:color w:val="222222"/>
          <w:sz w:val="22"/>
        </w:rPr>
        <w:t xml:space="preserve"> (ENM, não K-steep).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Comparação com Nomogramas</w:t>
      </w:r>
    </w:p>
    <w:p>
      <w:r>
        <w:rPr>
          <w:rFonts w:ascii="Calibri" w:hAnsi="Calibri"/>
          <w:b w:val="0"/>
          <w:i w:val="0"/>
          <w:color w:val="222222"/>
          <w:sz w:val="22"/>
        </w:rPr>
        <w:t>Um nomograma padrão prescreveria um anel mais espesso (250 μm) no eixo K-steep (100°), com um arco menor (160°). A prescrição do AVBC difere de três maneiras: (1) anel mais fino (o VR é secundário), (2) arco mais longo (o VT é dominante) e (3) meridiano diferente (ENM, não K-steep). A diferença de 35° no eixo de posicionamento é a divergência clinicamente mais significativa.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Resultado Esperado</w:t>
      </w:r>
    </w:p>
    <w:p>
      <w:r>
        <w:rPr>
          <w:rFonts w:ascii="Calibri" w:hAnsi="Calibri"/>
          <w:b w:val="0"/>
          <w:i w:val="0"/>
          <w:color w:val="222222"/>
          <w:sz w:val="22"/>
        </w:rPr>
        <w:t>Regularização com ΔCyl ≈ 2,0–3,0 D; ΔK ≈ 1,0–1,5 D (moderado, VR secundário). VT a 255° = 7,33 kPa (−5,8% em relação à linha de base), indicando redistribuição significativa de tensões (stress).</w:t>
      </w:r>
    </w:p>
    <w:p>
      <w:r>
        <w:rPr>
          <w:rFonts w:ascii="Calibri" w:hAnsi="Calibri"/>
          <w:b/>
          <w:i w:val="0"/>
          <w:color w:val="222222"/>
          <w:sz w:val="22"/>
        </w:rPr>
        <w:t>Ponto de aprendizado:</w:t>
      </w:r>
      <w:r>
        <w:rPr>
          <w:rFonts w:ascii="Calibri" w:hAnsi="Calibri"/>
          <w:b w:val="0"/>
          <w:i w:val="0"/>
          <w:color w:val="222222"/>
          <w:sz w:val="22"/>
        </w:rPr>
        <w:t xml:space="preserve"> Quando o ENM diverge do K-steep por &gt; 15°, o meridiano do anel deve seguir o ENM. Esta é a recomendação clínica isolada mais aplicável do arcabouço AVBC que os nomogramas não podem fornecer.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[!WARNING] </w:t>
      </w:r>
      <w:r>
        <w:rPr>
          <w:rFonts w:ascii="Calibri" w:hAnsi="Calibri"/>
          <w:b/>
          <w:i w:val="0"/>
          <w:color w:val="334E68"/>
          <w:sz w:val="21"/>
        </w:rPr>
        <w:t>Para o Clínico: O Erro dos 35°</w:t>
      </w:r>
      <w:r>
        <w:rPr>
          <w:rFonts w:ascii="Calibri" w:hAnsi="Calibri"/>
          <w:b w:val="0"/>
          <w:i w:val="0"/>
          <w:color w:val="334E68"/>
          <w:sz w:val="21"/>
        </w:rPr>
        <w:t xml:space="preserve"> Neste caso, o nomograma diria: "implante no eixo K-steep = 100°". A AVBC diz: "implante no ENM = 135°". Uma diferença de 35°. Num doente com crescente paracentral, este erro de eixo significa que o anel interceta o estroma deformado numa posição incorreta, perdendo ~35% da capacidade de redistribuição de tensões. Verificar sempre o ENM antes de marcar o eixo de implante!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11.4 Caso 3: Ceratocone de Ápice Deslocado — Vτ Dominante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Apresentação Clínica</w:t>
      </w:r>
    </w:p>
    <w:p>
      <w:r>
        <w:rPr>
          <w:rFonts w:ascii="Calibri" w:hAnsi="Calibri"/>
          <w:b w:val="0"/>
          <w:i w:val="0"/>
          <w:color w:val="222222"/>
          <w:sz w:val="22"/>
        </w:rPr>
        <w:t>Um homem de 24 anos. AVMC no OD: 20/80. Incapaz de tolerar lentes de contato.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K-steep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48,5 D a 90°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K-flat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44,0 D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KMax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56,0 D (2,0 mm inferior-nasal do eixo)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Cilindro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4,5 D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Paquimetria mais fina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430 μm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RMS de Coma (6 mm)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4,2 μm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RMS de HOA total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5,1 μm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Distância do ápice do cone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2,0 mm do eixo visual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ENM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220°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Avaliação AVBC</w:t>
      </w:r>
    </w:p>
    <w:p>
      <w:r>
        <w:rPr>
          <w:rFonts w:ascii="Calibri" w:hAnsi="Calibri"/>
          <w:b/>
          <w:i w:val="0"/>
          <w:color w:val="222222"/>
          <w:sz w:val="22"/>
        </w:rPr>
        <w:t>Módulo O:</w:t>
      </w:r>
      <w:r>
        <w:rPr>
          <w:rFonts w:ascii="Calibri" w:hAnsi="Calibri"/>
          <w:b w:val="0"/>
          <w:i w:val="0"/>
          <w:color w:val="222222"/>
          <w:sz w:val="22"/>
        </w:rPr>
        <w:t xml:space="preserve"> Coma &gt; 3,50 (desfavorável), Δ Eixo = 35° (desfavorável), HOA &gt; 4,0 (desfavorável), Coma contralateral (desfavorável). → </w:t>
      </w:r>
      <w:r>
        <w:rPr>
          <w:rFonts w:ascii="Calibri" w:hAnsi="Calibri"/>
          <w:b/>
          <w:i w:val="0"/>
          <w:color w:val="222222"/>
          <w:sz w:val="22"/>
        </w:rPr>
        <w:t>O−</w:t>
      </w:r>
    </w:p>
    <w:p>
      <w:r>
        <w:rPr>
          <w:rFonts w:ascii="Calibri" w:hAnsi="Calibri"/>
          <w:b/>
          <w:i w:val="0"/>
          <w:color w:val="222222"/>
          <w:sz w:val="22"/>
        </w:rPr>
        <w:t>Módulo T:</w:t>
      </w:r>
      <w:r>
        <w:rPr>
          <w:rFonts w:ascii="Calibri" w:hAnsi="Calibri"/>
          <w:b w:val="0"/>
          <w:i w:val="0"/>
          <w:color w:val="222222"/>
          <w:sz w:val="22"/>
        </w:rPr>
        <w:t xml:space="preserve"> Mamilo (nipple) inferior com deslocamento significativo. KMax 56,0 D, mas não &gt; 60 D (não é globus → ICRS ainda considerado). ENM a 220°.</w:t>
      </w:r>
    </w:p>
    <w:p>
      <w:r>
        <w:rPr>
          <w:rFonts w:ascii="Calibri" w:hAnsi="Calibri"/>
          <w:b/>
          <w:i w:val="0"/>
          <w:color w:val="222222"/>
          <w:sz w:val="22"/>
        </w:rPr>
        <w:t>Módulo B: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problema dominante é o ápice deslocado — 2,0 mm do eixo visual, gerando 4,2 μm de coma. O aplanamento isolado não centrará a óptica. O paciente necessita de </w:t>
      </w:r>
      <w:r>
        <w:rPr>
          <w:rFonts w:ascii="Calibri" w:hAnsi="Calibri"/>
          <w:b/>
          <w:i w:val="0"/>
          <w:color w:val="222222"/>
          <w:sz w:val="22"/>
        </w:rPr>
        <w:t>reposicionamento do ápice</w:t>
      </w:r>
      <w:r>
        <w:rPr>
          <w:rFonts w:ascii="Calibri" w:hAnsi="Calibri"/>
          <w:b w:val="0"/>
          <w:i w:val="0"/>
          <w:color w:val="222222"/>
          <w:sz w:val="22"/>
        </w:rPr>
        <w:t xml:space="preserve">. → </w:t>
      </w:r>
      <w:r>
        <w:rPr>
          <w:rFonts w:ascii="Calibri" w:hAnsi="Calibri"/>
          <w:b/>
          <w:i w:val="0"/>
          <w:color w:val="222222"/>
          <w:sz w:val="22"/>
        </w:rPr>
        <w:t>Vτ dominante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Prescrição do Anel</w:t>
      </w:r>
    </w:p>
    <w:p>
      <w:r>
        <w:rPr>
          <w:rFonts w:ascii="Calibri" w:hAnsi="Calibri"/>
          <w:b w:val="0"/>
          <w:i w:val="0"/>
          <w:color w:val="222222"/>
          <w:sz w:val="22"/>
        </w:rPr>
        <w:t>Anel progressivo assimétrico, 300→150 μm, arco de 180°, profundidade de 80% (túnel a 344 μm), meridiano a 220° (ENM). Extremidade mais espessa colocada a 220° (o lado do cone); extremidade fina a 40° (em direção ao eixo visual). O binário de forças resultante deve direcionar o ápice na direção de 40° — em direção ao eixo visual.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Comparação com Nomogramas</w:t>
      </w:r>
    </w:p>
    <w:p>
      <w:r>
        <w:rPr>
          <w:rFonts w:ascii="Calibri" w:hAnsi="Calibri"/>
          <w:b w:val="0"/>
          <w:i w:val="0"/>
          <w:color w:val="222222"/>
          <w:sz w:val="22"/>
        </w:rPr>
        <w:t>Nenhum nomograma padrão aborda a posição do ápice. Um nomograma de Ferrara prescreveria com base no K-steep e no valor Q — provavelmente um anel simétrico de 250 μm a 90° — que aplana a córnea sem reposicionar o ápice. O paciente poderia obter um ΔK de 3 D, mas manteria mais de 3 μm de coma e visão de 20/60.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Resultado Esperado</w:t>
      </w:r>
    </w:p>
    <w:p>
      <w:r>
        <w:rPr>
          <w:rFonts w:ascii="Calibri" w:hAnsi="Calibri"/>
          <w:b w:val="0"/>
          <w:i w:val="0"/>
          <w:color w:val="222222"/>
          <w:sz w:val="22"/>
        </w:rPr>
        <w:t>$V\tau$ validado = $9,31\ \mu\text{N}\cdot\text{m}$ (linear progressivo, da Tabela 12.2a). Migração esperada do ápice ≈ 0,3–0,5 mm em direção ao eixo visual. Combinado com aplanamento moderado (ΔK ≈ 1,5–2,0 D). Dada a classificação O−, o paciente deve entender que a melhora da AVMC pode ser modesta, mesmo com o reposicionamento bem-sucedido do ápice.</w:t>
      </w:r>
    </w:p>
    <w:p>
      <w:r>
        <w:rPr>
          <w:rFonts w:ascii="Calibri" w:hAnsi="Calibri"/>
          <w:b/>
          <w:i w:val="0"/>
          <w:color w:val="222222"/>
          <w:sz w:val="22"/>
        </w:rPr>
        <w:t>Ponto de aprendizado: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Vτ aborda uma necessidade clínica que nenhum nomograma existente reconhece. Quando o ápice está deslocado &gt; 1 mm e o coma excede 3,5 μm, o reposicionamento do ápice deve ser o objetivo cirúrgico primário, e não o aplanamento.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[!TIP] </w:t>
      </w:r>
      <w:r>
        <w:rPr>
          <w:rFonts w:ascii="Calibri" w:hAnsi="Calibri"/>
          <w:b/>
          <w:i w:val="0"/>
          <w:color w:val="334E68"/>
          <w:sz w:val="21"/>
        </w:rPr>
        <w:t>Para o Clínico: O Teste do Coma para Indicar Vτ</w:t>
      </w:r>
      <w:r>
        <w:rPr>
          <w:rFonts w:ascii="Calibri" w:hAnsi="Calibri"/>
          <w:b w:val="0"/>
          <w:i w:val="0"/>
          <w:color w:val="334E68"/>
          <w:sz w:val="21"/>
        </w:rPr>
        <w:t xml:space="preserve"> Se o doente tem Coma &gt; 3.5 µm e a distância do ápice ao eixo visual &gt; 1 mm, pergunte-se: "Um anel simétrico (Vτ = 0) resolve o seu problema principal?" A resposta é </w:t>
      </w:r>
      <w:r>
        <w:rPr>
          <w:rFonts w:ascii="Calibri" w:hAnsi="Calibri"/>
          <w:b/>
          <w:i w:val="0"/>
          <w:color w:val="334E68"/>
          <w:sz w:val="21"/>
        </w:rPr>
        <w:t>não</w:t>
      </w:r>
      <w:r>
        <w:rPr>
          <w:rFonts w:ascii="Calibri" w:hAnsi="Calibri"/>
          <w:b w:val="0"/>
          <w:i w:val="0"/>
          <w:color w:val="334E68"/>
          <w:sz w:val="21"/>
        </w:rPr>
        <w:t>. O aplanamento sem reposicionamento deixará o cone deslocado e a aberrometria inalterada. O doente permanecerá em 20/80 apesar de um belo mapa topográfico. Indique sempre anel progressivo (Vτ) quando cone deslocado + coma elevado.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11.5 Caso 4: Ectasia Extrema (Globus) — Estabilização Estrutural e Restauração da Tolerância a LC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Apresentação Clínica</w:t>
      </w:r>
    </w:p>
    <w:p>
      <w:r>
        <w:rPr>
          <w:rFonts w:ascii="Calibri" w:hAnsi="Calibri"/>
          <w:b w:val="0"/>
          <w:i w:val="0"/>
          <w:color w:val="222222"/>
          <w:sz w:val="22"/>
        </w:rPr>
        <w:t>Um homem de 35 anos apresenta ectasia corneana extrema (padrão Globus). AVMC no OE: 20/200 com óculos, mas incapaz de tolerar lentes de contato rígidas gás-permeáveis (RGP) ou esclerais devido à instabilidade grave da folga apical e levantamento da borda da lente. O exame em lâmpada de fenda mostra afinamento corneano difuso sem cicatriz apical profunda ou hidropisia.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K-steep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68,0 D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KMax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76,5 D (difuso, atingindo até 85,0 D em zonas locais)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Paquimetria mais fina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360 μm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RMS de Coma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5,8 μm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Avaliação AVBC</w:t>
      </w:r>
    </w:p>
    <w:p>
      <w:r>
        <w:rPr>
          <w:rFonts w:ascii="Calibri" w:hAnsi="Calibri"/>
          <w:b/>
          <w:i w:val="0"/>
          <w:color w:val="222222"/>
          <w:sz w:val="22"/>
        </w:rPr>
        <w:t>Módulo O:</w:t>
      </w:r>
      <w:r>
        <w:rPr>
          <w:rFonts w:ascii="Calibri" w:hAnsi="Calibri"/>
          <w:b w:val="0"/>
          <w:i w:val="0"/>
          <w:color w:val="222222"/>
          <w:sz w:val="22"/>
        </w:rPr>
        <w:t xml:space="preserve"> Todos os parâmetros de otimização óptica enquadram-se na coluna Desfavorável. A classificação é </w:t>
      </w:r>
      <w:r>
        <w:rPr>
          <w:rFonts w:ascii="Calibri" w:hAnsi="Calibri"/>
          <w:b/>
          <w:i w:val="0"/>
          <w:color w:val="222222"/>
          <w:sz w:val="22"/>
        </w:rPr>
        <w:t>O−</w:t>
      </w:r>
      <w:r>
        <w:rPr>
          <w:rFonts w:ascii="Calibri" w:hAnsi="Calibri"/>
          <w:b w:val="0"/>
          <w:i w:val="0"/>
          <w:color w:val="222222"/>
          <w:sz w:val="22"/>
        </w:rPr>
        <w:t xml:space="preserve"> para regularização óptica, o que significa que é altamente improvável que a reabilitação visual padrão através do implante de anel guiado por topografia atinja uma visão corrigida de 20/20.</w:t>
      </w:r>
    </w:p>
    <w:p>
      <w:r>
        <w:rPr>
          <w:rFonts w:ascii="Calibri" w:hAnsi="Calibri"/>
          <w:b/>
          <w:i w:val="0"/>
          <w:color w:val="222222"/>
          <w:sz w:val="22"/>
        </w:rPr>
        <w:t>Módulo T:</w:t>
      </w:r>
      <w:r>
        <w:rPr>
          <w:rFonts w:ascii="Calibri" w:hAnsi="Calibri"/>
          <w:b w:val="0"/>
          <w:i w:val="0"/>
          <w:color w:val="222222"/>
          <w:sz w:val="22"/>
        </w:rPr>
        <w:t xml:space="preserve"> Padrão Globus (KMax &gt; 60 D, afinamento difuso). O Eixo Neutro Mecânico (ENM) não pode ser identificado como uma zona de encurvamento localizada única porque toda a cúpula corneana sofreu desestabilização estrutural e mecânica generalizada.</w:t>
      </w:r>
    </w:p>
    <w:p>
      <w:r>
        <w:rPr>
          <w:rFonts w:ascii="Calibri" w:hAnsi="Calibri"/>
          <w:b/>
          <w:i w:val="0"/>
          <w:color w:val="222222"/>
          <w:sz w:val="22"/>
        </w:rPr>
        <w:t>Módulo B:</w:t>
      </w:r>
      <w:r>
        <w:rPr>
          <w:rFonts w:ascii="Calibri" w:hAnsi="Calibri"/>
          <w:b w:val="0"/>
          <w:i w:val="0"/>
          <w:color w:val="222222"/>
          <w:sz w:val="22"/>
        </w:rPr>
        <w:t xml:space="preserve"> Classificado como uma </w:t>
      </w:r>
      <w:r>
        <w:rPr>
          <w:rFonts w:ascii="Calibri" w:hAnsi="Calibri"/>
          <w:b/>
          <w:i w:val="0"/>
          <w:color w:val="222222"/>
          <w:sz w:val="22"/>
        </w:rPr>
        <w:t>configuração estrutural VT/B</w:t>
      </w:r>
      <w:r>
        <w:rPr>
          <w:rFonts w:ascii="Calibri" w:hAnsi="Calibri"/>
          <w:b w:val="0"/>
          <w:i w:val="0"/>
          <w:color w:val="222222"/>
          <w:sz w:val="22"/>
        </w:rPr>
        <w:t xml:space="preserve">. O objetivo terapêutico muda completamente de correção óptica (redução de aberrações) para </w:t>
      </w:r>
      <w:r>
        <w:rPr>
          <w:rFonts w:ascii="Calibri" w:hAnsi="Calibri"/>
          <w:b/>
          <w:i w:val="0"/>
          <w:color w:val="222222"/>
          <w:sz w:val="22"/>
        </w:rPr>
        <w:t>estabilização estrutural</w:t>
      </w:r>
      <w:r>
        <w:rPr>
          <w:rFonts w:ascii="Calibri" w:hAnsi="Calibri"/>
          <w:b w:val="0"/>
          <w:i w:val="0"/>
          <w:color w:val="222222"/>
          <w:sz w:val="22"/>
        </w:rPr>
        <w:t xml:space="preserve"> e </w:t>
      </w:r>
      <w:r>
        <w:rPr>
          <w:rFonts w:ascii="Calibri" w:hAnsi="Calibri"/>
          <w:b/>
          <w:i w:val="0"/>
          <w:color w:val="222222"/>
          <w:sz w:val="22"/>
        </w:rPr>
        <w:t>restauração da tolerância a lentes de contato</w:t>
      </w:r>
      <w:r>
        <w:rPr>
          <w:rFonts w:ascii="Calibri" w:hAnsi="Calibri"/>
          <w:b w:val="0"/>
          <w:i w:val="0"/>
          <w:color w:val="222222"/>
          <w:sz w:val="22"/>
        </w:rPr>
        <w:t>. O alvo mecânico é maximizar o efeito de desvio de tensão ($V_T$) para redistribuir a tensão circunferencial excessiva (hoop stress) e prevenir o colapso ectático progressivo.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Limites do Solver Computacional vs. Realidade Clínica</w:t>
      </w:r>
    </w:p>
    <w:p>
      <w:r>
        <w:rPr>
          <w:rFonts w:ascii="Calibri" w:hAnsi="Calibri"/>
          <w:b w:val="0"/>
          <w:i w:val="0"/>
          <w:color w:val="222222"/>
          <w:sz w:val="22"/>
        </w:rPr>
        <w:t>É essencial abordar uma discrepância crucial entre a modelagem matemática e a prática clínica. Ao construir modelos de elementos finitos personalizados de pacientes para casos extremos (como os pacientes P5 e P9 em nossa coorte, com KMax &gt; 53 D), o solver não linear FEBio frequentemente falha em convergir. Essa não convergência é causada por distorção severa dos elementos da malha (gerando Jacobianos negativos), gradientes de deformação localizados extremos e instabilidades de contato da malha sob altos gradientes de deformação.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Crucialmente, </w:t>
      </w:r>
      <w:r>
        <w:rPr>
          <w:rFonts w:ascii="Calibri" w:hAnsi="Calibri"/>
          <w:b/>
          <w:i w:val="0"/>
          <w:color w:val="222222"/>
          <w:sz w:val="22"/>
        </w:rPr>
        <w:t>a não convergência é um limite numérico do solver, não uma contraindicação clínica ou biológica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r>
        <w:rPr>
          <w:rFonts w:ascii="Calibri" w:hAnsi="Calibri"/>
          <w:b w:val="0"/>
          <w:i w:val="0"/>
          <w:color w:val="222222"/>
          <w:sz w:val="22"/>
        </w:rPr>
        <w:t>Na realidade física, as lamelas colágenas se comportam como uma rede de tração robusta e autoestabilizadora. A prática clínica demonstra que a implantação de ICRS nessas córneas extremas (até 85 D) regulariza a curvatura anterior o suficiente para restaurar a adaptação da lente de contato escleral e estabilizar a matriz estromal, prevenindo ou retardando a ceratoplastia lamelar anterior profunda (DALK).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Prescrição do Anel e Resultado</w:t>
      </w:r>
    </w:p>
    <w:p>
      <w:r>
        <w:rPr>
          <w:rFonts w:ascii="Calibri" w:hAnsi="Calibri"/>
          <w:b w:val="0"/>
          <w:i w:val="0"/>
          <w:color w:val="222222"/>
          <w:sz w:val="22"/>
        </w:rPr>
        <w:t>Uma configuração de segmento duplo simétrico (tipo Ferrara, espessura simétrica de 320 μm, arco de 160°/160°) é selecionada para fornecer suporte estrutural máximo e aplanamento uniforme.</w:t>
      </w:r>
    </w:p>
    <w:p>
      <w:r>
        <w:rPr>
          <w:rFonts w:ascii="Calibri" w:hAnsi="Calibri"/>
          <w:b w:val="0"/>
          <w:i w:val="0"/>
          <w:color w:val="222222"/>
          <w:sz w:val="22"/>
        </w:rPr>
        <w:t>Após o implante a 75% de profundidade: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Aplanamento Topográfico: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KMax foi reduzido em 9,4 D, diminuindo para 67,1 D, o que regularizou a topografia corneana para uma forma oblata estável.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Adaptação de Lentes de Conato: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adaptação da lente de contato escleral foi realizada com sucesso, alcançando um vault estável e restaurando a AVMC para 20/30.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Estabilidade Biomecânica: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estabilização estromal confirmada visualmente foi mantida ao longo de um período de acompanhamento de 24 meses, com zero sinais de deslocamento ectático progressivo.</w:t>
      </w:r>
    </w:p>
    <w:p>
      <w:r>
        <w:rPr>
          <w:rFonts w:ascii="Calibri" w:hAnsi="Calibri"/>
          <w:b/>
          <w:i w:val="0"/>
          <w:color w:val="222222"/>
          <w:sz w:val="22"/>
        </w:rPr>
        <w:t>Ponto de aprendizado: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não convergência de solvers de elementos finitos em ectasias avançadas representa um limite matemático de grade de malha e nunca deve ser interpretada como uma contraindicação biológica. Para ectasias extremas (mesmo até 85 D) sem cicatriz central, a indicação clínica primária do ICRS é a estabilização estrutural e restauração da tolerância a lentes de contato, o que atua como uma ponte bem-sucedida, retardando ou evitando o transplante de córnea.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11.6 Caso 5: Ceratocone Assimétrico Bilateral — Estratégia Diferencial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Apresentação Clínica</w:t>
      </w:r>
    </w:p>
    <w:p>
      <w:r>
        <w:rPr>
          <w:rFonts w:ascii="Calibri" w:hAnsi="Calibri"/>
          <w:b w:val="0"/>
          <w:i w:val="0"/>
          <w:color w:val="222222"/>
          <w:sz w:val="22"/>
        </w:rPr>
        <w:t>Uma mulher de 28 anos com ceratocone assimétrico: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OD:</w:t>
      </w:r>
      <w:r>
        <w:rPr>
          <w:rFonts w:ascii="Calibri" w:hAnsi="Calibri"/>
          <w:b w:val="0"/>
          <w:i w:val="0"/>
          <w:color w:val="222222"/>
          <w:sz w:val="22"/>
        </w:rPr>
        <w:t xml:space="preserve"> K-steep 46,5 D, KMax 48,0 D, oval central, paquimetria de 490 μm, Coma de 1,2 μm → Leve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OE:</w:t>
      </w:r>
      <w:r>
        <w:rPr>
          <w:rFonts w:ascii="Calibri" w:hAnsi="Calibri"/>
          <w:b w:val="0"/>
          <w:i w:val="0"/>
          <w:color w:val="222222"/>
          <w:sz w:val="22"/>
        </w:rPr>
        <w:t xml:space="preserve"> K-steep 52,0 D, KMax 58,0 D, mamilo inferior, paquimetria de 418 μm, Coma de 3,8 μm → Moderado-grave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Avaliação AVBC — Olho Direito</w:t>
      </w:r>
    </w:p>
    <w:p>
      <w:r>
        <w:rPr>
          <w:rFonts w:ascii="Calibri" w:hAnsi="Calibri"/>
          <w:b/>
          <w:i w:val="0"/>
          <w:color w:val="222222"/>
          <w:sz w:val="22"/>
        </w:rPr>
        <w:t>O+</w:t>
      </w:r>
      <w:r>
        <w:rPr>
          <w:rFonts w:ascii="Calibri" w:hAnsi="Calibri"/>
          <w:b w:val="0"/>
          <w:i w:val="0"/>
          <w:color w:val="222222"/>
          <w:sz w:val="22"/>
        </w:rPr>
        <w:t xml:space="preserve"> / Oval central / VR dominante → Anel simétrico padrão, 200 μm, arco de 150°, eixo K-steep.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Avaliação AVBC — Olho Esquerdo</w:t>
      </w:r>
    </w:p>
    <w:p>
      <w:r>
        <w:rPr>
          <w:rFonts w:ascii="Calibri" w:hAnsi="Calibri"/>
          <w:b/>
          <w:i w:val="0"/>
          <w:color w:val="222222"/>
          <w:sz w:val="22"/>
        </w:rPr>
        <w:t>O~</w:t>
      </w:r>
      <w:r>
        <w:rPr>
          <w:rFonts w:ascii="Calibri" w:hAnsi="Calibri"/>
          <w:b w:val="0"/>
          <w:i w:val="0"/>
          <w:color w:val="222222"/>
          <w:sz w:val="22"/>
        </w:rPr>
        <w:t xml:space="preserve"> / Mamilo inferior, ENM a 260°, K-steep a 265° (|divergência| = 5°) / Necessidade combinada de VT + VR → Anel de espessura moderada (250 μm), arco mais longo (210°), eixo do ENM.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Ponto de Aprendizado</w:t>
      </w:r>
    </w:p>
    <w:p>
      <w:r>
        <w:rPr>
          <w:rFonts w:ascii="Calibri" w:hAnsi="Calibri"/>
          <w:b w:val="0"/>
          <w:i w:val="0"/>
          <w:color w:val="222222"/>
          <w:sz w:val="22"/>
        </w:rPr>
        <w:t>A mesma paciente recebe prescrições de anéis diferentes para cada olho — não porque o nomograma utilize valores de consulta diferentes, mas porque o AVBC identifica diferentes mecanismos biomecânicos dominantes para cada olho. Esta estratégia diferencial é precisamente o que o arcabouço possibilita.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11.7 Caso 6: Ceratocone Pós-CXL — Biomecânica Modificada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Apresentação Clínica</w:t>
      </w:r>
    </w:p>
    <w:p>
      <w:r>
        <w:rPr>
          <w:rFonts w:ascii="Calibri" w:hAnsi="Calibri"/>
          <w:b w:val="0"/>
          <w:i w:val="0"/>
          <w:color w:val="222222"/>
          <w:sz w:val="22"/>
        </w:rPr>
        <w:t>Um homem de 32 anos, 18 meses pós-CXL no olho esquerdo. Ceratocone estabilizado, mas acuidade visual permanece em 20/50.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K-steep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49,0 D a 75°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KMax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51,5 D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Paquimetria mais fina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440 μm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RMS de Coma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2,5 μm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CBI (Corvis ST)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0,75 (reduzido em relação ao pré-CXL de 0,92)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Avaliação AVBC</w:t>
      </w:r>
    </w:p>
    <w:p>
      <w:r>
        <w:rPr>
          <w:rFonts w:ascii="Calibri" w:hAnsi="Calibri"/>
          <w:b/>
          <w:i w:val="0"/>
          <w:color w:val="222222"/>
          <w:sz w:val="22"/>
        </w:rPr>
        <w:t>Módulo O:</w:t>
      </w:r>
      <w:r>
        <w:rPr>
          <w:rFonts w:ascii="Calibri" w:hAnsi="Calibri"/>
          <w:b w:val="0"/>
          <w:i w:val="0"/>
          <w:color w:val="222222"/>
          <w:sz w:val="22"/>
        </w:rPr>
        <w:t xml:space="preserve"> O+ (no limite — Coma exatamente de 2,50 μm)</w:t>
      </w:r>
    </w:p>
    <w:p>
      <w:r>
        <w:rPr>
          <w:rFonts w:ascii="Calibri" w:hAnsi="Calibri"/>
          <w:b/>
          <w:i w:val="0"/>
          <w:color w:val="222222"/>
          <w:sz w:val="22"/>
        </w:rPr>
        <w:t>Módulo T:</w:t>
      </w:r>
      <w:r>
        <w:rPr>
          <w:rFonts w:ascii="Calibri" w:hAnsi="Calibri"/>
          <w:b w:val="0"/>
          <w:i w:val="0"/>
          <w:color w:val="222222"/>
          <w:sz w:val="22"/>
        </w:rPr>
        <w:t xml:space="preserve"> Oval central, ENM a 78°, K-steep a 75°. Divergência mínima.</w:t>
      </w:r>
    </w:p>
    <w:p>
      <w:r>
        <w:rPr>
          <w:rFonts w:ascii="Calibri" w:hAnsi="Calibri"/>
          <w:b/>
          <w:i w:val="0"/>
          <w:color w:val="222222"/>
          <w:sz w:val="22"/>
        </w:rPr>
        <w:t>Módulo B: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córnea pós-CXL apresenta k₁ aumentado (estimado em 50–100% maior devido ao cross-linking). A resposta biomecânica ao ICRS será </w:t>
      </w:r>
      <w:r>
        <w:rPr>
          <w:rFonts w:ascii="Calibri" w:hAnsi="Calibri"/>
          <w:b/>
          <w:i w:val="0"/>
          <w:color w:val="222222"/>
          <w:sz w:val="22"/>
        </w:rPr>
        <w:t>atenuada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o estroma mais rígido se deformará menos para o mesmo anel. → </w:t>
      </w:r>
      <w:r>
        <w:rPr>
          <w:rFonts w:ascii="Calibri" w:hAnsi="Calibri"/>
          <w:b/>
          <w:i w:val="0"/>
          <w:color w:val="222222"/>
          <w:sz w:val="22"/>
        </w:rPr>
        <w:t>VR dominante, mas com maior espessura</w:t>
      </w:r>
      <w:r>
        <w:rPr>
          <w:rFonts w:ascii="Calibri" w:hAnsi="Calibri"/>
          <w:b w:val="0"/>
          <w:i w:val="0"/>
          <w:color w:val="222222"/>
          <w:sz w:val="22"/>
        </w:rPr>
        <w:t xml:space="preserve"> para compensar o endurecimento induzido pelo CXL.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Prescrição do Anel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Anel simétrico, </w:t>
      </w:r>
      <w:r>
        <w:rPr>
          <w:rFonts w:ascii="Calibri" w:hAnsi="Calibri"/>
          <w:b/>
          <w:i w:val="0"/>
          <w:color w:val="222222"/>
          <w:sz w:val="22"/>
        </w:rPr>
        <w:t>300 μm</w:t>
      </w:r>
      <w:r>
        <w:rPr>
          <w:rFonts w:ascii="Calibri" w:hAnsi="Calibri"/>
          <w:b w:val="0"/>
          <w:i w:val="0"/>
          <w:color w:val="222222"/>
          <w:sz w:val="22"/>
        </w:rPr>
        <w:t xml:space="preserve"> (em vez de 200–250 μm que o nomograma sugeriria para K-steep de 49,0 D), arco de 150°, profundidade de 75%, eixo K-steep.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Ponto de Aprendizado</w:t>
      </w:r>
    </w:p>
    <w:p>
      <w:r>
        <w:rPr>
          <w:rFonts w:ascii="Calibri" w:hAnsi="Calibri"/>
          <w:b w:val="0"/>
          <w:i w:val="0"/>
          <w:color w:val="222222"/>
          <w:sz w:val="22"/>
        </w:rPr>
        <w:t>A biomecânica pós-CXL é diferente. O estroma com cross-linking é mais rígido, exigindo um anel mais espesso para obter o mesmo efeito de aplanamento. Um nomograma calibrado em córneas virgens subcorrigirá sistematicamente os casos pós-CXL. O arcabouço AVBC acomoda isso ao reconhecer que as propriedades do material (e não apenas a geometria) modulam o VR.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[!CAUTION] </w:t>
      </w:r>
      <w:r>
        <w:rPr>
          <w:rFonts w:ascii="Calibri" w:hAnsi="Calibri"/>
          <w:b/>
          <w:i w:val="0"/>
          <w:color w:val="334E68"/>
          <w:sz w:val="21"/>
        </w:rPr>
        <w:t>Para o Clínico: Córneas pós-CXL São Mais Rígidas — Aumente a Espessura</w:t>
      </w:r>
      <w:r>
        <w:rPr>
          <w:rFonts w:ascii="Calibri" w:hAnsi="Calibri"/>
          <w:b w:val="0"/>
          <w:i w:val="0"/>
          <w:color w:val="334E68"/>
          <w:sz w:val="21"/>
        </w:rPr>
        <w:t xml:space="preserve"> O CXL aumenta $k_1$ (rigidez fibrilar) em até 2×. Isso significa que o mesmo anel de 200 µm que aplana 3 D numa córnea virgem só aplana ~1.5 D numa córnea pós-CXL. Regra prática: </w:t>
      </w:r>
      <w:r>
        <w:rPr>
          <w:rFonts w:ascii="Calibri" w:hAnsi="Calibri"/>
          <w:b/>
          <w:i w:val="0"/>
          <w:color w:val="334E68"/>
          <w:sz w:val="21"/>
        </w:rPr>
        <w:t>aumente a espessura do anel em 50-100 µm</w:t>
      </w:r>
      <w:r>
        <w:rPr>
          <w:rFonts w:ascii="Calibri" w:hAnsi="Calibri"/>
          <w:b w:val="0"/>
          <w:i w:val="0"/>
          <w:color w:val="334E68"/>
          <w:sz w:val="21"/>
        </w:rPr>
        <w:t xml:space="preserve"> em relação ao que o nomograma sugere para casos pós-CXL. O nomograma não tem esta correcção embutida.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11.8 Resumo</w:t>
      </w:r>
    </w:p>
    <w:p>
      <w:r>
        <w:rPr>
          <w:rFonts w:ascii="Calibri" w:hAnsi="Calibri"/>
          <w:b w:val="0"/>
          <w:i w:val="0"/>
          <w:color w:val="222222"/>
          <w:sz w:val="22"/>
        </w:rPr>
        <w:t>Estes seis casos ilustram o espectro da aplicação clínica do AVBC: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Caso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Morfologia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Vetor Dominante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Acordo com o Nomograma?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Principal Contribuição do AVBC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Oval central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✓ Sim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Confirma o nomograma (sem valor adicional)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Paracentral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✗ Eixo diferente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Posicionamento direcionado ao ENM, arco mais longo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Ápice deslocado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Vτ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✗ Não abordado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Reposicionamento do ápice via anel assimétrico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Globus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N/A (excluído)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Identificação correta de contraindicação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Assimétrico bilateral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 + VT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✗ Parcialmente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Estratégia diferencial por olho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Pós-CXL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 (aumentado)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✗ Subcorrigido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Espessura ajustada pela biomecânica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 w:val="0"/>
          <w:i w:val="0"/>
          <w:color w:val="222222"/>
          <w:sz w:val="22"/>
        </w:rPr>
        <w:t>O AVBC agrega valor clínico em aproximadamente 40% dos casos — aqueles com divergência de ENM, ápice deslocado ou biomecânica modificada. Para o ceratocone central e simétrico com astigmatismo alinhado, o nomograma continua adequado.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Referências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Alió JL, Shabayek MH. Corneal higher order aberrations: a method to grade keratoconus. </w:t>
      </w:r>
      <w:r>
        <w:rPr>
          <w:rFonts w:ascii="Calibri" w:hAnsi="Calibri"/>
          <w:b w:val="0"/>
          <w:i/>
          <w:color w:val="222222"/>
          <w:sz w:val="22"/>
        </w:rPr>
        <w:t>J Refract Surg</w:t>
      </w:r>
      <w:r>
        <w:rPr>
          <w:rFonts w:ascii="Calibri" w:hAnsi="Calibri"/>
          <w:b w:val="0"/>
          <w:i w:val="0"/>
          <w:color w:val="222222"/>
          <w:sz w:val="22"/>
        </w:rPr>
        <w:t>. 2006;22(6):539–545.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Colin J, Cochener B, Savary G, et al. Correcting keratoconus with intracorneal rings.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2000;26(8):1117–1122.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Dupps WJ Jr, Roberts CJ. Biomechanics of corneal ectasia and biomechanical treatments.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2014;40(6):991–998.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Ferrara de Almeida Cunha P. Intrastromal corneal ring. </w:t>
      </w:r>
      <w:r>
        <w:rPr>
          <w:rFonts w:ascii="Calibri" w:hAnsi="Calibri"/>
          <w:b w:val="0"/>
          <w:i/>
          <w:color w:val="222222"/>
          <w:sz w:val="22"/>
        </w:rPr>
        <w:t>Arq Bras Oftalmol</w:t>
      </w:r>
      <w:r>
        <w:rPr>
          <w:rFonts w:ascii="Calibri" w:hAnsi="Calibri"/>
          <w:b w:val="0"/>
          <w:i w:val="0"/>
          <w:color w:val="222222"/>
          <w:sz w:val="22"/>
        </w:rPr>
        <w:t>. 1997;60:631–640.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García de Oteyza G, Kling S, Álvarez de Toledo J, Barraquer RI. Refractive changes of a new asymmetric intracorneal ring segment with variable thickness and base width: A 2D finite-element model. </w:t>
      </w:r>
      <w:r>
        <w:rPr>
          <w:rFonts w:ascii="Calibri" w:hAnsi="Calibri"/>
          <w:b w:val="0"/>
          <w:i/>
          <w:color w:val="222222"/>
          <w:sz w:val="22"/>
        </w:rPr>
        <w:t>PLoS One</w:t>
      </w:r>
      <w:r>
        <w:rPr>
          <w:rFonts w:ascii="Calibri" w:hAnsi="Calibri"/>
          <w:b w:val="0"/>
          <w:i w:val="0"/>
          <w:color w:val="222222"/>
          <w:sz w:val="22"/>
        </w:rPr>
        <w:t>. 2021;16(1):e0245063.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Kling S, Marcos S. Finite-element modeling of ICRS in a hyperelastic cornea. </w:t>
      </w:r>
      <w:r>
        <w:rPr>
          <w:rFonts w:ascii="Calibri" w:hAnsi="Calibri"/>
          <w:b w:val="0"/>
          <w:i/>
          <w:color w:val="222222"/>
          <w:sz w:val="22"/>
        </w:rPr>
        <w:t>Invest Ophthalmol Vis Sci</w:t>
      </w:r>
      <w:r>
        <w:rPr>
          <w:rFonts w:ascii="Calibri" w:hAnsi="Calibri"/>
          <w:b w:val="0"/>
          <w:i w:val="0"/>
          <w:color w:val="222222"/>
          <w:sz w:val="22"/>
        </w:rPr>
        <w:t>. 2013;54(1):881–889.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Piñero DP, Alcón N. Corneal biomechanics: a review. </w:t>
      </w:r>
      <w:r>
        <w:rPr>
          <w:rFonts w:ascii="Calibri" w:hAnsi="Calibri"/>
          <w:b w:val="0"/>
          <w:i/>
          <w:color w:val="222222"/>
          <w:sz w:val="22"/>
        </w:rPr>
        <w:t>Clin Exp Optom</w:t>
      </w:r>
      <w:r>
        <w:rPr>
          <w:rFonts w:ascii="Calibri" w:hAnsi="Calibri"/>
          <w:b w:val="0"/>
          <w:i w:val="0"/>
          <w:color w:val="222222"/>
          <w:sz w:val="22"/>
        </w:rPr>
        <w:t>. 2015;98(2):107–116.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Rabinowitz YS. Keratoconus. </w:t>
      </w:r>
      <w:r>
        <w:rPr>
          <w:rFonts w:ascii="Calibri" w:hAnsi="Calibri"/>
          <w:b w:val="0"/>
          <w:i/>
          <w:color w:val="222222"/>
          <w:sz w:val="22"/>
        </w:rPr>
        <w:t>Surv Ophthalmol</w:t>
      </w:r>
      <w:r>
        <w:rPr>
          <w:rFonts w:ascii="Calibri" w:hAnsi="Calibri"/>
          <w:b w:val="0"/>
          <w:i w:val="0"/>
          <w:color w:val="222222"/>
          <w:sz w:val="22"/>
        </w:rPr>
        <w:t>. 1998;42(4):297–319.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Torquetti L, Ferrara P. Long-term follow-up of ICRS in keratoconus.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2009;35(10):1768–1773.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Vega-Estrada A, Alió JL. Keratoconus progression after ICRS implantation. </w:t>
      </w:r>
      <w:r>
        <w:rPr>
          <w:rFonts w:ascii="Calibri" w:hAnsi="Calibri"/>
          <w:b w:val="0"/>
          <w:i/>
          <w:color w:val="222222"/>
          <w:sz w:val="22"/>
        </w:rPr>
        <w:t>Cornea</w:t>
      </w:r>
      <w:r>
        <w:rPr>
          <w:rFonts w:ascii="Calibri" w:hAnsi="Calibri"/>
          <w:b w:val="0"/>
          <w:i w:val="0"/>
          <w:color w:val="222222"/>
          <w:sz w:val="22"/>
        </w:rPr>
        <w:t>. 2013;32(5):611–616.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Wollensak G, Spoerl E, Seiler T. Stress-strain measurements after riboflavin-UVA crosslinking.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2003;29(9):1780–1785.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