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Capítulo 14 — A Plataforma de Software AVBC: Do Arcabouço à Ferramenta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/>
          <w:i w:val="0"/>
          <w:color w:val="334E68"/>
          <w:sz w:val="21"/>
        </w:rPr>
        <w:t>Análise Vetorial Biomecânica Corneana para o Planejamento de Segmento de Anel Intraestromal</w:t>
      </w:r>
      <w:r>
        <w:rPr>
          <w:rFonts w:ascii="Calibri" w:hAnsi="Calibri"/>
          <w:b w:val="0"/>
          <w:i w:val="0"/>
          <w:color w:val="334E68"/>
          <w:sz w:val="21"/>
        </w:rPr>
        <w:t xml:space="preserve"> </w:t>
      </w:r>
      <w:r>
        <w:rPr>
          <w:rFonts w:ascii="Calibri" w:hAnsi="Calibri"/>
          <w:b w:val="0"/>
          <w:i/>
          <w:color w:val="334E68"/>
          <w:sz w:val="21"/>
        </w:rPr>
        <w:t>Parte V — Horizontes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14.1 Introdução</w:t>
      </w:r>
    </w:p>
    <w:p>
      <w:r>
        <w:rPr>
          <w:rFonts w:ascii="Calibri" w:hAnsi="Calibri"/>
          <w:b w:val="0"/>
          <w:i w:val="0"/>
          <w:color w:val="222222"/>
          <w:sz w:val="22"/>
        </w:rPr>
        <w:t>Um arcabouço biomecânico, por mais elegante que seja na teoria, torna-se clinicamente impactante apenas quando está acessível ao cirurgião na prática. A classificação AVBC — avaliação trimodal, seleção vetorial, prescrição de anel — envolve critérios quantitativos, previsões derivadas de FEM e uma árvore de decisão estruturada que, embora perfeitamente compreensíveis, beneficiam-se do suporte computacional. Este capítulo descreve a arquitetura e o fluxo de trabalho de uma plataforma de software AVBC vislumbrada que automatizaria a avaliação trimodal e forneceria recomendações de anéis baseadas em vetores a partir de dados clínicos padronizados.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A plataforma é concebida não como um substituto para o julgamento clínico, mas como uma </w:t>
      </w:r>
      <w:r>
        <w:rPr>
          <w:rFonts w:ascii="Calibri" w:hAnsi="Calibri"/>
          <w:b/>
          <w:i w:val="0"/>
          <w:color w:val="222222"/>
          <w:sz w:val="22"/>
        </w:rPr>
        <w:t>ferramenta de suporte à decisão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de forma análoga à fórmula Barrett Universal II para cálculo de LIO ou ao software Alpins ASSORT para análise de astigmatismo. O cirurgião fornece os dados de entrada, o software realiza a análise biomecânica e o resultado é uma lista classificada de configurações de anéis com os valores esperados de VR, VT e Vτ para cada uma.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[!NOTE] </w:t>
      </w:r>
      <w:r>
        <w:rPr>
          <w:rFonts w:ascii="Calibri" w:hAnsi="Calibri"/>
          <w:b/>
          <w:i w:val="0"/>
          <w:color w:val="334E68"/>
          <w:sz w:val="21"/>
        </w:rPr>
        <w:t>Para o Clínico: O Software Não Substitui o Cirurgião</w:t>
      </w:r>
      <w:r>
        <w:rPr>
          <w:rFonts w:ascii="Calibri" w:hAnsi="Calibri"/>
          <w:b w:val="0"/>
          <w:i w:val="0"/>
          <w:color w:val="334E68"/>
          <w:sz w:val="21"/>
        </w:rPr>
        <w:t xml:space="preserve"> A plataforma AVBC funciona como o Barrett ou o ASSORT: você insere os dados, o software calcula, e você decide. A plataforma gera uma </w:t>
      </w:r>
      <w:r>
        <w:rPr>
          <w:rFonts w:ascii="Calibri" w:hAnsi="Calibri"/>
          <w:b w:val="0"/>
          <w:i/>
          <w:color w:val="334E68"/>
          <w:sz w:val="21"/>
        </w:rPr>
        <w:t>recomendação</w:t>
      </w:r>
      <w:r>
        <w:rPr>
          <w:rFonts w:ascii="Calibri" w:hAnsi="Calibri"/>
          <w:b w:val="0"/>
          <w:i w:val="0"/>
          <w:color w:val="334E68"/>
          <w:sz w:val="21"/>
        </w:rPr>
        <w:t xml:space="preserve">, não uma </w:t>
      </w:r>
      <w:r>
        <w:rPr>
          <w:rFonts w:ascii="Calibri" w:hAnsi="Calibri"/>
          <w:b w:val="0"/>
          <w:i/>
          <w:color w:val="334E68"/>
          <w:sz w:val="21"/>
        </w:rPr>
        <w:t>prescrição</w:t>
      </w:r>
      <w:r>
        <w:rPr>
          <w:rFonts w:ascii="Calibri" w:hAnsi="Calibri"/>
          <w:b w:val="0"/>
          <w:i w:val="0"/>
          <w:color w:val="334E68"/>
          <w:sz w:val="21"/>
        </w:rPr>
        <w:t>. O cirurgião sempre tem a última palavra.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14.2 Arquitetura do Sistema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14.2.1 Camada de Entrada</w:t>
      </w:r>
    </w:p>
    <w:p>
      <w:r>
        <w:rPr>
          <w:rFonts w:ascii="Calibri" w:hAnsi="Calibri"/>
          <w:b w:val="0"/>
          <w:i w:val="0"/>
          <w:color w:val="222222"/>
          <w:sz w:val="22"/>
        </w:rPr>
        <w:t>A plataforma AVBC aceita dados clínicos padronizados de três fontes: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Tomografia corneana (exportação Pentacam/Galilei em formato DICOM ou CSV):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Mapa de curvatura sagital → classificação topográfica (Módulo T)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Mapa de elevação posterior → cálculo do ENM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Mapa paquimétrico → restrições de profundidade, margens de segurança do anel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Valores de K-steep, K-flat, KMax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Aberrometria de frente de onda (wavefront) (exportação Zywave, iTrace ou OPD-Scan):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Coeficientes de Zernike → RMS de Coma, RMS total de HOA (Módulo O)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Direção e magnitude do vetor de coma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Refração clínica e dados clínicos (entrada manual):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Esfera, cilindro, eixo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BCVA (Acuidade Visual Melhor Corrigida)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Idade, histórico de CXL, cirurgia prévia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14.2.2 Camada de Processamento</w:t>
      </w:r>
    </w:p>
    <w:p>
      <w:r>
        <w:rPr>
          <w:rFonts w:ascii="Calibri" w:hAnsi="Calibri"/>
          <w:b w:val="0"/>
          <w:i w:val="0"/>
          <w:color w:val="222222"/>
          <w:sz w:val="22"/>
        </w:rPr>
        <w:t>A camada de processamento implementa três módulos:</w:t>
      </w:r>
    </w:p>
    <w:p>
      <w:r>
        <w:rPr>
          <w:rFonts w:ascii="Calibri" w:hAnsi="Calibri"/>
          <w:b/>
          <w:i w:val="0"/>
          <w:color w:val="222222"/>
          <w:sz w:val="22"/>
        </w:rPr>
        <w:t>Classificador Módulo O: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Aplica os quatro critérios ópticos (RMS de Coma, Δ Eixo, HOA total, Coma vs ápice) a partir dos dados de frente de onda (wavefront) e refração.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Saídas: classificação O+, O~ ou O− com justificativa.</w:t>
      </w:r>
    </w:p>
    <w:p>
      <w:r>
        <w:rPr>
          <w:rFonts w:ascii="Calibri" w:hAnsi="Calibri"/>
          <w:b/>
          <w:i w:val="0"/>
          <w:color w:val="222222"/>
          <w:sz w:val="22"/>
        </w:rPr>
        <w:t>Classificador Módulo T: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Analisa o mapa de curvatura sagital usando reconhecimento de padrões (correspondência de modelos contra cinco morfologias canônicas: oval central, mamilo inferior [inferior nipple], crescente paracentral, formato em D periférico, ceratoglobo).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Computa o ENM a partir do mapa de elevação posterior: identifica o meridiano de máxima elevação posterior em relação à esfera de melhor ajuste (BFS).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Computa a divergência do ENM: |ENM − K-steep|.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Saídas: classificação morfológica e ângulo do ENM com sinalizador (flag) de divergência.</w:t>
      </w:r>
    </w:p>
    <w:p>
      <w:r>
        <w:rPr>
          <w:rFonts w:ascii="Calibri" w:hAnsi="Calibri"/>
          <w:b/>
          <w:i w:val="0"/>
          <w:color w:val="222222"/>
          <w:sz w:val="22"/>
        </w:rPr>
        <w:t>Motor de Vetores Módulo B: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Com base na necessidade clínica (determinada pelos Módulos O e T), identifica o(s) vetor(es) dominante(s).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Aplica as tabelas de consulta (lookup tables) derivadas de FEM: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VR como função da espessura do anel (a partir da série de simulações concêntricas)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VT como função do comprimento do arco (a partir da equação de monotonicidade de VT)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Vτ como função da razão de assimetria (a partir dos dados de simulação assimétrica de espessura progressiva validados)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Gera uma lista classificada de configurações de anéis (espessura × arco × profundidade × meridiano × perfil) ordenada pelo benefício biomecânico esperado.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14.2.3 Camada de Saída</w:t>
      </w:r>
    </w:p>
    <w:p>
      <w:r>
        <w:rPr>
          <w:rFonts w:ascii="Calibri" w:hAnsi="Calibri"/>
          <w:b w:val="0"/>
          <w:i w:val="0"/>
          <w:color w:val="222222"/>
          <w:sz w:val="22"/>
        </w:rPr>
        <w:t>A saída apresenta: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Resumo da Classificação AVBC:</w:t>
      </w:r>
      <w:r>
        <w:rPr>
          <w:rFonts w:ascii="Calibri" w:hAnsi="Calibri"/>
          <w:b w:val="0"/>
          <w:i w:val="0"/>
          <w:color w:val="222222"/>
          <w:sz w:val="22"/>
        </w:rPr>
        <w:t xml:space="preserve"> Grau O, classificação T, dominância de vetor B, divergência do ENM.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Configuração de Anel Recomendada:</w:t>
      </w:r>
      <w:r>
        <w:rPr>
          <w:rFonts w:ascii="Calibri" w:hAnsi="Calibri"/>
          <w:b w:val="0"/>
          <w:i w:val="0"/>
          <w:color w:val="222222"/>
          <w:sz w:val="22"/>
        </w:rPr>
        <w:t xml:space="preserve"> Top 3 configurações classificadas por correspondência vetorial, com os valores esperados de VR, VT, Vτ para cada uma.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Comparação com Nomograma:</w:t>
      </w:r>
      <w:r>
        <w:rPr>
          <w:rFonts w:ascii="Calibri" w:hAnsi="Calibri"/>
          <w:b w:val="0"/>
          <w:i w:val="0"/>
          <w:color w:val="222222"/>
          <w:sz w:val="22"/>
        </w:rPr>
        <w:t xml:space="preserve"> Mostra o que o nomograma Ferrara/Keraring/Intacs prescreveria e destaca as diferenças.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Visualização:</w:t>
      </w:r>
      <w:r>
        <w:rPr>
          <w:rFonts w:ascii="Calibri" w:hAnsi="Calibri"/>
          <w:b w:val="0"/>
          <w:i w:val="0"/>
          <w:color w:val="222222"/>
          <w:sz w:val="22"/>
        </w:rPr>
        <w:t xml:space="preserve"> Mapa corneano interativo mostrando o campo de deslocamento esperado (VR), redistribuição de tensão (stress) (VT) e direção de migração do ápice (Vτ) para a configuração recomendada.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14.3 A Tabela de Consulta (Lookup Table) por FEM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No cerne do motor do Módulo B está uma </w:t>
      </w:r>
      <w:r>
        <w:rPr>
          <w:rFonts w:ascii="Calibri" w:hAnsi="Calibri"/>
          <w:b/>
          <w:i w:val="0"/>
          <w:color w:val="222222"/>
          <w:sz w:val="22"/>
        </w:rPr>
        <w:t>tabela de consulta parametrizada</w:t>
      </w:r>
      <w:r>
        <w:rPr>
          <w:rFonts w:ascii="Calibri" w:hAnsi="Calibri"/>
          <w:b w:val="0"/>
          <w:i w:val="0"/>
          <w:color w:val="222222"/>
          <w:sz w:val="22"/>
        </w:rPr>
        <w:t xml:space="preserve"> derivada de simulações de FEM. Em vez de executar uma análise completa de elementos finitos para cada paciente (o que exigiria de minutos a horas), a plataforma realiza a interpolação a partir de um banco de dados pré-computado.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14.3.1 Tabela Atual (34 Simulações)</w:t>
      </w:r>
    </w:p>
    <w:p>
      <w:r>
        <w:rPr>
          <w:rFonts w:ascii="Calibri" w:hAnsi="Calibri"/>
          <w:b w:val="0"/>
          <w:i w:val="0"/>
          <w:color w:val="222222"/>
          <w:sz w:val="22"/>
        </w:rPr>
        <w:t>O conjunto de simulações existente fornece: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Faixa de Parâmetro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Valores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N Simulações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Comprimento do arco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90°, 120°, 160°, 210°, 255°, 320°, 360°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 (varredura de arco)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Espessura do anel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250 μm (padrão)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 nível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Geometria corneana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Esférica, uniforme, R=7.8 mm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 geometria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PIO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 mmHg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 nível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Material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Parâmetros padrão HGO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 conjunto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Específico do paciente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 convergentes derivados do Pentacam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Carga concêntrica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13 configurações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13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Progressivo assimétrico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 perfis de espessura progressiva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 w:val="0"/>
          <w:i w:val="0"/>
          <w:color w:val="222222"/>
          <w:sz w:val="22"/>
        </w:rPr>
        <w:t>Isso fornece cobertura suficiente para a sensibilidade ao comprimento do arco (equação de VT) e validação básica do vetor de torque ativo Vτ, mas cobertura limitada para a varredura de sensibilidade à espessura. Expandir o banco de dados para incluir múltiplos valores de espessura (150, 200, 250, 300, 350, 400 μm) e múltiplas geometrias (esfera, elipsoide prolato, cone ceratocônico) exigiria aproximadamente 200 simulações adicionais.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14.3.2 Estratégia de Interpolação</w:t>
      </w:r>
    </w:p>
    <w:p>
      <w:r>
        <w:rPr>
          <w:rFonts w:ascii="Calibri" w:hAnsi="Calibri"/>
          <w:b w:val="0"/>
          <w:i w:val="0"/>
          <w:color w:val="222222"/>
          <w:sz w:val="22"/>
        </w:rPr>
        <w:t>Para configurações não diretamente simuladas, a plataforma utiliza interpolação bilinear entre os pontos computados mais próximos: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VR(espessura):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Interpolação linear a partir de dados de séries de espessura (a serem gerados).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VT(arco):</w:t>
      </w:r>
      <w:r>
        <w:rPr>
          <w:rFonts w:ascii="Calibri" w:hAnsi="Calibri"/>
          <w:b w:val="0"/>
          <w:i w:val="0"/>
          <w:color w:val="222222"/>
          <w:sz w:val="22"/>
        </w:rPr>
        <w:t xml:space="preserve"> Aplicação direta da equação empírica: VT = −0.0018 × arc° + 7.79.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Vτ(assimetria):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Derivado das simulações assimétricas de espessura progressiva validadas, utilizando o diferencial de espessura e o comprimento do arco como parâmetros fundamentais.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Correção de profundidade:</w:t>
      </w:r>
      <w:r>
        <w:rPr>
          <w:rFonts w:ascii="Calibri" w:hAnsi="Calibri"/>
          <w:b w:val="0"/>
          <w:i w:val="0"/>
          <w:color w:val="222222"/>
          <w:sz w:val="22"/>
        </w:rPr>
        <w:t xml:space="preserve"> Aplicada como um fator multiplicativo com base na razão profundidade/paquimetria.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14.3.3 Futuro: FEM em Tempo Real</w:t>
      </w:r>
    </w:p>
    <w:p>
      <w:r>
        <w:rPr>
          <w:rFonts w:ascii="Calibri" w:hAnsi="Calibri"/>
          <w:b w:val="0"/>
          <w:i w:val="0"/>
          <w:color w:val="222222"/>
          <w:sz w:val="22"/>
        </w:rPr>
        <w:t>Com os avanços em solvers de FEM acelerados por GPU (por exemplo, FEBio com OpenCL) e modelos de ordem reduzida, a simulação personalizada para o paciente em tempo real pode tornar-se viável. Um modelo de ordem reduzida treinado em 500+ soluções completas de FEM poderia fornecer estimativas de VR, VT, Vτ em segundos em vez de horas, permitindo o uso intraoperatório.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14.4 Conceito de Interface do Usuário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14.4.1 Painel Clínico (Dashboard)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A tela principal apresenta um </w:t>
      </w:r>
      <w:r>
        <w:rPr>
          <w:rFonts w:ascii="Calibri" w:hAnsi="Calibri"/>
          <w:b/>
          <w:i w:val="0"/>
          <w:color w:val="222222"/>
          <w:sz w:val="22"/>
        </w:rPr>
        <w:t>layout de quatro painéis: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Painel</w:t>
            </w:r>
          </w:p>
        </w:tc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Conteúdo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Superior esquerdo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Mapa tomográfico com sobreposição do ENM (visualização do Módulo T)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Superior direito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Gráfico de frente de onda com classificação O (visualização do Módulo O)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Inferior esquerdo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Tela de seleção vetorial: barras de VR, VT, Vτ mostrando valores previstos para o anel selecionado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Inferior direito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Painel de prescrição do anel: parâmetros de configuração, desfechos esperados, comparação com nomograma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14.4.2 Simulador de Anel Interativo</w:t>
      </w:r>
    </w:p>
    <w:p>
      <w:r>
        <w:rPr>
          <w:rFonts w:ascii="Calibri" w:hAnsi="Calibri"/>
          <w:b w:val="0"/>
          <w:i w:val="0"/>
          <w:color w:val="222222"/>
          <w:sz w:val="22"/>
        </w:rPr>
        <w:t>Uma interface baseada em controles deslizantes (sliders) permite que o cirurgião ajuste os parâmetros do anel e observe o efeito previsto em tempo real: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Controle deslizante de espessura:</w:t>
      </w:r>
      <w:r>
        <w:rPr>
          <w:rFonts w:ascii="Calibri" w:hAnsi="Calibri"/>
          <w:b w:val="0"/>
          <w:i w:val="0"/>
          <w:color w:val="222222"/>
          <w:sz w:val="22"/>
        </w:rPr>
        <w:t xml:space="preserve"> 150–400 μm → atualiza a previsão de VR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Controle deslizante de comprimento de arco:</w:t>
      </w:r>
      <w:r>
        <w:rPr>
          <w:rFonts w:ascii="Calibri" w:hAnsi="Calibri"/>
          <w:b w:val="0"/>
          <w:i w:val="0"/>
          <w:color w:val="222222"/>
          <w:sz w:val="22"/>
        </w:rPr>
        <w:t xml:space="preserve"> 90°–360° → atualiza a previsão de VT (com a exibição da equação de VT)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Alternador de assimetria:</w:t>
      </w:r>
      <w:r>
        <w:rPr>
          <w:rFonts w:ascii="Calibri" w:hAnsi="Calibri"/>
          <w:b w:val="0"/>
          <w:i w:val="0"/>
          <w:color w:val="222222"/>
          <w:sz w:val="22"/>
        </w:rPr>
        <w:t xml:space="preserve"> Simétrico / Progressivo → habilita a previsão de Vτ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Controle deslizante de profundidade:</w:t>
      </w:r>
      <w:r>
        <w:rPr>
          <w:rFonts w:ascii="Calibri" w:hAnsi="Calibri"/>
          <w:b w:val="0"/>
          <w:i w:val="0"/>
          <w:color w:val="222222"/>
          <w:sz w:val="22"/>
        </w:rPr>
        <w:t xml:space="preserve"> 60–80% → atualiza todos os vetores (fator de amplificação)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Seletor de meridiano:</w:t>
      </w:r>
      <w:r>
        <w:rPr>
          <w:rFonts w:ascii="Calibri" w:hAnsi="Calibri"/>
          <w:b w:val="0"/>
          <w:i w:val="0"/>
          <w:color w:val="222222"/>
          <w:sz w:val="22"/>
        </w:rPr>
        <w:t xml:space="preserve"> 0°–360° → rotaciona o posicionamento do anel, mostra o alinhamento com o ENM</w:t>
      </w:r>
    </w:p>
    <w:p>
      <w:r>
        <w:rPr>
          <w:rFonts w:ascii="Calibri" w:hAnsi="Calibri"/>
          <w:b w:val="0"/>
          <w:i w:val="0"/>
          <w:color w:val="222222"/>
          <w:sz w:val="22"/>
        </w:rPr>
        <w:t>Cada ajuste atualiza os valores previstos de ΔK, ΔCyl e migração do ápice em tempo real.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[!TIP] </w:t>
      </w:r>
      <w:r>
        <w:rPr>
          <w:rFonts w:ascii="Calibri" w:hAnsi="Calibri"/>
          <w:b/>
          <w:i w:val="0"/>
          <w:color w:val="334E68"/>
          <w:sz w:val="21"/>
        </w:rPr>
        <w:t>Para o Clínico: Imagine Isto na Prática</w:t>
      </w:r>
      <w:r>
        <w:rPr>
          <w:rFonts w:ascii="Calibri" w:hAnsi="Calibri"/>
          <w:b w:val="0"/>
          <w:i w:val="0"/>
          <w:color w:val="334E68"/>
          <w:sz w:val="21"/>
        </w:rPr>
        <w:t xml:space="preserve"> Antes da cirurgia, abre o software, insere os dados do Pentacam e da aberrometria. O sistema classifica automáticamente (O+, Crescente paracentral, VT dominante). Arraste o slider de arco de 160° para 210° e veja o VT subir. Arraste a espessura e veja o VR subir. Compare com o que o nomograma sugeriria. Em 2 minutos, tem uma prescrição biomecânicamente justificada.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14.4.3 Módulo de Análise Pós-Operatória</w:t>
      </w:r>
    </w:p>
    <w:p>
      <w:r>
        <w:rPr>
          <w:rFonts w:ascii="Calibri" w:hAnsi="Calibri"/>
          <w:b w:val="0"/>
          <w:i w:val="0"/>
          <w:color w:val="222222"/>
          <w:sz w:val="22"/>
        </w:rPr>
        <w:t>Após a cirurgia, a plataforma aceita os dados pós-operatórios e computa: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AVBC-CI = ΔK</w:t>
      </w:r>
      <w:r>
        <w:rPr>
          <w:rFonts w:ascii="Calibri" w:hAnsi="Calibri"/>
          <w:b w:val="0"/>
          <w:i/>
          <w:color w:val="222222"/>
          <w:sz w:val="22"/>
        </w:rPr>
        <w:t>observado / ΔK</w:t>
      </w:r>
      <w:r>
        <w:rPr>
          <w:rFonts w:ascii="Calibri" w:hAnsi="Calibri"/>
          <w:b w:val="0"/>
          <w:i w:val="0"/>
          <w:color w:val="222222"/>
          <w:sz w:val="22"/>
        </w:rPr>
        <w:t>previsto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Razão VT = ΔCyl</w:t>
      </w:r>
      <w:r>
        <w:rPr>
          <w:rFonts w:ascii="Calibri" w:hAnsi="Calibri"/>
          <w:b w:val="0"/>
          <w:i/>
          <w:color w:val="222222"/>
          <w:sz w:val="22"/>
        </w:rPr>
        <w:t>observado / ΔCyl</w:t>
      </w:r>
      <w:r>
        <w:rPr>
          <w:rFonts w:ascii="Calibri" w:hAnsi="Calibri"/>
          <w:b w:val="0"/>
          <w:i w:val="0"/>
          <w:color w:val="222222"/>
          <w:sz w:val="22"/>
        </w:rPr>
        <w:t>previsto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Razão Vτ = Migração</w:t>
      </w:r>
      <w:r>
        <w:rPr>
          <w:rFonts w:ascii="Calibri" w:hAnsi="Calibri"/>
          <w:b w:val="0"/>
          <w:i/>
          <w:color w:val="222222"/>
          <w:sz w:val="22"/>
        </w:rPr>
        <w:t>ápice</w:t>
      </w:r>
      <w:r>
        <w:rPr>
          <w:rFonts w:ascii="Calibri" w:hAnsi="Calibri"/>
          <w:b w:val="0"/>
          <w:i w:val="0"/>
          <w:color w:val="222222"/>
          <w:sz w:val="22"/>
        </w:rPr>
        <w:t>observada / Migração</w:t>
      </w:r>
      <w:r>
        <w:rPr>
          <w:rFonts w:ascii="Calibri" w:hAnsi="Calibri"/>
          <w:b w:val="0"/>
          <w:i/>
          <w:color w:val="222222"/>
          <w:sz w:val="22"/>
        </w:rPr>
        <w:t>ápice</w:t>
      </w:r>
      <w:r>
        <w:rPr>
          <w:rFonts w:ascii="Calibri" w:hAnsi="Calibri"/>
          <w:b w:val="0"/>
          <w:i w:val="0"/>
          <w:color w:val="222222"/>
          <w:sz w:val="22"/>
        </w:rPr>
        <w:t>prevista</w:t>
      </w:r>
    </w:p>
    <w:p>
      <w:r>
        <w:rPr>
          <w:rFonts w:ascii="Calibri" w:hAnsi="Calibri"/>
          <w:b w:val="0"/>
          <w:i w:val="0"/>
          <w:color w:val="222222"/>
          <w:sz w:val="22"/>
        </w:rPr>
        <w:t>Esses valores são armazenados no banco de dados pessoal do cirurgião, construindo a curva de calibração ao longo do tempo.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14.5 Implementação Técnica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14.5.1 Stack Tecnológico Recomendado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Componente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Tecnologia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Justificativa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Backend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Python 3.10+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Integração com FEBio, computação científica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Solver FEM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FEBio 4.x (C++ com vínculos em Python)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Código aberto, validado para biomecânica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Processamento de dados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NumPy, SciPy, pandas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Python científico padrão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Visualização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Matplotlib (publicação), Plotly (interativo)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Modos de saída duplos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Frontend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Baseado na web (React + Plotly.js) ou Desktop (PyQt6)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Multiplataforma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Banco de dados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SQLite (local) ou PostgreSQL (multi-site)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Dados de pacientes e curvas de calibração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Exportação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Geração de relatórios em PDF (LaTeX ou ReportLab)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Documentação clínica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14.5.2 Segurança de Dados</w:t>
      </w:r>
    </w:p>
    <w:p>
      <w:r>
        <w:rPr>
          <w:rFonts w:ascii="Calibri" w:hAnsi="Calibri"/>
          <w:b w:val="0"/>
          <w:i w:val="0"/>
          <w:color w:val="222222"/>
          <w:sz w:val="22"/>
        </w:rPr>
        <w:t>O manuseio de dados de pacientes deve estar em conformidade com as regulamentações HIPAA (EUA), GDPR (UE) e LGPD (Brasil). A plataforma deve: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Processar dados localmente (sem transmissão em nuvem de dados de pacientes)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Utilizar identificadores anonimizados para o banco de dados de calibração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Fornecer trilhas de auditoria para decisões clínicas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14.5.3 Via Regulatória</w:t>
      </w:r>
    </w:p>
    <w:p>
      <w:r>
        <w:rPr>
          <w:rFonts w:ascii="Calibri" w:hAnsi="Calibri"/>
          <w:b w:val="0"/>
          <w:i w:val="0"/>
          <w:color w:val="222222"/>
          <w:sz w:val="22"/>
        </w:rPr>
        <w:t>Como uma ferramenta de suporte à decisão clínica, a plataforma AVBC provavelmente exigiria: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Marcação CE (UE):</w:t>
      </w:r>
      <w:r>
        <w:rPr>
          <w:rFonts w:ascii="Calibri" w:hAnsi="Calibri"/>
          <w:b w:val="0"/>
          <w:i w:val="0"/>
          <w:color w:val="222222"/>
          <w:sz w:val="22"/>
        </w:rPr>
        <w:t xml:space="preserve"> Dispositivo médico de Classe IIa sob o MDR 2017/745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Liberação do FDA (EUA):</w:t>
      </w:r>
      <w:r>
        <w:rPr>
          <w:rFonts w:ascii="Calibri" w:hAnsi="Calibri"/>
          <w:b w:val="0"/>
          <w:i w:val="0"/>
          <w:color w:val="222222"/>
          <w:sz w:val="22"/>
        </w:rPr>
        <w:t xml:space="preserve"> Via de aprovação 510(k), predicado: softwares de planejamento de ICRS existentes (ex: Keraring Planning System)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Registro na ANVISA (Brasil):</w:t>
      </w:r>
      <w:r>
        <w:rPr>
          <w:rFonts w:ascii="Calibri" w:hAnsi="Calibri"/>
          <w:b w:val="0"/>
          <w:i w:val="0"/>
          <w:color w:val="222222"/>
          <w:sz w:val="22"/>
        </w:rPr>
        <w:t xml:space="preserve"> Dispositivo médico de Classe II</w:t>
      </w:r>
    </w:p>
    <w:p>
      <w:r>
        <w:rPr>
          <w:rFonts w:ascii="Calibri" w:hAnsi="Calibri"/>
          <w:b w:val="0"/>
          <w:i w:val="0"/>
          <w:color w:val="222222"/>
          <w:sz w:val="22"/>
        </w:rPr>
        <w:t>A via regulatória é complexa, mas viável, particularmente se a plataforma for posicionada como uma ferramenta de suporte à decisão (saída = recomendação, não prescrição) em vez de um sistema de planejamento autônomo.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14.6 Comparação com Ferramentas de Planejamento Existentes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Recurso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Calculadora Keraring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Ferrara Nomogram App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Plataforma AVBC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Entrada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Classificação topográfica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K-steep, valor Q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Trimodal completa (O+T+B)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Mecanismo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Correspondência empírica de padrões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Consulta empírica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Mecanicista (VR/VT/Vτ)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Parâmetros do anel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Recomendação de configuração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Espessura + arco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Todos os 5 parâmetros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Integração com ENM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Não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Não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Sim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Anéis assimétricos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Não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Não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Sim (Vτ)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Feedback pós-op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Não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Não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Sim (AVBC-CI)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Calibração do cirurgião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Não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Não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Sim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Justificativa biomecânica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Não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Não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Sim</w:t>
            </w:r>
          </w:p>
        </w:tc>
      </w:tr>
    </w:tbl>
    <w:p>
      <w:pPr>
        <w:spacing w:before="120" w:after="120"/>
      </w:pP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14.7 Resumo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A plataforma AVBC traduz o arcabouço teórico em uma </w:t>
      </w:r>
      <w:r>
        <w:rPr>
          <w:rFonts w:ascii="Calibri" w:hAnsi="Calibri"/>
          <w:b/>
          <w:i w:val="0"/>
          <w:color w:val="222222"/>
          <w:sz w:val="22"/>
        </w:rPr>
        <w:t>ferramenta de suporte à decisão clínica</w:t>
      </w:r>
      <w:r>
        <w:rPr>
          <w:rFonts w:ascii="Calibri" w:hAnsi="Calibri"/>
          <w:b w:val="0"/>
          <w:i w:val="0"/>
          <w:color w:val="222222"/>
          <w:sz w:val="22"/>
        </w:rPr>
        <w:t xml:space="preserve"> acessível ao cirurgião na prática.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O sistema utiliza </w:t>
      </w:r>
      <w:r>
        <w:rPr>
          <w:rFonts w:ascii="Calibri" w:hAnsi="Calibri"/>
          <w:b/>
          <w:i w:val="0"/>
          <w:color w:val="222222"/>
          <w:sz w:val="22"/>
        </w:rPr>
        <w:t>dados clínicos padronizados</w:t>
      </w:r>
      <w:r>
        <w:rPr>
          <w:rFonts w:ascii="Calibri" w:hAnsi="Calibri"/>
          <w:b w:val="0"/>
          <w:i w:val="0"/>
          <w:color w:val="222222"/>
          <w:sz w:val="22"/>
        </w:rPr>
        <w:t xml:space="preserve"> (tomografia, aberrometria, refração) como entrada e fornece </w:t>
      </w:r>
      <w:r>
        <w:rPr>
          <w:rFonts w:ascii="Calibri" w:hAnsi="Calibri"/>
          <w:b/>
          <w:i w:val="0"/>
          <w:color w:val="222222"/>
          <w:sz w:val="22"/>
        </w:rPr>
        <w:t>recomendações de anéis classificadas</w:t>
      </w:r>
      <w:r>
        <w:rPr>
          <w:rFonts w:ascii="Calibri" w:hAnsi="Calibri"/>
          <w:b w:val="0"/>
          <w:i w:val="0"/>
          <w:color w:val="222222"/>
          <w:sz w:val="22"/>
        </w:rPr>
        <w:t xml:space="preserve"> com os desfechos biomecânicos esperados.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Uma </w:t>
      </w:r>
      <w:r>
        <w:rPr>
          <w:rFonts w:ascii="Calibri" w:hAnsi="Calibri"/>
          <w:b/>
          <w:i w:val="0"/>
          <w:color w:val="222222"/>
          <w:sz w:val="22"/>
        </w:rPr>
        <w:t>tabela de consulta de FEM pré-computada</w:t>
      </w:r>
      <w:r>
        <w:rPr>
          <w:rFonts w:ascii="Calibri" w:hAnsi="Calibri"/>
          <w:b w:val="0"/>
          <w:i w:val="0"/>
          <w:color w:val="222222"/>
          <w:sz w:val="22"/>
        </w:rPr>
        <w:t xml:space="preserve"> permite previsões rápidas sem simulação em tempo real.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O </w:t>
      </w:r>
      <w:r>
        <w:rPr>
          <w:rFonts w:ascii="Calibri" w:hAnsi="Calibri"/>
          <w:b/>
          <w:i w:val="0"/>
          <w:color w:val="222222"/>
          <w:sz w:val="22"/>
        </w:rPr>
        <w:t>simulador de anel interativo</w:t>
      </w:r>
      <w:r>
        <w:rPr>
          <w:rFonts w:ascii="Calibri" w:hAnsi="Calibri"/>
          <w:b w:val="0"/>
          <w:i w:val="0"/>
          <w:color w:val="222222"/>
          <w:sz w:val="22"/>
        </w:rPr>
        <w:t xml:space="preserve"> permite que os cirurgiões explorem o espaço de parâmetros e compreendam a justificativa biomecânica para cada recomendação.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O </w:t>
      </w:r>
      <w:r>
        <w:rPr>
          <w:rFonts w:ascii="Calibri" w:hAnsi="Calibri"/>
          <w:b/>
          <w:i w:val="0"/>
          <w:color w:val="222222"/>
          <w:sz w:val="22"/>
        </w:rPr>
        <w:t>módulo de feedback pós-operatório</w:t>
      </w:r>
      <w:r>
        <w:rPr>
          <w:rFonts w:ascii="Calibri" w:hAnsi="Calibri"/>
          <w:b w:val="0"/>
          <w:i w:val="0"/>
          <w:color w:val="222222"/>
          <w:sz w:val="22"/>
        </w:rPr>
        <w:t xml:space="preserve"> constrói uma curva de calibração específica do cirurgião que melhora a acurácia ao longo do tempo.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A </w:t>
      </w:r>
      <w:r>
        <w:rPr>
          <w:rFonts w:ascii="Calibri" w:hAnsi="Calibri"/>
          <w:b/>
          <w:i w:val="0"/>
          <w:color w:val="222222"/>
          <w:sz w:val="22"/>
        </w:rPr>
        <w:t>modelagem de FEM personalizada para o paciente</w:t>
      </w:r>
      <w:r>
        <w:rPr>
          <w:rFonts w:ascii="Calibri" w:hAnsi="Calibri"/>
          <w:b w:val="0"/>
          <w:i w:val="0"/>
          <w:color w:val="222222"/>
          <w:sz w:val="22"/>
        </w:rPr>
        <w:t xml:space="preserve"> e a </w:t>
      </w:r>
      <w:r>
        <w:rPr>
          <w:rFonts w:ascii="Calibri" w:hAnsi="Calibri"/>
          <w:b/>
          <w:i w:val="0"/>
          <w:color w:val="222222"/>
          <w:sz w:val="22"/>
        </w:rPr>
        <w:t>calibração por aprendizado de máquina</w:t>
      </w:r>
      <w:r>
        <w:rPr>
          <w:rFonts w:ascii="Calibri" w:hAnsi="Calibri"/>
          <w:b w:val="0"/>
          <w:i w:val="0"/>
          <w:color w:val="222222"/>
          <w:sz w:val="22"/>
        </w:rPr>
        <w:t xml:space="preserve"> são extensões planejadas que aumentarão a acurácia preditiva.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Referências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Alpins NA. ASSORT (Alpins Statistical System for Ophthalmic Refractive surgery Techniques). User Manual, Version 7.0, 2015.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Barrett GD. An improved universal theoretical formula for intraocular lens power prediction.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2015;41(3):589–599.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Dupps WJ Jr, Roberts CJ. Biomechanics of corneal ectasia.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2014;40(6):991–998.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García de Oteyza G, Kling S, Álvarez de Toledo J, Barraquer RI. Refractive changes of a new asymmetric intracorneal ring segment with variable thickness and base width: A 2D finite-element model. </w:t>
      </w:r>
      <w:r>
        <w:rPr>
          <w:rFonts w:ascii="Calibri" w:hAnsi="Calibri"/>
          <w:b w:val="0"/>
          <w:i/>
          <w:color w:val="222222"/>
          <w:sz w:val="22"/>
        </w:rPr>
        <w:t>PLoS One</w:t>
      </w:r>
      <w:r>
        <w:rPr>
          <w:rFonts w:ascii="Calibri" w:hAnsi="Calibri"/>
          <w:b w:val="0"/>
          <w:i w:val="0"/>
          <w:color w:val="222222"/>
          <w:sz w:val="22"/>
        </w:rPr>
        <w:t>. 2021;16(1):e0245063.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Kling S, Marcos S. FEM of ICRS in a hyperelastic cornea. </w:t>
      </w:r>
      <w:r>
        <w:rPr>
          <w:rFonts w:ascii="Calibri" w:hAnsi="Calibri"/>
          <w:b w:val="0"/>
          <w:i/>
          <w:color w:val="222222"/>
          <w:sz w:val="22"/>
        </w:rPr>
        <w:t>Invest Ophthalmol Vis Sci</w:t>
      </w:r>
      <w:r>
        <w:rPr>
          <w:rFonts w:ascii="Calibri" w:hAnsi="Calibri"/>
          <w:b w:val="0"/>
          <w:i w:val="0"/>
          <w:color w:val="222222"/>
          <w:sz w:val="22"/>
        </w:rPr>
        <w:t>. 2013;54(1):881–889.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Maas SA, Ellis BJ, Ateshian GA, Weiss JA. FEBio: finite elements for biomechanics. </w:t>
      </w:r>
      <w:r>
        <w:rPr>
          <w:rFonts w:ascii="Calibri" w:hAnsi="Calibri"/>
          <w:b w:val="0"/>
          <w:i/>
          <w:color w:val="222222"/>
          <w:sz w:val="22"/>
        </w:rPr>
        <w:t>J Biomech Eng</w:t>
      </w:r>
      <w:r>
        <w:rPr>
          <w:rFonts w:ascii="Calibri" w:hAnsi="Calibri"/>
          <w:b w:val="0"/>
          <w:i w:val="0"/>
          <w:color w:val="222222"/>
          <w:sz w:val="22"/>
        </w:rPr>
        <w:t>. 2012;134(1):011005.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Piñero DP. Corneal biomechanics: a review. </w:t>
      </w:r>
      <w:r>
        <w:rPr>
          <w:rFonts w:ascii="Calibri" w:hAnsi="Calibri"/>
          <w:b w:val="0"/>
          <w:i/>
          <w:color w:val="222222"/>
          <w:sz w:val="22"/>
        </w:rPr>
        <w:t>Clin Exp Optom</w:t>
      </w:r>
      <w:r>
        <w:rPr>
          <w:rFonts w:ascii="Calibri" w:hAnsi="Calibri"/>
          <w:b w:val="0"/>
          <w:i w:val="0"/>
          <w:color w:val="222222"/>
          <w:sz w:val="22"/>
        </w:rPr>
        <w:t>. 2015;98(2):107–116.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Simonini I, Pandolfi A. Customized finite element modelling of the human cornea. </w:t>
      </w:r>
      <w:r>
        <w:rPr>
          <w:rFonts w:ascii="Calibri" w:hAnsi="Calibri"/>
          <w:b w:val="0"/>
          <w:i/>
          <w:color w:val="222222"/>
          <w:sz w:val="22"/>
        </w:rPr>
        <w:t>PLoS One</w:t>
      </w:r>
      <w:r>
        <w:rPr>
          <w:rFonts w:ascii="Calibri" w:hAnsi="Calibri"/>
          <w:b w:val="0"/>
          <w:i w:val="0"/>
          <w:color w:val="222222"/>
          <w:sz w:val="22"/>
        </w:rPr>
        <w:t>. 2015;10(6):e0130426.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