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15 — Conclusão: Rumo a uma Linguagem Biomecânica para o ICRS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o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V — Horizontes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15.1 Recapitulação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livro apresentou a Análise Vetorial Biomecânica Corneana (AVBC) — um arcabouço para o planejamento de segmentos de anéis intraestromais que se afasta da tradição empírica da seleção baseada em nomogramas e avança em direção a uma tomada de decisão mecanicista e biomecanicamente informada. A argumentação prosseguiu através de cinco etapas:</w:t>
      </w:r>
    </w:p>
    <w:p>
      <w:r>
        <w:rPr>
          <w:rFonts w:ascii="Calibri" w:hAnsi="Calibri"/>
          <w:b/>
          <w:i w:val="0"/>
          <w:color w:val="222222"/>
          <w:sz w:val="22"/>
        </w:rPr>
        <w:t>Primeiro</w:t>
      </w:r>
      <w:r>
        <w:rPr>
          <w:rFonts w:ascii="Calibri" w:hAnsi="Calibri"/>
          <w:b w:val="0"/>
          <w:i w:val="0"/>
          <w:color w:val="222222"/>
          <w:sz w:val="22"/>
        </w:rPr>
        <w:t>, estabelecemos que o ceratocone é fundamentalmente uma doença biomecânica — um distúrbio da integridade do colágeno, da distribuição de tensão (stress) e da degradação das propriedades do material — e não apenas uma deformidade geométrica (Capítulo 1). O ciclo de descompensação de Dupps, as evidências de microscopia de Brillouin e os dados de ORA/Corvis convergem para essa conclusão. A implicação é clara: se a doença é biomecânica, a intervenção deve ser compreendida de maneira biomecânica.</w:t>
      </w:r>
    </w:p>
    <w:p>
      <w:r>
        <w:rPr>
          <w:rFonts w:ascii="Calibri" w:hAnsi="Calibri"/>
          <w:b/>
          <w:i w:val="0"/>
          <w:color w:val="222222"/>
          <w:sz w:val="22"/>
        </w:rPr>
        <w:t>Segundo</w:t>
      </w:r>
      <w:r>
        <w:rPr>
          <w:rFonts w:ascii="Calibri" w:hAnsi="Calibri"/>
          <w:b w:val="0"/>
          <w:i w:val="0"/>
          <w:color w:val="222222"/>
          <w:sz w:val="22"/>
        </w:rPr>
        <w:t>, revisamos os mecanismos de ação do ICRS e demonstramos, por meio da análise de elementos finitos, que o efeito não é um fenômeno único, mas uma combinação de três mecanismos independentes: deslocamento radial (VR), redistribuição de tensão (stress) tangencial (VT) e torque assimétrico (Vτ) (Capítulos 2, 6, 7, 8). Cada mecanismo é modulado por um parâmetro de anel diferente — espessura para VR, comprimento de arco para VT e assimetria para Vτ — permitindo o controle independente do aplanamento, da regularização e do reposicionamento do ápice.</w:t>
      </w:r>
    </w:p>
    <w:p>
      <w:r>
        <w:rPr>
          <w:rFonts w:ascii="Calibri" w:hAnsi="Calibri"/>
          <w:b/>
          <w:i w:val="0"/>
          <w:color w:val="222222"/>
          <w:sz w:val="22"/>
        </w:rPr>
        <w:t>Terceiro</w:t>
      </w:r>
      <w:r>
        <w:rPr>
          <w:rFonts w:ascii="Calibri" w:hAnsi="Calibri"/>
          <w:b w:val="0"/>
          <w:i w:val="0"/>
          <w:color w:val="222222"/>
          <w:sz w:val="22"/>
        </w:rPr>
        <w:t>, demonstramos as limitações dos nomogramas existentes — sua incapacidade de capturar a heterogeneidade biomecânica, as evidências de discordância entre cirurgiões e a "maldição da dimensionalidade" que torna as tabelas de consulta empíricas fundamentalmente inadequadas para um problema com cinco ou mais parâmetros relevantes (Capítulo 3). Traçamos um paralelo com a evolução do cálculo de LIO, do SRK (empírico) para o rastreamento de raios (ray-tracing, mecanicista), e argumentamos que o planejamento do ICRS exige a mesma evolução.</w:t>
      </w:r>
    </w:p>
    <w:p>
      <w:r>
        <w:rPr>
          <w:rFonts w:ascii="Calibri" w:hAnsi="Calibri"/>
          <w:b/>
          <w:i w:val="0"/>
          <w:color w:val="222222"/>
          <w:sz w:val="22"/>
        </w:rPr>
        <w:t>Quarto</w:t>
      </w:r>
      <w:r>
        <w:rPr>
          <w:rFonts w:ascii="Calibri" w:hAnsi="Calibri"/>
          <w:b w:val="0"/>
          <w:i w:val="0"/>
          <w:color w:val="222222"/>
          <w:sz w:val="22"/>
        </w:rPr>
        <w:t>, apresentamos o sistema de classificação AVBC — uma avaliação trimodal (Óptica, Topográfica, Biomechanical) que estrutura o processo de decisão clínica e mapeia as características do paciente para as configurações de anel por meio do raciocínio biomecânico, em vez da correlação empírica (Capítulos 5, 9, 11). O fluxo de trabalho clínico, os exemplos práticos e os estudos de caso demonstram que o arcabouço é prático e aplicável.</w:t>
      </w:r>
    </w:p>
    <w:p>
      <w:r>
        <w:rPr>
          <w:rFonts w:ascii="Calibri" w:hAnsi="Calibri"/>
          <w:b/>
          <w:i w:val="0"/>
          <w:color w:val="222222"/>
          <w:sz w:val="22"/>
        </w:rPr>
        <w:t>Quinto</w:t>
      </w:r>
      <w:r>
        <w:rPr>
          <w:rFonts w:ascii="Calibri" w:hAnsi="Calibri"/>
          <w:b w:val="0"/>
          <w:i w:val="0"/>
          <w:color w:val="222222"/>
          <w:sz w:val="22"/>
        </w:rPr>
        <w:t>, apresentamos a validação computacional — 34 simulações de elementos finitos usando o modelo constitutivo HGO no FEBio 4.12, incluindo 6 modelos assimétricos de espessura progressiva. Essas simulações confirmaram os principais achados quantitativos: a insensibilidade de VR ao comprimento do arco, a monotonicidade de VT com o comprimento do arco ($VT = -0.0018 \times \text{arc}^\circ + 7.79$, $R^2 = 0.94$), o zero numérico de $V\tau$ para anéis simétricos e a validação física do torque corretivo ativo ($V\tau = 9.31\text{--}18.34\ \mu\text{N}\cdot\text{m}$) gerado por designs assimétricos de espessura progressiva (Capítulo 12).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15.2 As Três Contribuições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15.2.1 Uma Linguagem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principal contribuição deste trabalho não é um novo nomograma ou um novo design de anel. É uma </w:t>
      </w:r>
      <w:r>
        <w:rPr>
          <w:rFonts w:ascii="Calibri" w:hAnsi="Calibri"/>
          <w:b/>
          <w:i w:val="0"/>
          <w:color w:val="222222"/>
          <w:sz w:val="22"/>
        </w:rPr>
        <w:t>linguagem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 vocabulário padronizado de conceitos biomecânicos (VR, VT, Vτ, ENM, AVBC-CI) que permite ao cirurgião de córnea raciocinar sobre os efeitos do ICRS em termos mecanicistas. Antes da AVBC, o cirurgião poderia perguntar: "Um anel de 250 μm com arco de 160° irá aplanar esta córnea?" Após a AVBC, o cirurgião pode perguntar: "O aplanamento é a necessidade dominante ou a regularização é mais importante? Se for a regularização, devo aumentar o comprimento do arco? O ENM está alinhado com o K-steep ou preciso redirecionar o meridiano do anel?"</w:t>
      </w:r>
    </w:p>
    <w:p>
      <w:r>
        <w:rPr>
          <w:rFonts w:ascii="Calibri" w:hAnsi="Calibri"/>
          <w:b w:val="0"/>
          <w:i w:val="0"/>
          <w:color w:val="222222"/>
          <w:sz w:val="22"/>
        </w:rPr>
        <w:t>Essa mudança — de "qual anel devo implantar?" para "qual mecanismo devo invocar?" — é o núcleo conceitual da AVBC. A linguagem torna o mecanismo explícito, e mecanismos explícitos podem ser discutidos, debatidos, calibrados e aprimorados.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[!IMPORTANT] </w:t>
      </w:r>
      <w:r>
        <w:rPr>
          <w:rFonts w:ascii="Calibri" w:hAnsi="Calibri"/>
          <w:b/>
          <w:i w:val="0"/>
          <w:color w:val="334E68"/>
          <w:sz w:val="21"/>
        </w:rPr>
        <w:t>Para o Clínico: A Pergunta Que Mudou</w:t>
      </w:r>
      <w:r>
        <w:rPr>
          <w:rFonts w:ascii="Calibri" w:hAnsi="Calibri"/>
          <w:b w:val="0"/>
          <w:i w:val="0"/>
          <w:color w:val="334E68"/>
          <w:sz w:val="21"/>
        </w:rPr>
        <w:t xml:space="preserve"> Antes da AVBC: </w:t>
      </w:r>
      <w:r>
        <w:rPr>
          <w:rFonts w:ascii="Calibri" w:hAnsi="Calibri"/>
          <w:b w:val="0"/>
          <w:i/>
          <w:color w:val="334E68"/>
          <w:sz w:val="21"/>
        </w:rPr>
        <w:t>"Que anel pede o nomograma para um K-steep de 50 D?"</w:t>
      </w:r>
      <w:r>
        <w:rPr>
          <w:rFonts w:ascii="Calibri" w:hAnsi="Calibri"/>
          <w:b w:val="0"/>
          <w:i w:val="0"/>
          <w:color w:val="334E68"/>
          <w:sz w:val="21"/>
        </w:rPr>
        <w:t xml:space="preserve"> → Resposta: "250 µm a 160°." Sem saber porquê. Depois da AVBC: </w:t>
      </w:r>
      <w:r>
        <w:rPr>
          <w:rFonts w:ascii="Calibri" w:hAnsi="Calibri"/>
          <w:b w:val="0"/>
          <w:i/>
          <w:color w:val="334E68"/>
          <w:sz w:val="21"/>
        </w:rPr>
        <w:t>"O meu doente precisa de aplanar, regularizar ou centrar? O ENM coincide com o K-steep? A ótica permite esperar melhoria funcional?"</w:t>
      </w:r>
      <w:r>
        <w:rPr>
          <w:rFonts w:ascii="Calibri" w:hAnsi="Calibri"/>
          <w:b w:val="0"/>
          <w:i w:val="0"/>
          <w:color w:val="334E68"/>
          <w:sz w:val="21"/>
        </w:rPr>
        <w:t xml:space="preserve"> → Resposta informada, rastreavel e calibrável.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15.2.2 Um Arcabouço</w:t>
      </w:r>
    </w:p>
    <w:p>
      <w:r>
        <w:rPr>
          <w:rFonts w:ascii="Calibri" w:hAnsi="Calibri"/>
          <w:b w:val="0"/>
          <w:i w:val="0"/>
          <w:color w:val="222222"/>
          <w:sz w:val="22"/>
        </w:rPr>
        <w:t>A segunda contribuição é o arcabouço estruturado de decisão — a avaliação trimodal, o algoritmo de seleção vetorial e a lógica de prescrição do anel. Esse arcabouço transforma a compreensão biomecânica em ação clínica. Ele é projetado para ser: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Aditivo:</w:t>
      </w:r>
      <w:r>
        <w:rPr>
          <w:rFonts w:ascii="Calibri" w:hAnsi="Calibri"/>
          <w:b w:val="0"/>
          <w:i w:val="0"/>
          <w:color w:val="222222"/>
          <w:sz w:val="22"/>
        </w:rPr>
        <w:t xml:space="preserve"> Utiliza dados clínicos existentes (topografia, aberrometria, refração) sem exigir novos instrumentos.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Transparente:</w:t>
      </w:r>
      <w:r>
        <w:rPr>
          <w:rFonts w:ascii="Calibri" w:hAnsi="Calibri"/>
          <w:b w:val="0"/>
          <w:i w:val="0"/>
          <w:color w:val="222222"/>
          <w:sz w:val="22"/>
        </w:rPr>
        <w:t xml:space="preserve"> Cada recomendação pode ser rastreada até uma justificativa biomecânica específica.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Calibrável: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AVBC-CI permite feedback específico do cirurgião e aprimoramento contínuo.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15.2.3 Uma Fundação de Validação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A terceira contribuição é a fundação computacional — o banco de dados de simulação por FEM, o pipeline de extração vetorial e a análise de sensibilidade de parâmetros — que fornece a primeira evidência quantitativa para a decomposição em três vetores. Embora os valores absolutos sejam dependentes do modelo (simplificações geométricas, propriedades uniformes do material), os achados relativos — insensibilidade de VR ao arco, monotonicidade de VT, valor zero de Vτ para anéis simétricos — são robustos e formam a base empírica para o arcabouço.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15.3 O Que Resta Fazer</w:t>
      </w:r>
    </w:p>
    <w:p>
      <w:r>
        <w:rPr>
          <w:rFonts w:ascii="Calibri" w:hAnsi="Calibri"/>
          <w:b w:val="0"/>
          <w:i w:val="0"/>
          <w:color w:val="222222"/>
          <w:sz w:val="22"/>
        </w:rPr>
        <w:t>A honestidade intelectual exige o reconhecimento do trabalho substancial que ainda resta: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Validação clínica: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Nenhum ensaio clínico prospectivo testou se a seleção de anéis guiada pela AVBC produz melhores resultados do que a seleção guiada por nomogramas. O desenho do estudo é apresentado (Capítulo 13), mas o recrutamento ainda não foi iniciado.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FEM personalizado para o paciente:</w:t>
      </w:r>
      <w:r>
        <w:rPr>
          <w:rFonts w:ascii="Calibri" w:hAnsi="Calibri"/>
          <w:b w:val="0"/>
          <w:i w:val="0"/>
          <w:color w:val="222222"/>
          <w:sz w:val="22"/>
        </w:rPr>
        <w:t xml:space="preserve"> Os modelos atuais usam geometria idealizada e propriedades de materiais uniformes. Modelos específicos do paciente — com geometria do Pentacam e parâmetros de materiais da microscopia de Brillouin ou Corvis — aumentariam dramaticamente a acurácia preditiva.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 conceito do ENM: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Eixo Neutro Mecânico é introduzido como um novo parâmetro clínico, mas sua validação clínica (correlação com desfechos do ICRS, reprodutibilidade entre instrumentos) ainda precisa ser demonstrada.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Planejamento de múltiplos segmentos: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arcabouço atual aborda o implante de segmento único. A extensão para configurações de dois segmentos (comum na prática clínica) requer modelagem adicional.</w:t>
      </w:r>
    </w:p>
    <w:p>
      <w:r>
        <w:rPr>
          <w:rFonts w:ascii="Calibri" w:hAnsi="Calibri"/>
          <w:b w:val="0"/>
          <w:i w:val="0"/>
          <w:color w:val="222222"/>
          <w:sz w:val="22"/>
        </w:rPr>
        <w:t>Essas lacunas não são limitações fatais — são o programa de pesquisa natural que se segue a um novo arcabouço. O método Alpins foi publicado em 1993 e refinado ao longo de três décadas de uso clínico. A AVBC está no início desta jornada.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15.4 A Visão</w:t>
      </w:r>
    </w:p>
    <w:p>
      <w:r>
        <w:rPr>
          <w:rFonts w:ascii="Calibri" w:hAnsi="Calibri"/>
          <w:b w:val="0"/>
          <w:i w:val="0"/>
          <w:color w:val="222222"/>
          <w:sz w:val="22"/>
        </w:rPr>
        <w:t>Vislumbramos um futuro no qual o planejamento de ICRS ocorra da seguinte forma: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O cirurgião obtém dados pré-operatórios padrão (topografia, aberrometria, refração).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Uma plataforma de software AVBC realiza a avaliação trimodal automaticamente.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 plataforma gera um modelo FEM personalizado para o paciente a partir dos dados tomográficos.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Múltiplas configurações de anel são simuladas em segundos (via modelos de ordem reduzida).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 plataforma apresenta a configuração ideal com os valores esperados de VR, VT e Vτ.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O cirurgião revisa a recomendação, aplica seu julgamento clínico e implanta o anel.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No acompanhamento, o AVBC-CI é computado e a curva de calibração do cirurgião é atualizada.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Ao longo do tempo, as previsões convergem para a realidade clínica por meio de feedback iterativo.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visão é tecnologicamente viável com as capacidades computacionais atuais. As barreiras são organizacionais (construção do banco de dados clínico), regulatórias (obtenção de certificação de dispositivo para o software de planejamento) e científicas (validação do arcabouço em estudos prospectivos). Nenhuma dessas barreiras é insuperável.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15.5 Uma Palavra Final</w:t>
      </w:r>
    </w:p>
    <w:p>
      <w:r>
        <w:rPr>
          <w:rFonts w:ascii="Calibri" w:hAnsi="Calibri"/>
          <w:b w:val="0"/>
          <w:i w:val="0"/>
          <w:color w:val="222222"/>
          <w:sz w:val="22"/>
        </w:rPr>
        <w:t>A córnea é uma estrutura de notável elegância — um composto reforçado por fibras que é simultaneamente transparente, mecanicamente resiliente e opticamente preciso. O ceratocone perturba essa elegância no nível do material, e os ICRS a restauram no nível estrutural. O arcabouço AVBC aspira corresponder à elegância da estrutura que busca reparar: uma linguagem tão precisa quanto o tecido, um arcabouço tão estruturado quanto o estroma e uma alça de feedback tão adaptativa quanto a própria córnea.</w:t>
      </w:r>
    </w:p>
    <w:p>
      <w:r>
        <w:rPr>
          <w:rFonts w:ascii="Calibri" w:hAnsi="Calibri"/>
          <w:b w:val="0"/>
          <w:i w:val="0"/>
          <w:color w:val="222222"/>
          <w:sz w:val="22"/>
        </w:rPr>
        <w:t>O caminho do nomograma empírico ao planejamento biomecânico é longo, mas a direção é clara. Este livro é um passo ao longo desse caminho.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[!TIP] </w:t>
      </w:r>
      <w:r>
        <w:rPr>
          <w:rFonts w:ascii="Calibri" w:hAnsi="Calibri"/>
          <w:b/>
          <w:i w:val="0"/>
          <w:color w:val="334E68"/>
          <w:sz w:val="21"/>
        </w:rPr>
        <w:t>Para o Clínico: Os 3 Take-Homes Deste Livro</w:t>
      </w:r>
      <w:r>
        <w:rPr>
          <w:rFonts w:ascii="Calibri" w:hAnsi="Calibri"/>
          <w:b w:val="0"/>
          <w:i w:val="0"/>
          <w:color w:val="334E68"/>
          <w:sz w:val="21"/>
        </w:rPr>
        <w:t xml:space="preserve"> 1. </w:t>
      </w:r>
      <w:r>
        <w:rPr>
          <w:rFonts w:ascii="Calibri" w:hAnsi="Calibri"/>
          <w:b/>
          <w:i w:val="0"/>
          <w:color w:val="334E68"/>
          <w:sz w:val="21"/>
        </w:rPr>
        <w:t>O anel tem 3 mecanismos independentes</w:t>
      </w:r>
      <w:r>
        <w:rPr>
          <w:rFonts w:ascii="Calibri" w:hAnsi="Calibri"/>
          <w:b w:val="0"/>
          <w:i w:val="0"/>
          <w:color w:val="334E68"/>
          <w:sz w:val="21"/>
        </w:rPr>
        <w:t xml:space="preserve">, não 1. Espessura → aplanamento (VR). Arco → regularização (VT). Assimetria → reposicionamento (Vτ). 2. </w:t>
      </w:r>
      <w:r>
        <w:rPr>
          <w:rFonts w:ascii="Calibri" w:hAnsi="Calibri"/>
          <w:b/>
          <w:i w:val="0"/>
          <w:color w:val="334E68"/>
          <w:sz w:val="21"/>
        </w:rPr>
        <w:t>O ENM muda o seu plano em 40% dos doentes.</w:t>
      </w:r>
      <w:r>
        <w:rPr>
          <w:rFonts w:ascii="Calibri" w:hAnsi="Calibri"/>
          <w:b w:val="0"/>
          <w:i w:val="0"/>
          <w:color w:val="334E68"/>
          <w:sz w:val="21"/>
        </w:rPr>
        <w:t xml:space="preserve"> Verifique sempre a elevação posterior antes de marcar o eixo. 3. </w:t>
      </w:r>
      <w:r>
        <w:rPr>
          <w:rFonts w:ascii="Calibri" w:hAnsi="Calibri"/>
          <w:b/>
          <w:i w:val="0"/>
          <w:color w:val="334E68"/>
          <w:sz w:val="21"/>
        </w:rPr>
        <w:t>O seu CI_R médio é o seu "fator pessoal".</w:t>
      </w:r>
      <w:r>
        <w:rPr>
          <w:rFonts w:ascii="Calibri" w:hAnsi="Calibri"/>
          <w:b w:val="0"/>
          <w:i w:val="0"/>
          <w:color w:val="334E68"/>
          <w:sz w:val="21"/>
        </w:rPr>
        <w:t xml:space="preserve"> Registe, calcule e corrija. É assim que melhora de cirurgião para cirurgião.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Alpins NA. A new method of analyzing vectors for changes in astigmatism.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1993;19(4):524–533.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Barraquer JI. Modification of refraction by means of intracorneal inclusions. </w:t>
      </w:r>
      <w:r>
        <w:rPr>
          <w:rFonts w:ascii="Calibri" w:hAnsi="Calibri"/>
          <w:b w:val="0"/>
          <w:i/>
          <w:color w:val="222222"/>
          <w:sz w:val="22"/>
        </w:rPr>
        <w:t>Int Ophthalmol Clin</w:t>
      </w:r>
      <w:r>
        <w:rPr>
          <w:rFonts w:ascii="Calibri" w:hAnsi="Calibri"/>
          <w:b w:val="0"/>
          <w:i w:val="0"/>
          <w:color w:val="222222"/>
          <w:sz w:val="22"/>
        </w:rPr>
        <w:t>. 1966;6(1):53–78.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García de Oteyza G, Kling S, Álvarez de Toledo J, Barraquer RI. Refractive changes of a new asymmetric intracorneal ring segment with variable thickness and base width: A 2D finite-element model. </w:t>
      </w:r>
      <w:r>
        <w:rPr>
          <w:rFonts w:ascii="Calibri" w:hAnsi="Calibri"/>
          <w:b w:val="0"/>
          <w:i/>
          <w:color w:val="222222"/>
          <w:sz w:val="22"/>
        </w:rPr>
        <w:t>PLoS One</w:t>
      </w:r>
      <w:r>
        <w:rPr>
          <w:rFonts w:ascii="Calibri" w:hAnsi="Calibri"/>
          <w:b w:val="0"/>
          <w:i w:val="0"/>
          <w:color w:val="222222"/>
          <w:sz w:val="22"/>
        </w:rPr>
        <w:t>. 2021;16(1):e0245063.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Holzapfel GA, Gasser TC, Ogden RW. A new constitutive framework for arterial wall mechanics. </w:t>
      </w:r>
      <w:r>
        <w:rPr>
          <w:rFonts w:ascii="Calibri" w:hAnsi="Calibri"/>
          <w:b w:val="0"/>
          <w:i/>
          <w:color w:val="222222"/>
          <w:sz w:val="22"/>
        </w:rPr>
        <w:t>J Elasticity</w:t>
      </w:r>
      <w:r>
        <w:rPr>
          <w:rFonts w:ascii="Calibri" w:hAnsi="Calibri"/>
          <w:b w:val="0"/>
          <w:i w:val="0"/>
          <w:color w:val="222222"/>
          <w:sz w:val="22"/>
        </w:rPr>
        <w:t>. 2000;61:1–48.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FEM of ICRS in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Knupp C. Corneal structure and transparency. </w:t>
      </w:r>
      <w:r>
        <w:rPr>
          <w:rFonts w:ascii="Calibri" w:hAnsi="Calibri"/>
          <w:b w:val="0"/>
          <w:i/>
          <w:color w:val="222222"/>
          <w:sz w:val="22"/>
        </w:rPr>
        <w:t>Prog Retin Eye Res</w:t>
      </w:r>
      <w:r>
        <w:rPr>
          <w:rFonts w:ascii="Calibri" w:hAnsi="Calibri"/>
          <w:b w:val="0"/>
          <w:i w:val="0"/>
          <w:color w:val="222222"/>
          <w:sz w:val="22"/>
        </w:rPr>
        <w:t>. 2015;49:1–16.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