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Calibri" w:hAnsi="Calibri"/>
          <w:b w:val="0"/>
          <w:i w:val="0"/>
          <w:color w:val="1B365D"/>
          <w:sz w:val="36"/>
        </w:rPr>
        <w:t>PROPOSTA DE LIVRO — Elsevier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Título</w:t>
      </w:r>
    </w:p>
    <w:p>
      <w:r>
        <w:rPr>
          <w:rFonts w:ascii="Calibri" w:hAnsi="Calibri"/>
          <w:b/>
          <w:i w:val="0"/>
          <w:color w:val="222222"/>
          <w:sz w:val="22"/>
        </w:rPr>
        <w:t>Corneal Biomechanical Vector Analysis for Intracorneal Ring Segment Planning</w:t>
      </w:r>
    </w:p>
    <w:p>
      <w:r>
        <w:rPr>
          <w:rFonts w:ascii="Calibri" w:hAnsi="Calibri"/>
          <w:b w:val="0"/>
          <w:i/>
          <w:color w:val="222222"/>
          <w:sz w:val="22"/>
        </w:rPr>
        <w:t>From Empirical Nomograms to Mechanistic Decision Frameworks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Alternativa (edição bilíngue)</w:t>
      </w:r>
    </w:p>
    <w:p>
      <w:r>
        <w:rPr>
          <w:rFonts w:ascii="Calibri" w:hAnsi="Calibri"/>
          <w:b/>
          <w:i w:val="0"/>
          <w:color w:val="222222"/>
          <w:sz w:val="22"/>
        </w:rPr>
        <w:t>Análise Vetorial Biomecânica Corneana Aplicada aos Anéis Intracorneanos</w:t>
      </w:r>
    </w:p>
    <w:p>
      <w:r>
        <w:rPr>
          <w:rFonts w:ascii="Calibri" w:hAnsi="Calibri"/>
          <w:b w:val="0"/>
          <w:i/>
          <w:color w:val="222222"/>
          <w:sz w:val="22"/>
        </w:rPr>
        <w:t>Dos Nomogramas Empíricos ao Planejamento Vetorial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1. Escopo e Justificativa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O Problema Clínico</w:t>
      </w:r>
    </w:p>
    <w:p>
      <w:r>
        <w:rPr>
          <w:rFonts w:ascii="Calibri" w:hAnsi="Calibri"/>
          <w:b w:val="0"/>
          <w:i w:val="0"/>
          <w:color w:val="222222"/>
          <w:sz w:val="22"/>
        </w:rPr>
        <w:t>Os segmentos de anéis intraestromais (ICRS) são a intervenção cirúrgica mais amplamente utilizada para o ceratocone em todo o mundo, com mais de 500.000 implantes realizados desde 1999. Apesar de três décadas de uso clínico, o planejamento de ICRS permanece fundamentalmente empírico: os cirurgiões selecionam os parâmetros do anel (espessura, comprimento do arco, profundidade, meridiano) usando nomogramas — tabelas de consulta derivadas de séries retrospectivas — que não decompõem o efeito do ICRS em seus mecanismos biomecânicos constituintes.</w:t>
      </w:r>
    </w:p>
    <w:p>
      <w:r>
        <w:rPr>
          <w:rFonts w:ascii="Calibri" w:hAnsi="Calibri"/>
          <w:b w:val="0"/>
          <w:i w:val="0"/>
          <w:color w:val="222222"/>
          <w:sz w:val="22"/>
        </w:rPr>
        <w:t>As consequências são mensuráveis: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Quando apresentados a dados idênticos de pacientes, </w:t>
      </w:r>
      <w:r>
        <w:rPr>
          <w:rFonts w:ascii="Calibri" w:hAnsi="Calibri"/>
          <w:b/>
          <w:i w:val="0"/>
          <w:color w:val="222222"/>
          <w:sz w:val="22"/>
        </w:rPr>
        <w:t>diferentes especialistas em ICRS recomendam diferentes configurações de anéis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a concordância entre cirurgiões é baixa.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Os resultados baseados em nomogramas mostram </w:t>
      </w:r>
      <w:r>
        <w:rPr>
          <w:rFonts w:ascii="Calibri" w:hAnsi="Calibri"/>
          <w:b/>
          <w:i w:val="0"/>
          <w:color w:val="222222"/>
          <w:sz w:val="22"/>
        </w:rPr>
        <w:t>ampla variância</w:t>
      </w:r>
      <w:r>
        <w:rPr>
          <w:rFonts w:ascii="Calibri" w:hAnsi="Calibri"/>
          <w:b w:val="0"/>
          <w:i w:val="0"/>
          <w:color w:val="222222"/>
          <w:sz w:val="22"/>
        </w:rPr>
        <w:t xml:space="preserve"> (faixa de ΔK de 0.1–6.0 D para a mesma espessura de anel).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A área não produziu </w:t>
      </w:r>
      <w:r>
        <w:rPr>
          <w:rFonts w:ascii="Calibri" w:hAnsi="Calibri"/>
          <w:b/>
          <w:i w:val="0"/>
          <w:color w:val="222222"/>
          <w:sz w:val="22"/>
        </w:rPr>
        <w:t>nenhum arcabouço unificado</w:t>
      </w:r>
      <w:r>
        <w:rPr>
          <w:rFonts w:ascii="Calibri" w:hAnsi="Calibri"/>
          <w:b w:val="0"/>
          <w:i w:val="0"/>
          <w:color w:val="222222"/>
          <w:sz w:val="22"/>
        </w:rPr>
        <w:t xml:space="preserve"> análogo ao que Alpins criou para a cirurgia de astigmatismo em 1993.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A Solução: AVBC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Este livro introduz a </w:t>
      </w:r>
      <w:r>
        <w:rPr>
          <w:rFonts w:ascii="Calibri" w:hAnsi="Calibri"/>
          <w:b/>
          <w:i w:val="0"/>
          <w:color w:val="222222"/>
          <w:sz w:val="22"/>
        </w:rPr>
        <w:t>AVBC (Análise Vetorial Biomecânica Corneana)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um arcabouço mecanicista que decompõe o efeito do ICRS em três vetores biomecânicos: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Vetor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Grandeza Física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O Que Controla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Parâmetro do Anel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VR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Deslocamento radial (μm)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Aplanamento corneano (ΔK)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Espessura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VT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Redistribuição de tensão (stress) tangencial (kPa)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Regularização do astigmatismo (ΔCyl)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Comprimento do arco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Vτ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Torque assimétrico (μN·m)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Reposicionamento do ápice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Assimetria do anel</w:t>
            </w:r>
          </w:p>
        </w:tc>
      </w:tr>
    </w:tbl>
    <w:p>
      <w:pPr>
        <w:spacing w:before="120" w:after="120"/>
      </w:pP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Esses vetores </w:t>
      </w:r>
      <w:r>
        <w:rPr>
          <w:rFonts w:ascii="Calibri" w:hAnsi="Calibri"/>
          <w:b/>
          <w:i w:val="0"/>
          <w:color w:val="222222"/>
          <w:sz w:val="22"/>
        </w:rPr>
        <w:t>não são metáforas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eles são extraídos de simulações de elementos finitos (FEBio 4.12, modelo anisotrópico HGO) com rastreabilidade total desde as equações constitutivas até as tabelas de decisão clínica.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Por Que Este Livro É Necessário Agora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Lacuna confirmada pela busca na literatura:</w:t>
      </w:r>
      <w:r>
        <w:rPr>
          <w:rFonts w:ascii="Calibri" w:hAnsi="Calibri"/>
          <w:b w:val="0"/>
          <w:i w:val="0"/>
          <w:color w:val="222222"/>
          <w:sz w:val="22"/>
        </w:rPr>
        <w:t xml:space="preserve"> Nenhum livro ou arcabouço integra a análise vetorial biomecânica ao planejamento prospectivo do ICRS.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O precedente de Alpins:</w:t>
      </w:r>
      <w:r>
        <w:rPr>
          <w:rFonts w:ascii="Calibri" w:hAnsi="Calibri"/>
          <w:b w:val="0"/>
          <w:i w:val="0"/>
          <w:color w:val="222222"/>
          <w:sz w:val="22"/>
        </w:rPr>
        <w:t xml:space="preserve"> Em 1993, Alpins transformou a cirurgia de astigmatismo ao criar uma linguagem vetorial padronizada (TIA/SIA/DV). O planejamento de ICRS precisa da mesma transformação.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Validação por FEM disponível:</w:t>
      </w:r>
      <w:r>
        <w:rPr>
          <w:rFonts w:ascii="Calibri" w:hAnsi="Calibri"/>
          <w:b w:val="0"/>
          <w:i w:val="0"/>
          <w:color w:val="222222"/>
          <w:sz w:val="22"/>
        </w:rPr>
        <w:t xml:space="preserve"> Trabalhos recentes (Kling &amp; Marcos 2013, García de Oteyza 2021-2023) fornecem validação computacional dos mecanismos do ICRS — mas ninguém os traduziu em um arcabouço clínico.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Público-Alvo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Público</w:t>
            </w:r>
          </w:p>
        </w:tc>
        <w:tc>
          <w:tcPr>
            <w:tcW w:type="dxa" w:w="43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Como utilizará o livro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Cirurgiões de córnea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 xml:space="preserve"> (primário)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Arcabouço de decisão para o planejamento diário de ICRS</w:t>
            </w:r>
          </w:p>
        </w:tc>
      </w:tr>
      <w:tr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Residentes de oftalmologia</w:t>
            </w:r>
          </w:p>
        </w:tc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Livro-texto sobre biomecânica corneana e ICRS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Pesquisadores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 xml:space="preserve"> (FEM/biomecânica)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Metodologia para extração vetorial a partir de FEM</w:t>
            </w:r>
          </w:p>
        </w:tc>
      </w:tr>
      <w:tr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Indústria (fabricantes de anéis)</w:t>
            </w:r>
          </w:p>
        </w:tc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Racional de design para novas geometrias de anéis</w:t>
            </w:r>
          </w:p>
        </w:tc>
      </w:tr>
    </w:tbl>
    <w:p>
      <w:pPr>
        <w:spacing w:before="120" w:after="120"/>
      </w:pP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Mercado Estimado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~2.000 cirurgiões realizando ICRS em todo o mundo (estimativa conservadora)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~15.000 residentes de oftalmologia em treinamento anualmente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Prevalência crescente do ceratocone (1:375 → 1:84 com triagem moderna)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2. Sumário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Parte I — O Problema e os Fundamentos (Capítulos 1–3)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Capítulo 1: A Córnea Ceratocônica como uma Estrutura Mecânica</w:t>
      </w:r>
    </w:p>
    <w:p>
      <w:r>
        <w:rPr>
          <w:rFonts w:ascii="Calibri" w:hAnsi="Calibri"/>
          <w:b w:val="0"/>
          <w:i/>
          <w:color w:val="222222"/>
          <w:sz w:val="22"/>
        </w:rPr>
        <w:t>Sinopse:</w:t>
      </w:r>
      <w:r>
        <w:rPr>
          <w:rFonts w:ascii="Calibri" w:hAnsi="Calibri"/>
          <w:b w:val="0"/>
          <w:i w:val="0"/>
          <w:color w:val="222222"/>
          <w:sz w:val="22"/>
        </w:rPr>
        <w:t xml:space="preserve"> Apresenta a córnea como uma casca anisotrópica e hiperelástica. Aborda a anatomia fibrilar, o modelo constitutivo HGO e o ciclo de descompensação de Dupps. Estabelece que o ceratocone é uma doença biomecânica.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Capítulo 2: Como os ICRS Funcionam — Do Deslocamento Volumétrico à Decomposição Vetorial</w:t>
      </w:r>
    </w:p>
    <w:p>
      <w:r>
        <w:rPr>
          <w:rFonts w:ascii="Calibri" w:hAnsi="Calibri"/>
          <w:b w:val="0"/>
          <w:i/>
          <w:color w:val="222222"/>
          <w:sz w:val="22"/>
        </w:rPr>
        <w:t>Sinopse:</w:t>
      </w:r>
      <w:r>
        <w:rPr>
          <w:rFonts w:ascii="Calibri" w:hAnsi="Calibri"/>
          <w:b w:val="0"/>
          <w:i w:val="0"/>
          <w:color w:val="222222"/>
          <w:sz w:val="22"/>
        </w:rPr>
        <w:t xml:space="preserve"> Revisão crítica dos mecanismos do ICRS. Introduz a decomposição em três vetores (VR/VT/Vτ) como linguagem unificadora.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Capítulo 3: Os Limites do Planejamento Empírico — Por Que os Nomogramas Falham</w:t>
      </w:r>
    </w:p>
    <w:p>
      <w:r>
        <w:rPr>
          <w:rFonts w:ascii="Calibri" w:hAnsi="Calibri"/>
          <w:b w:val="0"/>
          <w:i/>
          <w:color w:val="222222"/>
          <w:sz w:val="22"/>
        </w:rPr>
        <w:t>Sinopse:</w:t>
      </w:r>
      <w:r>
        <w:rPr>
          <w:rFonts w:ascii="Calibri" w:hAnsi="Calibri"/>
          <w:b w:val="0"/>
          <w:i w:val="0"/>
          <w:color w:val="222222"/>
          <w:sz w:val="22"/>
        </w:rPr>
        <w:t xml:space="preserve"> Revisa nomogramas Ferrara, Keraring e Intacs. Apresenta evidências de discordância entre cirurgiões. Motiva a abordagem mecanicista.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Parte II — Os Vetores Biomecânicos (Capítulos 4–8) — Contribuição Original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Capítulo 4: Os Três Domínios de Avaliação do ICRS</w:t>
      </w:r>
    </w:p>
    <w:p>
      <w:r>
        <w:rPr>
          <w:rFonts w:ascii="Calibri" w:hAnsi="Calibri"/>
          <w:b w:val="0"/>
          <w:i/>
          <w:color w:val="222222"/>
          <w:sz w:val="22"/>
        </w:rPr>
        <w:t>Sinopse:</w:t>
      </w:r>
      <w:r>
        <w:rPr>
          <w:rFonts w:ascii="Calibri" w:hAnsi="Calibri"/>
          <w:b w:val="0"/>
          <w:i w:val="0"/>
          <w:color w:val="222222"/>
          <w:sz w:val="22"/>
        </w:rPr>
        <w:t xml:space="preserve"> Introduz a avaliação trimodal: Óptica × Topográfica × Biomecânica.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Capítulo 5: VR — O Vetor Radial: Mecânica do Aplanamento</w:t>
      </w:r>
    </w:p>
    <w:p>
      <w:r>
        <w:rPr>
          <w:rFonts w:ascii="Calibri" w:hAnsi="Calibri"/>
          <w:b w:val="0"/>
          <w:i/>
          <w:color w:val="222222"/>
          <w:sz w:val="22"/>
        </w:rPr>
        <w:t>Sinopse:</w:t>
      </w:r>
      <w:r>
        <w:rPr>
          <w:rFonts w:ascii="Calibri" w:hAnsi="Calibri"/>
          <w:b w:val="0"/>
          <w:i w:val="0"/>
          <w:color w:val="222222"/>
          <w:sz w:val="22"/>
        </w:rPr>
        <w:t xml:space="preserve"> Definição de VR. Achado: VR é insensível ao comprimento do arco — modulado apenas pela espessura do anel.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Capítulo 6: VT — O Vetor Tangencial: Redistribuição de Astigmatismo</w:t>
      </w:r>
    </w:p>
    <w:p>
      <w:r>
        <w:rPr>
          <w:rFonts w:ascii="Calibri" w:hAnsi="Calibri"/>
          <w:b w:val="0"/>
          <w:i/>
          <w:color w:val="222222"/>
          <w:sz w:val="22"/>
        </w:rPr>
        <w:t>Sinopse:</w:t>
      </w:r>
      <w:r>
        <w:rPr>
          <w:rFonts w:ascii="Calibri" w:hAnsi="Calibri"/>
          <w:b w:val="0"/>
          <w:i w:val="0"/>
          <w:color w:val="222222"/>
          <w:sz w:val="22"/>
        </w:rPr>
        <w:t xml:space="preserve"> Definição de VT. VT diminui linearmente com o comprimento do arco (R² = 0.94). O arco controla a regularização.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Capítulo 7: Vτ — O Vetor de Torque: Reposicionamento do Ápice</w:t>
      </w:r>
    </w:p>
    <w:p>
      <w:r>
        <w:rPr>
          <w:rFonts w:ascii="Calibri" w:hAnsi="Calibri"/>
          <w:b w:val="0"/>
          <w:i/>
          <w:color w:val="222222"/>
          <w:sz w:val="22"/>
        </w:rPr>
        <w:t>Sinopse:</w:t>
      </w:r>
      <w:r>
        <w:rPr>
          <w:rFonts w:ascii="Calibri" w:hAnsi="Calibri"/>
          <w:b w:val="0"/>
          <w:i w:val="0"/>
          <w:color w:val="222222"/>
          <w:sz w:val="22"/>
        </w:rPr>
        <w:t xml:space="preserve"> A contribuição mais original. Torque gerado por geometria assimétrica. Introduz o ENM.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Capítulo 8: O Método Alpins — Um Modelo para Linguagens de Planejamento Cirúrgico</w:t>
      </w:r>
    </w:p>
    <w:p>
      <w:r>
        <w:rPr>
          <w:rFonts w:ascii="Calibri" w:hAnsi="Calibri"/>
          <w:b w:val="0"/>
          <w:i/>
          <w:color w:val="222222"/>
          <w:sz w:val="22"/>
        </w:rPr>
        <w:t>Sinopse:</w:t>
      </w:r>
      <w:r>
        <w:rPr>
          <w:rFonts w:ascii="Calibri" w:hAnsi="Calibri"/>
          <w:b w:val="0"/>
          <w:i w:val="0"/>
          <w:color w:val="222222"/>
          <w:sz w:val="22"/>
        </w:rPr>
        <w:t xml:space="preserve"> Revisa Alpins (TIA/SIA/DV/CI). Com VR/VT/Vτ já apresentados, o paralelo estrutural é natural.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Parte III — Da Teoria à Prática Clínica (Capítulos 9–11)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Capítulo 9: A Classificação AVBC Integrada — Matriz de Decisão</w:t>
      </w:r>
    </w:p>
    <w:p>
      <w:r>
        <w:rPr>
          <w:rFonts w:ascii="Calibri" w:hAnsi="Calibri"/>
          <w:b w:val="0"/>
          <w:i/>
          <w:color w:val="222222"/>
          <w:sz w:val="22"/>
        </w:rPr>
        <w:t>Sinopse:</w:t>
      </w:r>
      <w:r>
        <w:rPr>
          <w:rFonts w:ascii="Calibri" w:hAnsi="Calibri"/>
          <w:b w:val="0"/>
          <w:i w:val="0"/>
          <w:color w:val="222222"/>
          <w:sz w:val="22"/>
        </w:rPr>
        <w:t xml:space="preserve"> O arcabouço completo: O × T × B → prescrição. Matriz de Decisão Biomecânica. </w:t>
      </w:r>
      <w:r>
        <w:rPr>
          <w:rFonts w:ascii="Calibri" w:hAnsi="Calibri"/>
          <w:b w:val="0"/>
          <w:i/>
          <w:color w:val="222222"/>
          <w:sz w:val="22"/>
        </w:rPr>
        <w:t>(Capítulo de amostra.)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Capítulo 10: Do Arcabouço ao Fluxo de Trabalho Clínico</w:t>
      </w:r>
    </w:p>
    <w:p>
      <w:r>
        <w:rPr>
          <w:rFonts w:ascii="Calibri" w:hAnsi="Calibri"/>
          <w:b w:val="0"/>
          <w:i/>
          <w:color w:val="222222"/>
          <w:sz w:val="22"/>
        </w:rPr>
        <w:t>Sinopse:</w:t>
      </w:r>
      <w:r>
        <w:rPr>
          <w:rFonts w:ascii="Calibri" w:hAnsi="Calibri"/>
          <w:b w:val="0"/>
          <w:i w:val="0"/>
          <w:color w:val="222222"/>
          <w:sz w:val="22"/>
        </w:rPr>
        <w:t xml:space="preserve"> Tradução do arcabouço em fluxo clínico. Árvores de decisão e checklist de consultório.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Capítulo 11: Casos Ilustrativos</w:t>
      </w:r>
    </w:p>
    <w:p>
      <w:r>
        <w:rPr>
          <w:rFonts w:ascii="Calibri" w:hAnsi="Calibri"/>
          <w:b w:val="0"/>
          <w:i/>
          <w:color w:val="222222"/>
          <w:sz w:val="22"/>
        </w:rPr>
        <w:t>Sinopse:</w:t>
      </w:r>
      <w:r>
        <w:rPr>
          <w:rFonts w:ascii="Calibri" w:hAnsi="Calibri"/>
          <w:b w:val="0"/>
          <w:i w:val="0"/>
          <w:color w:val="222222"/>
          <w:sz w:val="22"/>
        </w:rPr>
        <w:t xml:space="preserve"> Três estudos de caso detalhados (cone central, periférico, avançado).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Parte IV — Validação e Evidência (Capítulo 12)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Capítulo 12: Validação Computacional — Extração por FEM de V</w:t>
      </w:r>
      <w:r>
        <w:rPr>
          <w:rFonts w:ascii="Calibri" w:hAnsi="Calibri"/>
          <w:b w:val="0"/>
          <w:i/>
          <w:color w:val="1B365D"/>
          <w:sz w:val="24"/>
        </w:rPr>
        <w:t>R, V</w:t>
      </w:r>
      <w:r>
        <w:rPr>
          <w:rFonts w:ascii="Calibri" w:hAnsi="Calibri"/>
          <w:b w:val="0"/>
          <w:i w:val="0"/>
          <w:color w:val="1B365D"/>
          <w:sz w:val="24"/>
        </w:rPr>
        <w:t>T e V_τ</w:t>
      </w:r>
    </w:p>
    <w:p>
      <w:r>
        <w:rPr>
          <w:rFonts w:ascii="Calibri" w:hAnsi="Calibri"/>
          <w:b w:val="0"/>
          <w:i/>
          <w:color w:val="222222"/>
          <w:sz w:val="22"/>
        </w:rPr>
        <w:t>Sinopse:</w:t>
      </w:r>
      <w:r>
        <w:rPr>
          <w:rFonts w:ascii="Calibri" w:hAnsi="Calibri"/>
          <w:b w:val="0"/>
          <w:i w:val="0"/>
          <w:color w:val="222222"/>
          <w:sz w:val="22"/>
        </w:rPr>
        <w:t xml:space="preserve"> Pipeline completo: FEBio 4.12 + HGO → 34 simulações. </w:t>
      </w:r>
      <w:r>
        <w:rPr>
          <w:rFonts w:ascii="Calibri" w:hAnsi="Calibri"/>
          <w:b w:val="0"/>
          <w:i/>
          <w:color w:val="222222"/>
          <w:sz w:val="22"/>
        </w:rPr>
        <w:t>(Capítulo de amostra.)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Parte V — Horizontes (Capítulo 13)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Capítulo 13: Limitações e Direções Futuras</w:t>
      </w:r>
    </w:p>
    <w:p>
      <w:r>
        <w:rPr>
          <w:rFonts w:ascii="Calibri" w:hAnsi="Calibri"/>
          <w:b w:val="0"/>
          <w:i/>
          <w:color w:val="222222"/>
          <w:sz w:val="22"/>
        </w:rPr>
        <w:t>Sinopse:</w:t>
      </w:r>
      <w:r>
        <w:rPr>
          <w:rFonts w:ascii="Calibri" w:hAnsi="Calibri"/>
          <w:b w:val="0"/>
          <w:i w:val="0"/>
          <w:color w:val="222222"/>
          <w:sz w:val="22"/>
        </w:rPr>
        <w:t xml:space="preserve"> Avaliação crítica das limitações. Estudo prospectivo planejado (N=100).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Parte VI — A Plataforma e Conclusão (Capítulos 14–15)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Capítulo 14: A Plataforma de Software AVBC</w:t>
      </w:r>
    </w:p>
    <w:p>
      <w:r>
        <w:rPr>
          <w:rFonts w:ascii="Calibri" w:hAnsi="Calibri"/>
          <w:b w:val="0"/>
          <w:i/>
          <w:color w:val="222222"/>
          <w:sz w:val="22"/>
        </w:rPr>
        <w:t>Sinopse:</w:t>
      </w:r>
      <w:r>
        <w:rPr>
          <w:rFonts w:ascii="Calibri" w:hAnsi="Calibri"/>
          <w:b w:val="0"/>
          <w:i w:val="0"/>
          <w:color w:val="222222"/>
          <w:sz w:val="22"/>
        </w:rPr>
        <w:t xml:space="preserve"> Arquitetura do software de suporte à decisão clínica.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Capítulo 15: Conclusão</w:t>
      </w:r>
    </w:p>
    <w:p>
      <w:r>
        <w:rPr>
          <w:rFonts w:ascii="Calibri" w:hAnsi="Calibri"/>
          <w:b w:val="0"/>
          <w:i/>
          <w:color w:val="222222"/>
          <w:sz w:val="22"/>
        </w:rPr>
        <w:t>Sinopse:</w:t>
      </w:r>
      <w:r>
        <w:rPr>
          <w:rFonts w:ascii="Calibri" w:hAnsi="Calibri"/>
          <w:b w:val="0"/>
          <w:i w:val="0"/>
          <w:color w:val="222222"/>
          <w:sz w:val="22"/>
        </w:rPr>
        <w:t xml:space="preserve"> Síntese das contribuições e visão futura.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3. Títulos Concorrentes e Diferenciação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Título Existente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Escopo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Diferencial da AVBC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Keratoconus and Keratoectasia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 xml:space="preserve"> (Ferrara, Springer 2017)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Guia clínico, baseado em nomograma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Sem arcabouço vetorial; sem validação por FEM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Keratoconus: Diagnosis and Management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 xml:space="preserve"> (Alió, Springer 2017)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Manejo clínico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Focado em classificação; sem planejamento mecanicista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Corneal Biomechanics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 xml:space="preserve"> (Dupps, em andamento)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Ciência básica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Sem arcabouço de decisão clínica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Intacs and Ferrara Ring Segments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 xml:space="preserve"> (Torquetti, capítulos de livro)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Técnica cirúrgica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Empírico; sem decomposição vetorial</w:t>
            </w:r>
          </w:p>
        </w:tc>
      </w:tr>
    </w:tbl>
    <w:p>
      <w:pPr>
        <w:spacing w:before="120" w:after="120"/>
      </w:pPr>
    </w:p>
    <w:p>
      <w:pPr>
        <w:spacing w:before="80" w:after="120" w:line="276" w:lineRule="auto"/>
        <w:ind w:left="720" w:right="720"/>
      </w:pPr>
      <w:r>
        <w:rPr>
          <w:rFonts w:ascii="Calibri" w:hAnsi="Calibri"/>
          <w:b/>
          <w:i w:val="0"/>
          <w:color w:val="334E68"/>
          <w:sz w:val="21"/>
        </w:rPr>
        <w:t>Posicionamento exclusivo:</w:t>
      </w:r>
      <w:r>
        <w:rPr>
          <w:rFonts w:ascii="Calibri" w:hAnsi="Calibri"/>
          <w:b w:val="0"/>
          <w:i w:val="0"/>
          <w:color w:val="334E68"/>
          <w:sz w:val="21"/>
        </w:rPr>
        <w:t xml:space="preserve"> "O primeiro livro a traduzir a biomecânica corneana em uma linguagem vetorial para o planejamento prospectivo de ICRS, validado por análise de elementos finitos."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4. Multimídia e Material Suplementar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Figuras de FEM em alta resolução</w:t>
      </w:r>
      <w:r>
        <w:rPr>
          <w:rFonts w:ascii="Calibri" w:hAnsi="Calibri"/>
          <w:b w:val="0"/>
          <w:i w:val="0"/>
          <w:color w:val="222222"/>
          <w:sz w:val="22"/>
        </w:rPr>
        <w:t xml:space="preserve"> (300 dpi, prontas para publicação)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Vídeos cirúrgicos</w:t>
      </w:r>
      <w:r>
        <w:rPr>
          <w:rFonts w:ascii="Calibri" w:hAnsi="Calibri"/>
          <w:b w:val="0"/>
          <w:i w:val="0"/>
          <w:color w:val="222222"/>
          <w:sz w:val="22"/>
        </w:rPr>
        <w:t xml:space="preserve"> com sobreposição da AVBC (planejado)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Matriz de decisão interativa</w:t>
      </w:r>
      <w:r>
        <w:rPr>
          <w:rFonts w:ascii="Calibri" w:hAnsi="Calibri"/>
          <w:b w:val="0"/>
          <w:i w:val="0"/>
          <w:color w:val="222222"/>
          <w:sz w:val="22"/>
        </w:rPr>
        <w:t xml:space="preserve"> (companheiro web)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Scripts em Python</w:t>
      </w:r>
      <w:r>
        <w:rPr>
          <w:rFonts w:ascii="Calibri" w:hAnsi="Calibri"/>
          <w:b w:val="0"/>
          <w:i w:val="0"/>
          <w:color w:val="222222"/>
          <w:sz w:val="22"/>
        </w:rPr>
        <w:t xml:space="preserve"> para extração vetorial (repositório GitHub, código aberto)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Arquivos de modelo FEBio</w:t>
      </w:r>
      <w:r>
        <w:rPr>
          <w:rFonts w:ascii="Calibri" w:hAnsi="Calibri"/>
          <w:b w:val="0"/>
          <w:i w:val="0"/>
          <w:color w:val="222222"/>
          <w:sz w:val="22"/>
        </w:rPr>
        <w:t xml:space="preserve"> (.feb) para reprodutibilidade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5. Cronograma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Duração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Conteúdo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Submissão da proposta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Mês 0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Este documento + 2 capítulos de amostra (9, 10)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Contrato e planejamento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Meses 1–2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Acordo editorial, finalização de coautores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Parte I (Fundamentos)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Meses 3–6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Capítulos 1–4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Parte II (Arcabouço AVBC)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Meses 7–10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Capítulos 5–9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Parte III (Validação)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Meses 11–14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Capítulos 10–13, casos clínicos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Parte IV (Fronteiras)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Meses 15–16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Capítulos 14–16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Revisão e edição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Meses 17–18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Revisão por pares, edição de texto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Publicação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Mês 20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</w:p>
        </w:tc>
      </w:tr>
    </w:tbl>
    <w:p>
      <w:pPr>
        <w:spacing w:before="120" w:after="120"/>
      </w:pP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6. Capítulos de Amostra</w:t>
      </w:r>
    </w:p>
    <w:p>
      <w:r>
        <w:rPr>
          <w:rFonts w:ascii="Calibri" w:hAnsi="Calibri"/>
          <w:b w:val="0"/>
          <w:i w:val="0"/>
          <w:color w:val="222222"/>
          <w:sz w:val="22"/>
        </w:rPr>
        <w:t>Dois rascunhos completos de capítulos acompanham esta proposta: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Capítulo 9: A Classificação AVBC Integrada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A principal contribuição original. Contém a Matriz de Decisão Biomecânica, o fluxo de trabalho clínico e a diferenciação em relação aos nomogramas.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Capítulo 10: Validação Computacional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Metodologia completa de FEM e resultados de 34 simulações. Demonstra rastreabilidade e rigor quantitativo.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7. Declaração do Autor</w:t>
      </w:r>
    </w:p>
    <w:p>
      <w:pPr>
        <w:spacing w:before="80" w:after="120" w:line="276" w:lineRule="auto"/>
        <w:ind w:left="720" w:right="720"/>
      </w:pPr>
      <w:r>
        <w:rPr>
          <w:rFonts w:ascii="Calibri" w:hAnsi="Calibri"/>
          <w:b w:val="0"/>
          <w:i w:val="0"/>
          <w:color w:val="334E68"/>
          <w:sz w:val="21"/>
        </w:rPr>
        <w:t>Este livro é o primeiro a propor uma linguagem vetorial padronizada para o planejamento prospectivo de segmentos de anéis intraestromais, integrando a avaliação óptica, topográfica e biomecânica em um arcabouço de decisão unificado validado por análise de elementos finitos.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r>
        <w:rPr>
          <w:rFonts w:ascii="Calibri" w:hAnsi="Calibri"/>
          <w:b w:val="0"/>
          <w:i/>
          <w:color w:val="222222"/>
          <w:sz w:val="22"/>
        </w:rPr>
        <w:t>Submissão para: AuthorQuery@elsevier.com</w:t>
      </w:r>
    </w:p>
    <w:p>
      <w:r>
        <w:rPr>
          <w:rFonts w:ascii="Calibri" w:hAnsi="Calibri"/>
          <w:b w:val="0"/>
          <w:i/>
          <w:color w:val="222222"/>
          <w:sz w:val="22"/>
        </w:rPr>
        <w:t>Formato: Elsevier Health Sciences Book Proposal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B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after="80"/>
      <w:contextualSpacing/>
    </w:pPr>
    <w:rPr>
      <w:rFonts w:ascii="Calibri" w:hAnsi="Calibri"/>
      <w:color w:val="22222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76" w:lineRule="auto" w:after="80"/>
      <w:contextualSpacing/>
    </w:pPr>
    <w:rPr>
      <w:rFonts w:ascii="Calibri" w:hAnsi="Calibri"/>
      <w:color w:val="222222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