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B365D" w:sz="12" w:space="3"/>
        </w:pBdr>
        <w:spacing w:before="680" w:after="340"/>
        <w:jc w:val="left"/>
      </w:pPr>
      <w:r>
        <w:rPr>
          <w:b/>
          <w:bCs/>
          <w:color w:val="1B365D"/>
          <w:sz w:val="36"/>
          <w:szCs w:val="36"/>
          <w:rFonts w:ascii="Times New Roman" w:cs="Times New Roman" w:eastAsia="Times New Roman" w:hAnsi="Times New Roman"/>
        </w:rPr>
        <w:t xml:space="preserve">Capítulo 3 — Classificação do Ceratocone e Fenótipos: O Mapa Antes da Cirurgia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METADADOS DO CAPÍTULO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chapter_id: CH-003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title: "Classificação do Ceratocone e Fenótipos: Qual Cone Você Está Operando?"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language: PT-BR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status: draft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version: 0.1.0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CONTEÚDO INSTRUCIONAL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Introdução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Antes de decidir qual anel usar, o cirurgião precisa responder uma pergunta simples mas fundamental: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"Qual tipo de cone é este?"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resposta a essa pergunta determina qual vetor priorizar, qual anel selecionar e qual resultado esperar. Este capítulo apresenta os fenótipos do ceratocone com uma perspectiva vetorial — cada tipo de cone demanda uma combinação diferente de vetores.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Os 5 Padrões Fundamentais (Classificação Alfonso / AJL)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classificação fenotípica deste Atlas adota os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5 Padrões de Deformação do Plácido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(baseados em Alfonso / nomograma AJL), com subtipos: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Padrão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Morfologia no Plácido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Coma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Vetor Dominante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P1 — Circular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Anéis ovais simétricos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Baixo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 (Vetor Tangencial)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P2 — Oval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Compressão inferior, sagging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Vertical (Z3-1)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(Vetor Torsional)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+ </w:t>
            </w: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(Vetor Radial)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P3 — Duck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Dois lobos, cabeça comprimida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+ VR local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P4 — Snowman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Duplo círculo em cascata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Muito alto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duplo + Vτ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P5 — Complexo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Anéis fragmentados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Variável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Análise individual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Subtipos Críticos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Duck Tipo 1 (Simples):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Eixo topográfico = eixo comático. Planejamento convencional funciona.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Duck Tipo 2 (Rotacional):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Eixo topográfico ≠ eixo comático.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Planejamento por aberrometria obrigatório.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Snowman Tipo 1 (Clássico):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Dupla zona coaxial vertical. Polo inferior dominante.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Snowman Tipo 2 (Assimétrico Complexo):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Um polo lateralizado. Risco de dupla ectasia funcional.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Tabela de Decisão Atualizada: Padrão → Vetor → Anel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Padrão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Subtipo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Vetor Dominante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Anel Preferido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Zona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Simétrico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5–6 mm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+ VR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Segmento único inferior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 mm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Tipo 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+ VR local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Assimétrico 160°–210°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 mm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Tipo 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Fτ (LDM)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Guiado por aberrometria / ENM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 mm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P4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Tipo 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duplo + Vτ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Base variável inferior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 mm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P4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Tipo 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Fτ + VR duplo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Base progressiva (Pro+)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5 mm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P5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—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Individual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Personalizado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Variável</w:t>
            </w:r>
          </w:p>
        </w:tc>
      </w:tr>
    </w:tbl>
    <w:p>
      <w:pPr>
        <w:spacing w:before="0" w:after="226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 Classificação de Amsler-Krumeich vs. A Classificação Vetorial</w:t>
      </w:r>
    </w:p>
    <w:p>
      <w:pPr>
        <w:spacing w:line="276" w:before="0" w:after="170"/>
        <w:jc w:val="both"/>
      </w:pP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A classificação tradicional de Amsler-Krumeich divide o ceratocone em estágios (I–IV) baseados em K-max, astigmatismo e visão. Embora útil para estadiamento da doença, ela é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insuficiente para planejamento cirúrgico de anéis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porque: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considera a posição do ápice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(dois cones estágio III podem ter ápices em posições completamente diferentes).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diferencia padrões morfológicos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(um P1 e um P3 podem ter K-max idênticos mas exigir estratégias opostas).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prevê a distribuição de vetores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necessária.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identifica a discordância axial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(crucial nos subtipos Duck 2 e Snowman 2).</w:t>
      </w: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O Que o Plácido Mostra em Cada Padrão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Padrão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Assinatura dos Anéis de Plácido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Fibras de Colágeno (Micro)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Anéis elípticos simétricos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Tensão desigual entre meridianos, mas simétrica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Compressão inferior, espaçamento superior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Lamelas inferiores frouxas, deslizadas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Dois centros de compressão: "cabeça" e "corpo"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Dois focos de degradação lamelar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P4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Duplo círculo com cintura de transição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Duas zonas de falência lamelar em cascata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P5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Anéis fragmentados, padrão caótico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Múltiplos focos de destruição sem hierarquia</w:t>
            </w:r>
          </w:p>
        </w:tc>
      </w:tr>
    </w:tbl>
    <w:p>
      <w:pPr>
        <w:spacing w:before="0" w:after="226"/>
      </w:pPr>
    </w:p>
    <w:p>
      <w:pPr>
        <w:pStyle w:val="Heading4"/>
        <w:spacing w:before="226" w:after="56"/>
      </w:pPr>
      <w:r>
        <w:rPr>
          <w:b/>
          <w:bCs/>
          <w:color w:val="1B365D"/>
          <w:sz w:val="22"/>
          <w:szCs w:val="22"/>
          <w:rFonts w:ascii="Times New Roman" w:cs="Times New Roman" w:eastAsia="Times New Roman" w:hAnsi="Times New Roman"/>
        </w:rPr>
        <w:t xml:space="preserve">💡 O Que Cada Fenótipo Significa na Escala das 3 Fibras (Síntese do Autor)</w:t>
      </w:r>
    </w:p>
    <w:tbl>
      <w:tblPr>
        <w:tblW w:type="pct" w:w="100%"/>
        <w:tblBorders>
          <w:top w:val="single" w:color="1B365D" w:sz="8"/>
          <w:left w:val="single" w:color="1B365D" w:sz="8"/>
          <w:bottom w:val="single" w:color="1B365D" w:sz="8"/>
          <w:right w:val="single" w:color="1B365D" w:sz="8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Padrão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🔴 Radiais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🔵 Tangenciais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🟢 Oblíquas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B365D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FFFFFF"/>
                <w:sz w:val="20"/>
                <w:szCs w:val="20"/>
                <w:rFonts w:ascii="Times New Roman" w:cs="Times New Roman" w:eastAsia="Times New Roman" w:hAnsi="Times New Roman"/>
              </w:rPr>
              <w:t xml:space="preserve">O Que o Anel Precisa Fazer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P1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Tensão desigual entre meridianos (K1≠K2), mas simétrica superior/inferior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Intactas no limbo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Parcialmente degradadas, mas simétricas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VT para redistribuir tensão entre meridianos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P2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Inferiores frouxas, superiores tensas (assimetria vertical)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Intactas no limbo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Degradadas inferiormente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zona de deslizamento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para rotacionar ápice + VR para aplainamento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P3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Dois focos de frouxidão (cabeça + corpo do duck)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Intactas no limbo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Dois focos de degradação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separados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Vτ preciso para cada foco + VR local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P4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Dois centros de protrusão em cascata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Intactas no limbo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Degradação em cascata</w:t>
            </w: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 — oblíquas cedem sequencialmente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EEF2F7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VR duplo + Vτ complexo</w:t>
            </w:r>
          </w:p>
        </w:tc>
      </w:tr>
      <w:tr>
        <w:trPr>
          <w:tblHeader w:val="false"/>
        </w:trPr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P5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Múltiplos focos de frouxidão sem padrão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Podem estar afetadas até no limbo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b/>
                <w:bCs/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Destruição generalizada</w:t>
            </w:r>
          </w:p>
        </w:tc>
        <w:tc>
          <w:tcPr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FFFFFF" w:val="clear"/>
            <w:tcMar>
              <w:top w:type="dxa" w:w="85"/>
              <w:left w:type="dxa" w:w="113"/>
              <w:bottom w:type="dxa" w:w="85"/>
              <w:right w:type="dxa" w:w="113"/>
            </w:tcMar>
          </w:tcPr>
          <w:p>
            <w:pPr>
              <w:spacing w:before="85" w:after="85"/>
              <w:jc w:val="left"/>
            </w:pPr>
            <w:r>
              <w:rPr>
                <w:color w:val="1A1A1A"/>
                <w:sz w:val="19"/>
                <w:szCs w:val="19"/>
                <w:rFonts w:ascii="Times New Roman" w:cs="Times New Roman" w:eastAsia="Times New Roman" w:hAnsi="Times New Roman"/>
              </w:rPr>
              <w:t xml:space="preserve">Análise individual — candidato a CXL primeiro</w:t>
            </w:r>
          </w:p>
        </w:tc>
      </w:tr>
    </w:tbl>
    <w:p>
      <w:pPr>
        <w:spacing w:before="0" w:after="226"/>
      </w:pPr>
    </w:p>
    <w:p>
      <w:pPr>
        <w:pBdr>
          <w:left w:val="single" w:color="2E5FAB" w:sz="16" w:space="4"/>
        </w:pBdr>
        <w:shd w:fill="EEF4FF" w:val="clear"/>
        <w:spacing w:line="260" w:before="170" w:after="170"/>
        <w:ind w:left="566" w:right="566"/>
      </w:pP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  <w:r>
        <w:rPr>
          <w:i/>
          <w:iCs/>
          <w:color w:val="4A4A4A"/>
          <w:sz w:val="21"/>
          <w:szCs w:val="21"/>
        </w:rPr>
      </w:r>
    </w:p>
    <w:p>
      <w:pPr>
        <w:spacing w:before="0" w:after="113"/>
      </w:pP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Como Classificar na Prática (Fluxograma Atualizado)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Identifique o padrão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no Plácido (P1–P5)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 P3 ou P4: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determine o subtipo (Tipo 1 vs Tipo 2) usando aberrometria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Eixo topográfico = eixo comático? → Tipo 1</w:t>
      </w:r>
    </w:p>
    <w:p>
      <w:pPr>
        <w:spacing w:before="0" w:after="85" w:line="260"/>
        <w:ind w:left="566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• 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Eixos divergentes? →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Tipo 2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(planejamento por aberrometria obrigatório)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Determine a escala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de severidade (A/B/C) conforme P1-02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Consulte a Tabela de Decisão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para selecionar o vetor e o anel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Armadilhas de Classificação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Classificar pela cor do mapa e não pelos números.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 escala de cores do topógrafo engana. Sempre conferir K-max, posição do ápice e coma numericamente.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Usar Amsler-Krumeich para escolher o anel.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"Estágio II = anel de 250 μm" é perigoso. Dois estágios II podem ter padrões P1 e P3 Duck — estratégias diametralmente opostas.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Ignorar a discordância axial.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Nos padrões P3 Tipo 2 e P4 Tipo 2, planejar pelo K-max gera coma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piorado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no pós-operatório.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4.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Não diferenciar subtipos.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Tratar todo Duck como igual pode resultar em implante no eixo errado.</w:t>
      </w:r>
    </w:p>
    <w:p>
      <w:pPr>
        <w:pStyle w:val="Heading3"/>
        <w:spacing w:before="340" w:after="113"/>
      </w:pPr>
      <w:r>
        <w:rPr>
          <w:b/>
          <w:bCs/>
          <w:i/>
          <w:iCs/>
          <w:color w:val="4A7FC1"/>
          <w:sz w:val="24"/>
          <w:szCs w:val="24"/>
          <w:rFonts w:ascii="Times New Roman" w:cs="Times New Roman" w:eastAsia="Times New Roman" w:hAnsi="Times New Roman"/>
        </w:rPr>
        <w:t xml:space="preserve">Pérolas de Classificação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padrão é mais importante que o estágio.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O estágio diz "quanto avançou." O padrão diz "qual vetor precisa." Para o anel, o que importa é o vetor.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Sempre comece pela posição do ápice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+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compare com o eixo do coma.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É a pergunta mais informativa e a mais negligenciada.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3.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O fluxograma de 4 passos (Padrão → Subtipo → Escala → Tabela) é 90% do planejamento.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ESPECIFICAÇÃO VISUAL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1.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3.1 — Os 5 Padrões Fenotípicos no Plácido: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Cinco mapas topográficos circulares lado a lado mostrando P1 (Circular), P2 (Oval), P3 (Duck), P4 (Snowman), P5 (Complexo).</w:t>
      </w:r>
    </w:p>
    <w:p>
      <w:pPr>
        <w:spacing w:before="0" w:after="85" w:line="260"/>
        <w:ind w:left="283"/>
      </w:pPr>
      <w:r>
        <w:rPr>
          <w:b/>
          <w:bCs/>
          <w:color w:val="2E5FAB"/>
          <w:sz w:val="22"/>
          <w:szCs w:val="22"/>
          <w:rFonts w:ascii="Times New Roman" w:cs="Times New Roman" w:eastAsia="Times New Roman" w:hAnsi="Times New Roman"/>
        </w:rPr>
        <w:t xml:space="preserve">2. </w:t>
      </w:r>
      <w:r>
        <w:rPr>
          <w:b/>
          <w:bCs/>
          <w:color w:val="1A1A1A"/>
          <w:sz w:val="22"/>
          <w:szCs w:val="22"/>
          <w:rFonts w:ascii="Times New Roman" w:cs="Times New Roman" w:eastAsia="Times New Roman" w:hAnsi="Times New Roman"/>
        </w:rPr>
        <w:t xml:space="preserve">Figura 3.2 — Fluxograma de Classificação:</w:t>
      </w:r>
      <w:r>
        <w:rPr>
          <w:color w:val="1A1A1A"/>
          <w:sz w:val="22"/>
          <w:szCs w:val="22"/>
          <w:rFonts w:ascii="Times New Roman" w:cs="Times New Roman" w:eastAsia="Times New Roman" w:hAnsi="Times New Roman"/>
        </w:rPr>
        <w:t xml:space="preserve"> As 4 perguntas em formato de árvore decisória levando ao nomograma vetorial.</w:t>
      </w:r>
    </w:p>
    <w:p>
      <w:pPr>
        <w:spacing w:before="226" w:after="113"/>
        <w:jc w:val="center"/>
      </w:pPr>
      <w:r>
        <w:drawing>
          <wp:inline distT="0" distB="0" distL="0" distR="0">
            <wp:extent cx="36004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3.1: Os 5 Padrões do Ceratocone no Plácido — P1 Circular (Nipple), P2 Oval (Sagging), P3 Duck (dois lobos), P4 Snowman (duplo círculo), P5 Complexo (fragmentado). Cada padrão determina a hierarquia de vetores.</w:t>
      </w:r>
    </w:p>
    <w:p>
      <w:pPr>
        <w:spacing w:before="226" w:after="113"/>
        <w:jc w:val="center"/>
      </w:pPr>
      <w:r>
        <w:drawing>
          <wp:inline distT="0" distB="0" distL="0" distR="0">
            <wp:extent cx="360045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45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B0C4DE" w:sz="4" w:space="2"/>
        </w:pBdr>
        <w:spacing w:before="113" w:after="340"/>
        <w:jc w:val="center"/>
      </w:pPr>
      <w:r>
        <w:rPr>
          <w:i/>
          <w:iCs/>
          <w:sz w:val="18"/>
          <w:szCs w:val="18"/>
          <w:rFonts w:ascii="Times New Roman" w:cs="Times New Roman" w:eastAsia="Times New Roman" w:hAnsi="Times New Roman"/>
        </w:rPr>
        <w:t xml:space="preserve">Figura 3.2: Fluxograma de Classificação Vetorial — 4 Perguntas: Padrão → Subtipo (P3/P4) → Escala de Severidade (A/B/C) → Hierarquia de Vetores → Prescrição do Anel</w:t>
      </w:r>
    </w:p>
    <w:p>
      <w:pPr>
        <w:pBdr>
          <w:bottom w:val="single" w:color="1B365D" w:sz="6"/>
        </w:pBdr>
        <w:spacing w:before="226" w:after="226"/>
      </w:pPr>
    </w:p>
    <w:p>
      <w:pPr>
        <w:pStyle w:val="Heading2"/>
        <w:spacing w:before="510" w:after="170"/>
      </w:pPr>
      <w:r>
        <w:rPr>
          <w:b/>
          <w:bCs/>
          <w:color w:val="2E5FAB"/>
          <w:sz w:val="28"/>
          <w:szCs w:val="28"/>
          <w:rFonts w:ascii="Times New Roman" w:cs="Times New Roman" w:eastAsia="Times New Roman" w:hAnsi="Times New Roman"/>
        </w:rPr>
        <w:t xml:space="preserve">REFERÊNCIAS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references: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"Amsler-Krumeich Classification of Keratoconus"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"Classificação tradicional de referência."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"ABCD Keratoconus Grading System (Belin-Ambrósio)"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"Sistema moderno que considera parâmetros tomográficos."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"Keratoconus Phenotypes and ICRS Selection"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"Evidência para a correlação fenótipo → tipo de anel → resultado."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- title: "Topographic Cone Classification and Surgical Planning"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5F5F5" w:val="clear"/>
        <w:spacing w:before="0" w:after="0" w:line="240"/>
        <w:ind w:left="283" w:right="283"/>
      </w:pPr>
      <w:r>
        <w:rPr>
          <w:color w:val="1A1A1A"/>
          <w:sz w:val="18"/>
          <w:szCs w:val="18"/>
          <w:rFonts w:ascii="Courier New" w:cs="Courier New" w:eastAsia="Courier New" w:hAnsi="Courier New"/>
        </w:rPr>
        <w:t xml:space="preserve">    relevance: "Framework para classificação fenotípica orientada a planejamento cirúrgico."</w:t>
      </w:r>
    </w:p>
    <w:p>
      <w:pPr>
        <w:spacing w:before="0" w:after="170"/>
      </w:pPr>
    </w:p>
    <w:p>
      <w:pPr>
        <w:pBdr>
          <w:bottom w:val="single" w:color="1B365D" w:sz="6"/>
        </w:pBdr>
        <w:spacing w:before="226" w:after="226"/>
      </w:pPr>
    </w:p>
    <w:p>
      <w:pPr>
        <w:spacing w:line="276" w:before="0" w:after="170"/>
        <w:jc w:val="both"/>
      </w:pPr>
      <w:r>
        <w:rPr>
          <w:i/>
          <w:iCs/>
          <w:color w:val="1A1A1A"/>
          <w:sz w:val="22"/>
          <w:szCs w:val="22"/>
          <w:rFonts w:ascii="Times New Roman" w:cs="Times New Roman" w:eastAsia="Times New Roman" w:hAnsi="Times New Roman"/>
        </w:rPr>
        <w:t xml:space="preserve">Pipeline Status: DRAFT v0.6.0 — Revisado pelo Engenheiro Vetorial</w:t>
      </w:r>
    </w:p>
    <w:sectPr>
      <w:headerReference w:type="default" r:id="rId6"/>
      <w:footerReference w:type="default" r:id="rId7"/>
      <w:pgSz w:w="11905" w:h="16837" w:orient="portrait"/>
      <w:pgMar w:top="1417" w:right="1133" w:bottom="1417" w:left="1700" w:header="680" w:footer="566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65D" w:sz="6"/>
      </w:pBdr>
      <w:jc w:val="center"/>
    </w:pPr>
    <w:r>
      <w:rPr>
        <w:color w:val="4A4A4A"/>
        <w:sz w:val="18"/>
        <w:szCs w:val="18"/>
        <w:rFonts w:ascii="Times New Roman" w:cs="Times New Roman" w:eastAsia="Times New Roman" w:hAnsi="Times New Roman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65D" w:sz="6"/>
      </w:pBdr>
      <w:tabs>
        <w:tab w:val="right" w:pos="9070"/>
      </w:tabs>
    </w:pPr>
    <w:r>
      <w:rPr>
        <w:color w:val="1B365D"/>
        <w:sz w:val="16"/>
        <w:szCs w:val="16"/>
        <w:smallCaps/>
        <w:rFonts w:ascii="Times New Roman" w:cs="Times New Roman" w:eastAsia="Times New Roman" w:hAnsi="Times New Roman"/>
      </w:rPr>
      <w:t xml:space="preserve">Atlas Vetorial ICRS</w:t>
    </w:r>
    <w:r>
      <w:t xml:space="preserve">	</w:t>
    </w:r>
    <w:r>
      <w:rPr>
        <w:color w:val="4A4A4A"/>
        <w:sz w:val="16"/>
        <w:szCs w:val="16"/>
        <w:smallCaps/>
        <w:rFonts w:ascii="Times New Roman" w:cs="Times New Roman" w:eastAsia="Times New Roman" w:hAnsi="Times New Roman"/>
      </w:rPr>
      <w:t xml:space="preserve">Capítulo 3 — Classificação do Ceratocone e Fenótipos: O Mapa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Times New Roman" w:cs="Times New Roman" w:eastAsia="Times New Roman" w:hAnsi="Times New Roman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fovi1df3skk-il6an3r35.png"/><Relationship Id="rId9" Type="http://schemas.openxmlformats.org/officeDocument/2006/relationships/image" Target="media/2bhgmjc4w0k1y6nvrbyrj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Capítulo 3 — Classificação do Ceratocone e Fenótipos: O Mapa Antes da Cirurgia</dc:title>
  <dc:creator>Atlas Vetorial ICRS — Dr. Miguel Reis</dc:creator>
  <dc:description>Atlas Vetorial ICRS — Editora Cultura Médica Brasil</dc:description>
  <cp:lastModifiedBy>Un-named</cp:lastModifiedBy>
  <cp:revision>1</cp:revision>
  <dcterms:created xsi:type="dcterms:W3CDTF">2026-04-06T20:16:52.917Z</dcterms:created>
  <dcterms:modified xsi:type="dcterms:W3CDTF">2026-04-06T20:16:52.917Z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