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1B365D" w:sz="12" w:space="3"/>
        </w:pBdr>
        <w:spacing w:before="680" w:after="340"/>
        <w:jc w:val="left"/>
      </w:pPr>
      <w:r>
        <w:rPr>
          <w:b/>
          <w:bCs/>
          <w:color w:val="1B365D"/>
          <w:sz w:val="36"/>
          <w:szCs w:val="36"/>
          <w:rFonts w:ascii="Times New Roman" w:cs="Times New Roman" w:eastAsia="Times New Roman" w:hAnsi="Times New Roman"/>
        </w:rPr>
        <w:t xml:space="preserve">Referência Rápida — Atlas Vetorial ICRS</w:t>
      </w:r>
    </w:p>
    <w:p>
      <w:pPr>
        <w:pBdr>
          <w:left w:val="single" w:color="2E5FAB" w:sz="16" w:space="4"/>
        </w:pBdr>
        <w:shd w:fill="EEF4FF" w:val="clear"/>
        <w:spacing w:line="260" w:before="170" w:after="170"/>
        <w:ind w:left="566" w:right="566"/>
      </w:pPr>
      <w:r>
        <w:rPr>
          <w:i/>
          <w:iCs/>
          <w:color w:val="4A4A4A"/>
          <w:sz w:val="21"/>
          <w:szCs w:val="21"/>
        </w:rPr>
      </w:r>
    </w:p>
    <w:p>
      <w:pPr>
        <w:spacing w:before="0" w:after="113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Forças do Cone (🔴) vs Vetores do Anel (🔵)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🔴 Força do Cone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🔵 Vetor do Anel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Ação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Radial)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Compressão → Aplainamento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Tangencial)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Tensão assimétrica → Redistribuição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(Força Torsional)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(Vetor Torsional)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Rotação → Contra-rotação</w:t>
            </w:r>
          </w:p>
        </w:tc>
      </w:tr>
    </w:tbl>
    <w:p>
      <w:pPr>
        <w:spacing w:before="0" w:after="226"/>
      </w:pPr>
    </w:p>
    <w:p>
      <w:pPr>
        <w:spacing w:line="276" w:before="0" w:after="170"/>
        <w:jc w:val="both"/>
      </w:pP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Regra Cardinal: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V_anel + F_cone → 0 (ideal) (neutralização perfeita)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Os 5 Passos do Nomograma Vetorial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1. CLASSIFICAR o fenótipo (Globoso (Nipple), Oval, Globoso, Irregular)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2. HIERARQUIZAR os vetores (qual priorizar)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3. SELECIONAR parâmetros (espessura, arco, assimetria)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4. CONFIGURAR segmentos (quantos, quais, onde)</w:t>
      </w:r>
    </w:p>
    <w:p>
      <w:pPr>
        <w:pBdr>
          <w:top w:val="single" w:color="CCCCCC" w:sz="4"/>
          <w:bottom w:val="single" w:color="CCCCCC" w:sz="4"/>
          <w:left w:val="single" w:color="CCCCCC" w:sz="4"/>
          <w:right w:val="single" w:color="CCCCCC" w:sz="4"/>
        </w:pBdr>
        <w:shd w:fill="F5F5F5" w:val="clear"/>
        <w:spacing w:before="0" w:after="0" w:line="240"/>
        <w:ind w:left="283" w:right="283"/>
      </w:pPr>
      <w:r>
        <w:rPr>
          <w:color w:val="1A1A1A"/>
          <w:sz w:val="18"/>
          <w:szCs w:val="18"/>
          <w:rFonts w:ascii="Courier New" w:cs="Courier New" w:eastAsia="Courier New" w:hAnsi="Courier New"/>
        </w:rPr>
        <w:t xml:space="preserve">5. DEFINIR eixo da incisão (K-steep ± ajuste coma)</w:t>
      </w:r>
    </w:p>
    <w:p>
      <w:pPr>
        <w:spacing w:before="0" w:after="170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Hierarquia por Fenótipo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Fenótipo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1ª Prioridade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2ª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3ª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Nipple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(aplainar)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≈ 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Oval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(torque)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VComa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Globoso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VR (máximo)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Vτ ≈ 0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Irregular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Análise individual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—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Parâmetros Críticos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Parâmetro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Valor Ótimo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Fonte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Profundidade ICRS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70–75%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(máx 80%)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Efeito da altura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84%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da mudança de curvatura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FEM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Rigidez anterior/posterior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3:1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Brillouin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Orientação fibras normal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66%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ortogonais (N-T/S-I)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KC: reorientação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90°/180° →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60°/120°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Perda de massa colágeno KC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Apenas </w:t>
            </w: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~5%</w:t>
            </w: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 (redistribuição)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WAXS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Métricas do Atlas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Sigla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Nome Completo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O Que Mede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IDT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Índice de Distorção Tangencial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Grau de assimetria dos anéis de Plácido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COF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Centro Óptico Funcional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Ponto de equilíbrio vetorial da topografia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ENM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de Neutralização Mecânica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Eixo ótimo de implantação do anel</w:t>
            </w:r>
          </w:p>
        </w:tc>
      </w:tr>
    </w:tbl>
    <w:p>
      <w:pPr>
        <w:spacing w:before="0" w:after="226"/>
      </w:pP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Limitações do Plácido (CH-008)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1.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Linearidade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Assume resposta linear, córnea é hiperelástica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2.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Rigidez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Assume rigidez homogênea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3.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Bidimensionalidade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Lê apenas a superfície anterior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4.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Desacoplamento A/P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Anterior e posterior divergem 15-40°</w:t>
      </w:r>
    </w:p>
    <w:p>
      <w:pPr>
        <w:spacing w:before="0" w:after="85" w:line="260"/>
        <w:ind w:left="283"/>
      </w:pPr>
      <w:r>
        <w:rPr>
          <w:b/>
          <w:bCs/>
          <w:color w:val="2E5FAB"/>
          <w:sz w:val="22"/>
          <w:szCs w:val="22"/>
          <w:rFonts w:ascii="Times New Roman" w:cs="Times New Roman" w:eastAsia="Times New Roman" w:hAnsi="Times New Roman"/>
        </w:rPr>
        <w:t xml:space="preserve">5. </w:t>
      </w:r>
      <w:r>
        <w:rPr>
          <w:b/>
          <w:bCs/>
          <w:color w:val="1A1A1A"/>
          <w:sz w:val="22"/>
          <w:szCs w:val="22"/>
          <w:rFonts w:ascii="Times New Roman" w:cs="Times New Roman" w:eastAsia="Times New Roman" w:hAnsi="Times New Roman"/>
        </w:rPr>
        <w:t xml:space="preserve">Mascaramento epitelial</w:t>
      </w:r>
      <w:r>
        <w:rPr>
          <w:color w:val="1A1A1A"/>
          <w:sz w:val="22"/>
          <w:szCs w:val="22"/>
          <w:rFonts w:ascii="Times New Roman" w:cs="Times New Roman" w:eastAsia="Times New Roman" w:hAnsi="Times New Roman"/>
        </w:rPr>
        <w:t xml:space="preserve"> — Epitélio suaviza a superfície (donut pattern)</w:t>
      </w:r>
    </w:p>
    <w:p>
      <w:pPr>
        <w:pBdr>
          <w:bottom w:val="single" w:color="1B365D" w:sz="6"/>
        </w:pBdr>
        <w:spacing w:before="226" w:after="226"/>
      </w:pPr>
    </w:p>
    <w:p>
      <w:pPr>
        <w:pStyle w:val="Heading2"/>
        <w:spacing w:before="510" w:after="170"/>
      </w:pPr>
      <w:r>
        <w:rPr>
          <w:b/>
          <w:bCs/>
          <w:color w:val="2E5FAB"/>
          <w:sz w:val="28"/>
          <w:szCs w:val="28"/>
          <w:rFonts w:ascii="Times New Roman" w:cs="Times New Roman" w:eastAsia="Times New Roman" w:hAnsi="Times New Roman"/>
        </w:rPr>
        <w:t xml:space="preserve">Cores do Atlas</w:t>
      </w:r>
    </w:p>
    <w:tbl>
      <w:tblPr>
        <w:tblW w:type="pct" w:w="100%"/>
        <w:tblBorders>
          <w:top w:val="single" w:color="1B365D" w:sz="8"/>
          <w:left w:val="single" w:color="1B365D" w:sz="8"/>
          <w:bottom w:val="single" w:color="1B365D" w:sz="8"/>
          <w:right w:val="single" w:color="1B365D" w:sz="8"/>
          <w:insideH w:val="single" w:color="auto" w:sz="4"/>
          <w:insideV w:val="single" w:color="auto" w:sz="4"/>
        </w:tblBorders>
        <w:tblLayout w:type="fixed"/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Cor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1B365D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b/>
                <w:bCs/>
                <w:color w:val="FFFFFF"/>
                <w:sz w:val="20"/>
                <w:szCs w:val="20"/>
                <w:rFonts w:ascii="Times New Roman" w:cs="Times New Roman" w:eastAsia="Times New Roman" w:hAnsi="Times New Roman"/>
              </w:rPr>
              <w:t xml:space="preserve">Significado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🔴 Vermelho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Força do cone (F) — o problema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🔵 Azul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Vetor do anel (V) — a correção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🟢 Verde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FFFFFF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Resultante neutralizada</w:t>
            </w:r>
          </w:p>
        </w:tc>
      </w:tr>
      <w:tr>
        <w:trPr>
          <w:tblHeader w:val="false"/>
        </w:trPr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🟡 Amarelo</w:t>
            </w:r>
          </w:p>
        </w:tc>
        <w:tc>
          <w:tcPr>
            <w:tcBorders>
              <w:top w:val="single" w:color="B0C4DE" w:sz="4"/>
              <w:left w:val="single" w:color="B0C4DE" w:sz="4"/>
              <w:bottom w:val="single" w:color="B0C4DE" w:sz="4"/>
              <w:right w:val="single" w:color="B0C4DE" w:sz="4"/>
            </w:tcBorders>
            <w:shd w:fill="EEF2F7" w:val="clear"/>
            <w:tcMar>
              <w:top w:type="dxa" w:w="85"/>
              <w:left w:type="dxa" w:w="113"/>
              <w:bottom w:type="dxa" w:w="85"/>
              <w:right w:type="dxa" w:w="113"/>
            </w:tcMar>
          </w:tcPr>
          <w:p>
            <w:pPr>
              <w:spacing w:before="85" w:after="85"/>
              <w:jc w:val="left"/>
            </w:pPr>
            <w:r>
              <w:rPr>
                <w:color w:val="1A1A1A"/>
                <w:sz w:val="19"/>
                <w:szCs w:val="19"/>
                <w:rFonts w:ascii="Times New Roman" w:cs="Times New Roman" w:eastAsia="Times New Roman" w:hAnsi="Times New Roman"/>
              </w:rPr>
              <w:t xml:space="preserve">Neutralização parcial</w:t>
            </w:r>
          </w:p>
        </w:tc>
      </w:tr>
    </w:tbl>
    <w:p>
      <w:pPr>
        <w:spacing w:before="0" w:after="226"/>
      </w:pPr>
    </w:p>
    <w:sectPr>
      <w:headerReference w:type="default" r:id="rId6"/>
      <w:footerReference w:type="default" r:id="rId7"/>
      <w:pgSz w:w="11905" w:h="16837" w:orient="portrait"/>
      <w:pgMar w:top="1417" w:right="1133" w:bottom="1417" w:left="1700" w:header="680" w:footer="566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B365D" w:sz="6"/>
      </w:pBdr>
      <w:jc w:val="center"/>
    </w:pPr>
    <w:r>
      <w:rPr>
        <w:color w:val="4A4A4A"/>
        <w:sz w:val="18"/>
        <w:szCs w:val="18"/>
        <w:rFonts w:ascii="Times New Roman" w:cs="Times New Roman" w:eastAsia="Times New Roman" w:hAnsi="Times New Roman"/>
      </w:rPr>
      <w:t xml:space="preserve">— </w:t>
      <w:fldChar w:fldCharType="begin"/>
      <w:instrText xml:space="preserve">PAGE</w:instrText>
      <w:fldChar w:fldCharType="separate"/>
      <w:fldChar w:fldCharType="end"/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65D" w:sz="6"/>
      </w:pBdr>
      <w:tabs>
        <w:tab w:val="right" w:pos="9070"/>
      </w:tabs>
    </w:pPr>
    <w:r>
      <w:rPr>
        <w:color w:val="1B365D"/>
        <w:sz w:val="16"/>
        <w:szCs w:val="16"/>
        <w:smallCaps/>
        <w:rFonts w:ascii="Times New Roman" w:cs="Times New Roman" w:eastAsia="Times New Roman" w:hAnsi="Times New Roman"/>
      </w:rPr>
      <w:t xml:space="preserve">Atlas Vetorial ICRS</w:t>
    </w:r>
    <w:r>
      <w:t xml:space="preserve">	</w:t>
    </w:r>
    <w:r>
      <w:rPr>
        <w:color w:val="4A4A4A"/>
        <w:sz w:val="16"/>
        <w:szCs w:val="16"/>
        <w:smallCaps/>
        <w:rFonts w:ascii="Times New Roman" w:cs="Times New Roman" w:eastAsia="Times New Roman" w:hAnsi="Times New Roman"/>
      </w:rPr>
      <w:t xml:space="preserve">Referência Rápida — Atlas Vetorial ICRS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A1A"/>
        <w:sz w:val="22"/>
        <w:szCs w:val="22"/>
        <w:rFonts w:ascii="Times New Roman" w:cs="Times New Roman" w:eastAsia="Times New Roman" w:hAnsi="Times New Roma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Referência Rápida — Atlas Vetorial ICRS</dc:title>
  <dc:creator>Atlas Vetorial ICRS — Dr. Miguel Reis</dc:creator>
  <dc:description>Atlas Vetorial ICRS — Editora Cultura Médica Brasil</dc:description>
  <cp:lastModifiedBy>Un-named</cp:lastModifiedBy>
  <cp:revision>1</cp:revision>
  <dcterms:created xsi:type="dcterms:W3CDTF">2026-04-06T20:10:03.970Z</dcterms:created>
  <dcterms:modified xsi:type="dcterms:W3CDTF">2026-04-06T20:10:03.970Z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