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123353</wp:posOffset>
            </wp:positionH>
            <wp:positionV relativeFrom="paragraph">
              <wp:posOffset>209550</wp:posOffset>
            </wp:positionV>
            <wp:extent cx="5153977" cy="1272587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977" cy="1272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spacing w:after="0" w:before="0" w:line="240" w:lineRule="auto"/>
        <w:ind w:left="2127" w:right="0" w:firstLine="0"/>
        <w:jc w:val="center"/>
        <w:rPr>
          <w:b w:val="1"/>
          <w:i w:val="0"/>
          <w:smallCaps w:val="0"/>
          <w:strike w:val="0"/>
          <w:sz w:val="34"/>
          <w:szCs w:val="34"/>
          <w:u w:val="none"/>
          <w:vertAlign w:val="baseli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Plan de Gestión de calidad de SecData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spacing w:after="0" w:before="0" w:line="240" w:lineRule="auto"/>
        <w:ind w:left="2880" w:right="0" w:firstLine="0"/>
        <w:jc w:val="center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spacing w:after="0" w:before="0" w:line="240" w:lineRule="auto"/>
        <w:ind w:left="2880" w:right="0" w:firstLine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Proyecto: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Proyecto Secdata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spacing w:after="0" w:before="0" w:line="240" w:lineRule="auto"/>
        <w:ind w:left="2880" w:right="0" w:firstLine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spacing w:after="0" w:before="0" w:line="240" w:lineRule="auto"/>
        <w:ind w:left="2880" w:right="0" w:firstLine="0"/>
        <w:jc w:val="center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spacing w:after="0" w:before="0" w:line="360" w:lineRule="auto"/>
        <w:ind w:left="3163" w:right="0" w:hanging="283.0000000000001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Fecha: </w:t>
      </w:r>
      <w:r w:rsidDel="00000000" w:rsidR="00000000" w:rsidRPr="00000000">
        <w:rPr>
          <w:sz w:val="22"/>
          <w:szCs w:val="22"/>
          <w:rtl w:val="0"/>
        </w:rPr>
        <w:t xml:space="preserve">06/10/2024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spacing w:after="0" w:before="0" w:line="360" w:lineRule="auto"/>
        <w:ind w:left="3163" w:right="0" w:hanging="283.0000000000001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spacing w:after="0" w:before="0" w:line="360" w:lineRule="auto"/>
        <w:ind w:left="3163" w:right="0" w:hanging="283.0000000000001"/>
        <w:jc w:val="center"/>
        <w:rPr>
          <w:sz w:val="22"/>
          <w:szCs w:val="22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Integrante</w:t>
      </w:r>
      <w:r w:rsidDel="00000000" w:rsidR="00000000" w:rsidRPr="00000000">
        <w:rPr>
          <w:sz w:val="22"/>
          <w:szCs w:val="22"/>
          <w:rtl w:val="0"/>
        </w:rPr>
        <w:t xml:space="preserve"> : Miguel Rubio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spacing w:after="0" w:before="0" w:line="360" w:lineRule="auto"/>
        <w:ind w:left="3163" w:right="0" w:hanging="283.0000000000001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Martin Del Rio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spacing w:after="0" w:before="0" w:line="360" w:lineRule="auto"/>
        <w:ind w:left="3163" w:right="0" w:hanging="283.0000000000001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spacing w:after="0" w:before="0" w:line="360" w:lineRule="auto"/>
        <w:ind w:left="3163" w:right="0" w:hanging="283.0000000000001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Docente : Guillermo Pinto</w:t>
      </w:r>
    </w:p>
    <w:p w:rsidR="00000000" w:rsidDel="00000000" w:rsidP="00000000" w:rsidRDefault="00000000" w:rsidRPr="00000000" w14:paraId="00000027">
      <w:pPr>
        <w:spacing w:line="360" w:lineRule="auto"/>
        <w:ind w:left="270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270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270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270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270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270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270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270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2700" w:firstLine="0"/>
        <w:rPr>
          <w:sz w:val="22"/>
          <w:szCs w:val="22"/>
          <w:vertAlign w:val="baseline"/>
        </w:rPr>
        <w:sectPr>
          <w:headerReference r:id="rId8" w:type="default"/>
          <w:headerReference r:id="rId9" w:type="first"/>
          <w:footerReference r:id="rId10" w:type="default"/>
          <w:pgSz w:h="16838" w:w="11906" w:orient="portrait"/>
          <w:pgMar w:bottom="1418" w:top="1418" w:left="1701" w:right="1701" w:header="0" w:footer="36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0"/>
        <w:spacing w:after="60" w:before="240" w:line="36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Historial de Revisiones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0"/>
        <w:spacing w:after="60" w:before="240" w:line="36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7.0" w:type="dxa"/>
        <w:jc w:val="left"/>
        <w:tblInd w:w="-17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1575"/>
        <w:gridCol w:w="3105"/>
        <w:gridCol w:w="2551"/>
        <w:tblGridChange w:id="0">
          <w:tblGrid>
            <w:gridCol w:w="1526"/>
            <w:gridCol w:w="1575"/>
            <w:gridCol w:w="3105"/>
            <w:gridCol w:w="2551"/>
          </w:tblGrid>
        </w:tblGridChange>
      </w:tblGrid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514.467773437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 Plan.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Miguel Rubio.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467773437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Lines w:val="1"/>
              <w:spacing w:after="120" w:line="360" w:lineRule="auto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Lines w:val="1"/>
              <w:spacing w:after="120" w:line="360" w:lineRule="auto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467773437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Lines w:val="1"/>
              <w:spacing w:after="120" w:line="360" w:lineRule="auto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spacing w:after="12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sz w:val="22"/>
          <w:szCs w:val="22"/>
        </w:rPr>
        <w:sectPr>
          <w:type w:val="continuous"/>
          <w:pgSz w:h="16838" w:w="11906" w:orient="portrait"/>
          <w:pgMar w:bottom="1418" w:top="1418" w:left="1701" w:right="1701" w:header="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60" w:before="240" w:line="360" w:lineRule="auto"/>
        <w:ind w:left="0" w:firstLine="0"/>
        <w:rPr>
          <w:sz w:val="22"/>
          <w:szCs w:val="22"/>
          <w:vertAlign w:val="baseline"/>
        </w:rPr>
      </w:pPr>
      <w:bookmarkStart w:colFirst="0" w:colLast="0" w:name="_heading=h.liz9vge5njba" w:id="0"/>
      <w:bookmarkEnd w:id="0"/>
      <w:r w:rsidDel="00000000" w:rsidR="00000000" w:rsidRPr="00000000">
        <w:rPr>
          <w:sz w:val="22"/>
          <w:szCs w:val="22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liz9vge5nj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7w1wz5pvx1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Expectativas de la Calidad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qirejlezgl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Identificación de los Interesados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none" w:pos="12000"/>
            </w:tabs>
            <w:spacing w:before="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srb7z5oxw7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Alcance Inicial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none" w:pos="12000"/>
            </w:tabs>
            <w:spacing w:before="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q8y9a8w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Línea Base del Cronograma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none" w:pos="12000"/>
            </w:tabs>
            <w:spacing w:before="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ts0gobjem6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Registro de Riesgos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leader="none" w:pos="12000"/>
            </w:tabs>
            <w:spacing w:before="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jwi3s4rjk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KPI Iniciales de Proyecto (Métricas de Calidad)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spacing w:line="360" w:lineRule="auto"/>
        <w:rPr>
          <w:sz w:val="22"/>
          <w:szCs w:val="22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1"/>
        <w:numPr>
          <w:ilvl w:val="0"/>
          <w:numId w:val="1"/>
        </w:numPr>
        <w:spacing w:after="60" w:before="240" w:line="360" w:lineRule="auto"/>
        <w:ind w:left="360" w:firstLine="0"/>
        <w:rPr>
          <w:sz w:val="22"/>
          <w:szCs w:val="22"/>
        </w:rPr>
      </w:pPr>
      <w:bookmarkStart w:colFirst="0" w:colLast="0" w:name="_heading=h.d7w1wz5pvx1n" w:id="2"/>
      <w:bookmarkEnd w:id="2"/>
      <w:r w:rsidDel="00000000" w:rsidR="00000000" w:rsidRPr="00000000">
        <w:rPr>
          <w:sz w:val="22"/>
          <w:szCs w:val="22"/>
          <w:rtl w:val="0"/>
        </w:rPr>
        <w:t xml:space="preserve">Expectativas de la Calidad del Proyecto</w:t>
      </w:r>
    </w:p>
    <w:p w:rsidR="00000000" w:rsidDel="00000000" w:rsidP="00000000" w:rsidRDefault="00000000" w:rsidRPr="00000000" w14:paraId="00000067">
      <w:pPr>
        <w:spacing w:line="360" w:lineRule="auto"/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Cumplimiento Normativo:</w:t>
      </w:r>
      <w:r w:rsidDel="00000000" w:rsidR="00000000" w:rsidRPr="00000000">
        <w:rPr>
          <w:sz w:val="22"/>
          <w:szCs w:val="22"/>
          <w:rtl w:val="0"/>
        </w:rPr>
        <w:t xml:space="preserve"> Se espera que el sistema Secdata cumpla estrictamente con los requisitos de la Ley N° 19.628 sobre Protección de la Vida Privada, implementando mecanismos de seguridad robustos para proteger los datos personales de los usuarios.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Seguridad de los Datos</w:t>
      </w:r>
      <w:r w:rsidDel="00000000" w:rsidR="00000000" w:rsidRPr="00000000">
        <w:rPr>
          <w:sz w:val="22"/>
          <w:szCs w:val="22"/>
          <w:rtl w:val="0"/>
        </w:rPr>
        <w:t xml:space="preserve">: Los datos sensibles deberán ser protegidos mediante encriptación, control de acceso y otras medidas de seguridad avanzadas (como encriptación AES-256 y HTTPS).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Usabilidad y Experiencia del Usuario</w:t>
      </w:r>
      <w:r w:rsidDel="00000000" w:rsidR="00000000" w:rsidRPr="00000000">
        <w:rPr>
          <w:sz w:val="22"/>
          <w:szCs w:val="22"/>
          <w:rtl w:val="0"/>
        </w:rPr>
        <w:t xml:space="preserve">: El cliente espera que las plataformas diseñadas (tanto para individuos como para empresas) ofrezcan una experiencia de usuario clara, eficiente y sencilla de navegar.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Cumplimiento de Plazos y Presupuesto:</w:t>
      </w:r>
      <w:r w:rsidDel="00000000" w:rsidR="00000000" w:rsidRPr="00000000">
        <w:rPr>
          <w:sz w:val="22"/>
          <w:szCs w:val="22"/>
          <w:rtl w:val="0"/>
        </w:rPr>
        <w:t xml:space="preserve"> El proyecto debe completarse dentro de los plazos establecidos y respetar el presupuesto acordado, asegurando que todas las funcionalidades clave estén operativas al finalizar cada etapa.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1"/>
        <w:numPr>
          <w:ilvl w:val="0"/>
          <w:numId w:val="1"/>
        </w:numPr>
        <w:spacing w:after="60" w:before="240" w:line="360" w:lineRule="auto"/>
        <w:ind w:left="360" w:firstLine="0"/>
        <w:rPr>
          <w:sz w:val="22"/>
          <w:szCs w:val="22"/>
        </w:rPr>
      </w:pPr>
      <w:bookmarkStart w:colFirst="0" w:colLast="0" w:name="_heading=h.aqirejlezgli" w:id="3"/>
      <w:bookmarkEnd w:id="3"/>
      <w:r w:rsidDel="00000000" w:rsidR="00000000" w:rsidRPr="00000000">
        <w:rPr>
          <w:sz w:val="22"/>
          <w:szCs w:val="22"/>
          <w:rtl w:val="0"/>
        </w:rPr>
        <w:t xml:space="preserve">Identificación de los Interesados del Proyecto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Equipo Gestión</w:t>
      </w:r>
      <w:r w:rsidDel="00000000" w:rsidR="00000000" w:rsidRPr="00000000">
        <w:rPr>
          <w:sz w:val="22"/>
          <w:szCs w:val="22"/>
          <w:rtl w:val="0"/>
        </w:rPr>
        <w:t xml:space="preserve"> (Miguel Rubio y Martín Del Río): Interesado en la correcta implementación del proyecto para cumplir con los requerimientos de la Ley N° 19.628 y mejorar la capacidad de la empresa para gestionar los datos de forma segura.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Empresas Usuarias</w:t>
      </w:r>
      <w:r w:rsidDel="00000000" w:rsidR="00000000" w:rsidRPr="00000000">
        <w:rPr>
          <w:sz w:val="22"/>
          <w:szCs w:val="22"/>
          <w:rtl w:val="0"/>
        </w:rPr>
        <w:t xml:space="preserve"> (Clientes de Secdata): Interesadas en la protección de sus datos sensibles y en evitar sanciones legales a través del cumplimiento normativo.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Reguladores y Entidades de Supervisión</w:t>
      </w:r>
      <w:r w:rsidDel="00000000" w:rsidR="00000000" w:rsidRPr="00000000">
        <w:rPr>
          <w:sz w:val="22"/>
          <w:szCs w:val="22"/>
          <w:rtl w:val="0"/>
        </w:rPr>
        <w:t xml:space="preserve"> (Entidad Gobierno): Interesados en garantizar que el proyecto cumple con la normativa y protege adecuadamente los datos personales.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Equipo de Desarrollo</w:t>
      </w:r>
      <w:r w:rsidDel="00000000" w:rsidR="00000000" w:rsidRPr="00000000">
        <w:rPr>
          <w:sz w:val="22"/>
          <w:szCs w:val="22"/>
          <w:rtl w:val="0"/>
        </w:rPr>
        <w:t xml:space="preserve"> (Miguel Rubio y Martín Del Río): Interesados en ejecutar correctamente el proyecto, integrando las medidas de seguridad y funcionalidad necesarias para un sistema robusto y funcional.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1"/>
        <w:numPr>
          <w:ilvl w:val="0"/>
          <w:numId w:val="1"/>
        </w:numPr>
        <w:spacing w:after="60" w:afterAutospacing="0" w:before="240" w:line="360" w:lineRule="auto"/>
        <w:ind w:left="360" w:firstLine="0"/>
        <w:rPr>
          <w:sz w:val="22"/>
          <w:szCs w:val="22"/>
        </w:rPr>
      </w:pPr>
      <w:bookmarkStart w:colFirst="0" w:colLast="0" w:name="_heading=h.9srb7z5oxw7q" w:id="4"/>
      <w:bookmarkEnd w:id="4"/>
      <w:r w:rsidDel="00000000" w:rsidR="00000000" w:rsidRPr="00000000">
        <w:rPr>
          <w:sz w:val="22"/>
          <w:szCs w:val="22"/>
          <w:rtl w:val="0"/>
        </w:rPr>
        <w:t xml:space="preserve">Alcance Inicial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numPr>
          <w:ilvl w:val="0"/>
          <w:numId w:val="3"/>
        </w:numPr>
        <w:spacing w:after="0" w:afterAutospacing="0" w:before="6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Desarrollo de la plataforma Secdata</w:t>
      </w:r>
      <w:r w:rsidDel="00000000" w:rsidR="00000000" w:rsidRPr="00000000">
        <w:rPr>
          <w:sz w:val="22"/>
          <w:szCs w:val="22"/>
          <w:rtl w:val="0"/>
        </w:rPr>
        <w:t xml:space="preserve">: Orientada a la gestión y protección de datos personales y sensibles según la Ley N° 19.628.</w:t>
      </w:r>
    </w:p>
    <w:p w:rsidR="00000000" w:rsidDel="00000000" w:rsidP="00000000" w:rsidRDefault="00000000" w:rsidRPr="00000000" w14:paraId="00000074">
      <w:pPr>
        <w:keepNext w:val="1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Registro y Gestión de Usuarios</w:t>
      </w:r>
      <w:r w:rsidDel="00000000" w:rsidR="00000000" w:rsidRPr="00000000">
        <w:rPr>
          <w:sz w:val="22"/>
          <w:szCs w:val="22"/>
          <w:rtl w:val="0"/>
        </w:rPr>
        <w:t xml:space="preserve"> (Personas y Empresas): Implementación de dos tipos de cuentas con diferentes vistas y funcionalidades adaptadas a las necesidades de cada grupo.</w:t>
      </w:r>
    </w:p>
    <w:p w:rsidR="00000000" w:rsidDel="00000000" w:rsidP="00000000" w:rsidRDefault="00000000" w:rsidRPr="00000000" w14:paraId="00000075">
      <w:pPr>
        <w:keepNext w:val="1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Cumplimiento Normativo y Seguridad:</w:t>
      </w:r>
      <w:r w:rsidDel="00000000" w:rsidR="00000000" w:rsidRPr="00000000">
        <w:rPr>
          <w:sz w:val="22"/>
          <w:szCs w:val="22"/>
          <w:rtl w:val="0"/>
        </w:rPr>
        <w:t xml:space="preserve"> Implementación de medidas de seguridad como encriptación, controles de acceso y anonimización de datos.</w:t>
      </w:r>
    </w:p>
    <w:p w:rsidR="00000000" w:rsidDel="00000000" w:rsidP="00000000" w:rsidRDefault="00000000" w:rsidRPr="00000000" w14:paraId="00000076">
      <w:pPr>
        <w:keepNext w:val="1"/>
        <w:numPr>
          <w:ilvl w:val="0"/>
          <w:numId w:val="3"/>
        </w:numPr>
        <w:spacing w:after="6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Funciones Clave:</w:t>
      </w:r>
      <w:r w:rsidDel="00000000" w:rsidR="00000000" w:rsidRPr="00000000">
        <w:rPr>
          <w:sz w:val="22"/>
          <w:szCs w:val="22"/>
          <w:rtl w:val="0"/>
        </w:rPr>
        <w:t xml:space="preserve"> Registro, inicio de sesión, recuperación de contraseña, gestión de datos y auditoría del ciclo de vida de la información sensible.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spacing w:after="0" w:before="0" w:line="360" w:lineRule="auto"/>
        <w:ind w:right="0"/>
        <w:jc w:val="left"/>
        <w:rPr>
          <w:i w:val="0"/>
          <w:smallCaps w:val="0"/>
          <w:strike w:val="0"/>
          <w:color w:val="0000ff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numPr>
          <w:ilvl w:val="0"/>
          <w:numId w:val="1"/>
        </w:numPr>
        <w:spacing w:after="60" w:afterAutospacing="0" w:before="240" w:line="360" w:lineRule="auto"/>
        <w:ind w:left="360" w:firstLine="0"/>
        <w:rPr>
          <w:sz w:val="22"/>
          <w:szCs w:val="22"/>
        </w:rPr>
      </w:pPr>
      <w:bookmarkStart w:colFirst="0" w:colLast="0" w:name="_heading=h.7q8y9a8wrm" w:id="5"/>
      <w:bookmarkEnd w:id="5"/>
      <w:r w:rsidDel="00000000" w:rsidR="00000000" w:rsidRPr="00000000">
        <w:rPr>
          <w:sz w:val="22"/>
          <w:szCs w:val="22"/>
          <w:rtl w:val="0"/>
        </w:rPr>
        <w:t xml:space="preserve">Línea Base del Cronograma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6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Inicio y Kick-Off: Agosto 2024..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Duración Total Estimada del Proyecto: 4 Meses.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Metodología : Cascada.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Desarrollo Secuencial: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="36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Fase 1: Fase de Planificación (14/agosto - 11/Sept).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afterAutospacing="0" w:before="0" w:beforeAutospacing="0" w:line="36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Fase 2: Fase Análisis y Diseño (12/Sept - 11/Oct).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0" w:afterAutospacing="0" w:before="0" w:beforeAutospacing="0" w:line="36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Fase 3: Fase de desarrollo (12/oct - 15/Nov).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240" w:before="0" w:beforeAutospacing="0" w:line="36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Fase 4 : Implementación y cierre (15/Nov - 29/Nov).</w:t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60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1"/>
        <w:numPr>
          <w:ilvl w:val="0"/>
          <w:numId w:val="1"/>
        </w:numPr>
        <w:spacing w:after="60" w:afterAutospacing="0" w:before="240" w:line="360" w:lineRule="auto"/>
        <w:ind w:left="360" w:firstLine="0"/>
        <w:rPr>
          <w:sz w:val="22"/>
          <w:szCs w:val="22"/>
        </w:rPr>
      </w:pPr>
      <w:bookmarkStart w:colFirst="0" w:colLast="0" w:name="_heading=h.sts0gobjem6k" w:id="6"/>
      <w:bookmarkEnd w:id="6"/>
      <w:r w:rsidDel="00000000" w:rsidR="00000000" w:rsidRPr="00000000">
        <w:rPr>
          <w:sz w:val="22"/>
          <w:szCs w:val="22"/>
          <w:rtl w:val="0"/>
        </w:rPr>
        <w:t xml:space="preserve">Registro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numPr>
          <w:ilvl w:val="0"/>
          <w:numId w:val="7"/>
        </w:numPr>
        <w:spacing w:after="0" w:afterAutospacing="0" w:before="6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Riesgo de No Cumplimiento Normativo:</w:t>
      </w:r>
      <w:r w:rsidDel="00000000" w:rsidR="00000000" w:rsidRPr="00000000">
        <w:rPr>
          <w:sz w:val="22"/>
          <w:szCs w:val="22"/>
          <w:rtl w:val="0"/>
        </w:rPr>
        <w:t xml:space="preserve"> Falta de alineación con la Ley N° 19.628 puede llevar a sanciones y pérdida de confianza de los clientes.</w:t>
      </w:r>
    </w:p>
    <w:p w:rsidR="00000000" w:rsidDel="00000000" w:rsidP="00000000" w:rsidRDefault="00000000" w:rsidRPr="00000000" w14:paraId="00000088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Fallas de Seguridad:</w:t>
      </w:r>
      <w:r w:rsidDel="00000000" w:rsidR="00000000" w:rsidRPr="00000000">
        <w:rPr>
          <w:sz w:val="22"/>
          <w:szCs w:val="22"/>
          <w:rtl w:val="0"/>
        </w:rPr>
        <w:t xml:space="preserve"> Vulnerabilidades en los sistemas que podrían exponer datos personales y dañar la reputación de la plataforma.</w:t>
      </w:r>
    </w:p>
    <w:p w:rsidR="00000000" w:rsidDel="00000000" w:rsidP="00000000" w:rsidRDefault="00000000" w:rsidRPr="00000000" w14:paraId="00000089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Resistencia al Cambio:</w:t>
      </w:r>
      <w:r w:rsidDel="00000000" w:rsidR="00000000" w:rsidRPr="00000000">
        <w:rPr>
          <w:sz w:val="22"/>
          <w:szCs w:val="22"/>
          <w:rtl w:val="0"/>
        </w:rPr>
        <w:t xml:space="preserve"> Las empresas usuarias podrían ser lentas en adoptar nuevas prácticas o sistemas de gestión de datos.</w:t>
      </w:r>
    </w:p>
    <w:p w:rsidR="00000000" w:rsidDel="00000000" w:rsidP="00000000" w:rsidRDefault="00000000" w:rsidRPr="00000000" w14:paraId="0000008A">
      <w:pPr>
        <w:keepNext w:val="1"/>
        <w:numPr>
          <w:ilvl w:val="0"/>
          <w:numId w:val="7"/>
        </w:numPr>
        <w:spacing w:after="6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Problemas Técnicos Inesperados</w:t>
      </w:r>
      <w:r w:rsidDel="00000000" w:rsidR="00000000" w:rsidRPr="00000000">
        <w:rPr>
          <w:sz w:val="22"/>
          <w:szCs w:val="22"/>
          <w:rtl w:val="0"/>
        </w:rPr>
        <w:t xml:space="preserve">: Fallos o incompatibilidades que puedan retrasar el proyecto o impactar en la seguridad de los datos.</w:t>
      </w:r>
    </w:p>
    <w:p w:rsidR="00000000" w:rsidDel="00000000" w:rsidP="00000000" w:rsidRDefault="00000000" w:rsidRPr="00000000" w14:paraId="0000008B">
      <w:pPr>
        <w:keepNext w:val="1"/>
        <w:keepLines w:val="0"/>
        <w:widowControl w:val="0"/>
        <w:spacing w:after="60" w:before="240" w:line="360" w:lineRule="auto"/>
        <w:ind w:left="1146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1"/>
        <w:numPr>
          <w:ilvl w:val="0"/>
          <w:numId w:val="1"/>
        </w:numPr>
        <w:spacing w:after="60" w:afterAutospacing="0" w:before="240" w:line="360" w:lineRule="auto"/>
        <w:ind w:left="360" w:firstLine="0"/>
        <w:rPr>
          <w:sz w:val="22"/>
          <w:szCs w:val="22"/>
        </w:rPr>
      </w:pPr>
      <w:bookmarkStart w:colFirst="0" w:colLast="0" w:name="_heading=h.4jwi3s4rjkd1" w:id="7"/>
      <w:bookmarkEnd w:id="7"/>
      <w:r w:rsidDel="00000000" w:rsidR="00000000" w:rsidRPr="00000000">
        <w:rPr>
          <w:sz w:val="22"/>
          <w:szCs w:val="22"/>
          <w:rtl w:val="0"/>
        </w:rPr>
        <w:t xml:space="preserve">KPI Iniciales de Proyecto (Métricas de Calidad)</w:t>
      </w:r>
    </w:p>
    <w:p w:rsidR="00000000" w:rsidDel="00000000" w:rsidP="00000000" w:rsidRDefault="00000000" w:rsidRPr="00000000" w14:paraId="0000008D">
      <w:pPr>
        <w:keepNext w:val="1"/>
        <w:numPr>
          <w:ilvl w:val="0"/>
          <w:numId w:val="5"/>
        </w:numPr>
        <w:spacing w:after="0" w:afterAutospacing="0" w:before="6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Cumplimiento Normativo:</w:t>
      </w:r>
      <w:r w:rsidDel="00000000" w:rsidR="00000000" w:rsidRPr="00000000">
        <w:rPr>
          <w:sz w:val="22"/>
          <w:szCs w:val="22"/>
          <w:rtl w:val="0"/>
        </w:rPr>
        <w:t xml:space="preserve"> Auditorías regulares para medir el nivel de alineación con la Ley N° 19.628.</w:t>
      </w:r>
    </w:p>
    <w:p w:rsidR="00000000" w:rsidDel="00000000" w:rsidP="00000000" w:rsidRDefault="00000000" w:rsidRPr="00000000" w14:paraId="0000008E">
      <w:pPr>
        <w:keepNext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Nivel de Seguridad</w:t>
      </w:r>
      <w:r w:rsidDel="00000000" w:rsidR="00000000" w:rsidRPr="00000000">
        <w:rPr>
          <w:sz w:val="22"/>
          <w:szCs w:val="22"/>
          <w:rtl w:val="0"/>
        </w:rPr>
        <w:t xml:space="preserve">: Medición continua de vulnerabilidades y análisis de riesgos mediante pruebas de penetración y simulación de ataques.</w:t>
      </w:r>
    </w:p>
    <w:p w:rsidR="00000000" w:rsidDel="00000000" w:rsidP="00000000" w:rsidRDefault="00000000" w:rsidRPr="00000000" w14:paraId="0000008F">
      <w:pPr>
        <w:keepNext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Tiempo de Entrega del Proyecto:</w:t>
      </w:r>
      <w:r w:rsidDel="00000000" w:rsidR="00000000" w:rsidRPr="00000000">
        <w:rPr>
          <w:sz w:val="22"/>
          <w:szCs w:val="22"/>
          <w:rtl w:val="0"/>
        </w:rPr>
        <w:t xml:space="preserve"> Cumplimiento de los plazos establecidos en cada fase clave del proyecto.</w:t>
      </w:r>
    </w:p>
    <w:p w:rsidR="00000000" w:rsidDel="00000000" w:rsidP="00000000" w:rsidRDefault="00000000" w:rsidRPr="00000000" w14:paraId="00000090">
      <w:pPr>
        <w:keepNext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Satisfacción del Cliente</w:t>
      </w:r>
      <w:r w:rsidDel="00000000" w:rsidR="00000000" w:rsidRPr="00000000">
        <w:rPr>
          <w:sz w:val="22"/>
          <w:szCs w:val="22"/>
          <w:rtl w:val="0"/>
        </w:rPr>
        <w:t xml:space="preserve">: Retroalimentación periódica sobre la usabilidad y funcionalidad del sistema.</w:t>
      </w:r>
    </w:p>
    <w:p w:rsidR="00000000" w:rsidDel="00000000" w:rsidP="00000000" w:rsidRDefault="00000000" w:rsidRPr="00000000" w14:paraId="00000091">
      <w:pPr>
        <w:keepNext w:val="1"/>
        <w:numPr>
          <w:ilvl w:val="0"/>
          <w:numId w:val="5"/>
        </w:numPr>
        <w:spacing w:after="6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Tasa de Adopción por parte de Empresas</w:t>
      </w:r>
      <w:r w:rsidDel="00000000" w:rsidR="00000000" w:rsidRPr="00000000">
        <w:rPr>
          <w:sz w:val="22"/>
          <w:szCs w:val="22"/>
          <w:rtl w:val="0"/>
        </w:rPr>
        <w:t xml:space="preserve">: Evaluar cuántas empresas han adoptado el sistema Secdata y cómo gestionan los datos sensibles a través de la plataforma.</w:t>
      </w:r>
    </w:p>
    <w:p w:rsidR="00000000" w:rsidDel="00000000" w:rsidP="00000000" w:rsidRDefault="00000000" w:rsidRPr="00000000" w14:paraId="00000092">
      <w:pPr>
        <w:keepNext w:val="1"/>
        <w:keepLines w:val="0"/>
        <w:widowControl w:val="0"/>
        <w:spacing w:after="60" w:before="240" w:line="36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spacing w:after="0" w:before="0" w:line="240" w:lineRule="auto"/>
        <w:ind w:left="300" w:right="0" w:firstLine="0"/>
        <w:jc w:val="left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8" w:top="1418" w:left="1701" w:right="1701" w:header="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644.0" w:type="dxa"/>
      <w:jc w:val="left"/>
      <w:tblInd w:w="-14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0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0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Plan de Gestión de Calidad -  SecData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0"/>
      <w:tabs>
        <w:tab w:val="center" w:leader="none" w:pos="4252"/>
        <w:tab w:val="right" w:leader="none" w:pos="8504"/>
      </w:tabs>
      <w:spacing w:after="708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widowControl w:val="0"/>
      <w:spacing w:after="0" w:before="708" w:line="276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ff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643.999999999998" w:type="dxa"/>
      <w:jc w:val="left"/>
      <w:tblInd w:w="-14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rHeight w:val="837.3828125" w:hRule="atLeast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/>
            <w:drawing>
              <wp:inline distB="0" distT="0" distL="114300" distR="114300">
                <wp:extent cx="1147445" cy="467360"/>
                <wp:effectExtent b="0" l="0" r="0" t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29633" l="0" r="0" t="296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b w:val="1"/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Capstone</w:t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widowControl w:val="0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b w:val="1"/>
              <w:color w:val="241a61"/>
              <w:rtl w:val="0"/>
            </w:rPr>
            <w:t xml:space="preserve">Proyecto Secdata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1"/>
      <w:tabs>
        <w:tab w:val="center" w:leader="none" w:pos="4252"/>
        <w:tab w:val="right" w:leader="none" w:pos="8504"/>
      </w:tabs>
      <w:spacing w:after="60" w:before="240" w:lineRule="auto"/>
      <w:rPr>
        <w:rFonts w:ascii="Calibri" w:cs="Calibri" w:eastAsia="Calibri" w:hAnsi="Calibri"/>
        <w:b w:val="1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widowControl w:val="0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0"/>
      <w:tabs>
        <w:tab w:val="center" w:leader="none" w:pos="4252"/>
        <w:tab w:val="right" w:leader="none" w:pos="8504"/>
      </w:tabs>
      <w:spacing w:after="0" w:before="708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46" w:firstLine="42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c8aMmKQt7XxF/dKg+7AjA4IFUg==">CgMxLjAyDmgubGl6OXZnZTVuamJhMgloLjMwajB6bGwyDmguZDd3MXd6NXB2eDFuMg5oLmFxaXJlamxlemdsaTIOaC45c3JiN3o1b3h3N3EyDGguN3E4eTlhOHdybTIOaC5zdHMwZ29iamVtNmsyDmguNGp3aTNzNHJqa2QxOAByITF3QzBDaGdES1lSOEZxb0dlMlFLbVRtWWNUTGJVb0JSeA==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