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0" w:before="0" w:lineRule="auto"/>
        <w:jc w:val="center"/>
        <w:rPr>
          <w:b w:val="1"/>
          <w:color w:val="4a86e8"/>
          <w:sz w:val="34"/>
          <w:szCs w:val="34"/>
        </w:rPr>
      </w:pPr>
      <w:bookmarkStart w:colFirst="0" w:colLast="0" w:name="_5x3xwn1ws6w2" w:id="0"/>
      <w:bookmarkEnd w:id="0"/>
      <w:r w:rsidDel="00000000" w:rsidR="00000000" w:rsidRPr="00000000">
        <w:rPr>
          <w:b w:val="1"/>
          <w:color w:val="4a86e8"/>
          <w:sz w:val="34"/>
          <w:szCs w:val="34"/>
          <w:rtl w:val="0"/>
        </w:rPr>
        <w:t xml:space="preserve">Informe: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0" w:before="0" w:lineRule="auto"/>
        <w:jc w:val="center"/>
        <w:rPr>
          <w:b w:val="1"/>
          <w:color w:val="4a86e8"/>
          <w:sz w:val="34"/>
          <w:szCs w:val="34"/>
        </w:rPr>
      </w:pPr>
      <w:bookmarkStart w:colFirst="0" w:colLast="0" w:name="_ob86a8o3t590" w:id="1"/>
      <w:bookmarkEnd w:id="1"/>
      <w:r w:rsidDel="00000000" w:rsidR="00000000" w:rsidRPr="00000000">
        <w:rPr>
          <w:b w:val="1"/>
          <w:color w:val="4a86e8"/>
          <w:sz w:val="34"/>
          <w:szCs w:val="34"/>
          <w:rtl w:val="0"/>
        </w:rPr>
        <w:t xml:space="preserve">Curación y Preparación de Datos para la Detección de Churn Bancario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0" w:before="0" w:line="342.85714285714283" w:lineRule="auto"/>
        <w:jc w:val="both"/>
        <w:rPr>
          <w:b w:val="1"/>
          <w:color w:val="1a1c1e"/>
          <w:sz w:val="26"/>
          <w:szCs w:val="26"/>
        </w:rPr>
      </w:pPr>
      <w:bookmarkStart w:colFirst="0" w:colLast="0" w:name="_kufhiwvdl6ph" w:id="2"/>
      <w:bookmarkEnd w:id="2"/>
      <w:r w:rsidDel="00000000" w:rsidR="00000000" w:rsidRPr="00000000">
        <w:rPr>
          <w:b w:val="1"/>
          <w:color w:val="1a1c1e"/>
          <w:sz w:val="26"/>
          <w:szCs w:val="26"/>
          <w:rtl w:val="0"/>
        </w:rPr>
        <w:t xml:space="preserve">Informe: Curación y Preparación de Datos para la Detección de Churn</w:t>
      </w:r>
    </w:p>
    <w:p w:rsidR="00000000" w:rsidDel="00000000" w:rsidP="00000000" w:rsidRDefault="00000000" w:rsidRPr="00000000" w14:paraId="00000004">
      <w:pPr>
        <w:shd w:fill="ffffff" w:val="clear"/>
        <w:spacing w:after="280" w:before="220" w:line="342.85714285714283" w:lineRule="auto"/>
        <w:jc w:val="both"/>
        <w:rPr>
          <w:b w:val="1"/>
          <w:color w:val="1a1c1e"/>
          <w:sz w:val="21"/>
          <w:szCs w:val="21"/>
        </w:rPr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Práctico N°2: Exploración y Curación</w:t>
      </w:r>
    </w:p>
    <w:p w:rsidR="00000000" w:rsidDel="00000000" w:rsidP="00000000" w:rsidRDefault="00000000" w:rsidRPr="00000000" w14:paraId="00000005">
      <w:pPr>
        <w:shd w:fill="ffffff" w:val="clear"/>
        <w:spacing w:after="280" w:before="220" w:line="342.85714285714283" w:lineRule="auto"/>
        <w:jc w:val="both"/>
        <w:rPr>
          <w:color w:val="1a1c1e"/>
          <w:sz w:val="21"/>
          <w:szCs w:val="21"/>
        </w:rPr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Objetivo: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Este informe resume el proceso de curación del dataset de clientes de tarjetas de crédito. El objetivo fue limpiar, enriquecer y transformar los datos brutos en un formato robusto y numérico, listo para ser utilizado en algoritmos de aprendizaje supervisado y Deep Learning.</w:t>
      </w:r>
    </w:p>
    <w:p w:rsidR="00000000" w:rsidDel="00000000" w:rsidP="00000000" w:rsidRDefault="00000000" w:rsidRPr="00000000" w14:paraId="00000006">
      <w:pPr>
        <w:shd w:fill="ffffff" w:val="clear"/>
        <w:spacing w:before="220" w:line="342.85714285714283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hd w:fill="ffffff" w:val="clear"/>
        <w:spacing w:after="0" w:before="0" w:line="342.85714285714283" w:lineRule="auto"/>
        <w:jc w:val="both"/>
        <w:rPr>
          <w:b w:val="1"/>
          <w:color w:val="1a1c1e"/>
          <w:sz w:val="21"/>
          <w:szCs w:val="21"/>
        </w:rPr>
      </w:pPr>
      <w:bookmarkStart w:colFirst="0" w:colLast="0" w:name="_2pxusasnklq" w:id="3"/>
      <w:bookmarkEnd w:id="3"/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1. Detección y Análisis de Calidad de Datos (Consigna 1)</w:t>
      </w:r>
    </w:p>
    <w:p w:rsidR="00000000" w:rsidDel="00000000" w:rsidP="00000000" w:rsidRDefault="00000000" w:rsidRPr="00000000" w14:paraId="00000008">
      <w:pPr>
        <w:shd w:fill="ffffff" w:val="clear"/>
        <w:spacing w:after="280" w:before="220" w:line="342.85714285714283" w:lineRule="auto"/>
        <w:jc w:val="both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Se realizó una evaluación inicial del dataset para identificar problemas de calidad.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220" w:line="342.85714285714283" w:lineRule="auto"/>
        <w:ind w:left="720" w:hanging="360"/>
        <w:jc w:val="both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Valores Faltantes: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No se encontraron valores nulos estándar (NaN). Sin embargo, se detectó la presencia de la categoría </w:t>
      </w: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'Unknown'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en las columnas </w:t>
      </w:r>
      <w:r w:rsidDel="00000000" w:rsidR="00000000" w:rsidRPr="00000000">
        <w:rPr>
          <w:color w:val="1a1c1e"/>
          <w:sz w:val="20"/>
          <w:szCs w:val="20"/>
          <w:rtl w:val="0"/>
        </w:rPr>
        <w:t xml:space="preserve">Education_Level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a1c1e"/>
          <w:sz w:val="20"/>
          <w:szCs w:val="20"/>
          <w:rtl w:val="0"/>
        </w:rPr>
        <w:t xml:space="preserve">Marital_Status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 </w:t>
      </w:r>
      <w:r w:rsidDel="00000000" w:rsidR="00000000" w:rsidRPr="00000000">
        <w:rPr>
          <w:color w:val="1a1c1e"/>
          <w:sz w:val="20"/>
          <w:szCs w:val="20"/>
          <w:rtl w:val="0"/>
        </w:rPr>
        <w:t xml:space="preserve">Income_Category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 Tras considerar alternativas como la eliminación de filas o la imputación por moda, se decidió </w:t>
      </w: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tratar 'Unknown' como una categoría informativa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bajo la hipótesis de que la ausencia de datos puede ser un predictor del comportamiento del cliente.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="342.85714285714283" w:lineRule="auto"/>
        <w:ind w:left="720" w:hanging="360"/>
        <w:jc w:val="both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Valores Atípicos (Outliers):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El análisis mediante diagramas de caja reveló outliers en variables financieras clave como </w:t>
      </w:r>
      <w:r w:rsidDel="00000000" w:rsidR="00000000" w:rsidRPr="00000000">
        <w:rPr>
          <w:color w:val="1a1c1e"/>
          <w:sz w:val="20"/>
          <w:szCs w:val="20"/>
          <w:rtl w:val="0"/>
        </w:rPr>
        <w:t xml:space="preserve">Credit_Limit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y </w:t>
      </w:r>
      <w:r w:rsidDel="00000000" w:rsidR="00000000" w:rsidRPr="00000000">
        <w:rPr>
          <w:color w:val="1a1c1e"/>
          <w:sz w:val="20"/>
          <w:szCs w:val="20"/>
          <w:rtl w:val="0"/>
        </w:rPr>
        <w:t xml:space="preserve">Total_Trans_Amt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 Se interpretó que estos no eran errores, sino que representaban segmentos válidos de clientes con alto poder adquisitivo o alta transaccionalidad. En consecuencia, se adoptó la política de </w:t>
      </w: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conservar estos valores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para no perder información valiosa y evitar sesgar el modelo.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before="0" w:beforeAutospacing="0" w:line="342.85714285714283" w:lineRule="auto"/>
        <w:ind w:left="720" w:hanging="360"/>
        <w:jc w:val="both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Duplicados e Inconsistencias: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El dataset demostró ser de alta integridad. Las verificaciones confirmaron que </w:t>
      </w: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no existen IDs de cliente duplicados ni filas repetidas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 Asimismo, las relaciones lógicas entre variables financieras (</w:t>
      </w:r>
      <w:r w:rsidDel="00000000" w:rsidR="00000000" w:rsidRPr="00000000">
        <w:rPr>
          <w:color w:val="1a1c1e"/>
          <w:sz w:val="20"/>
          <w:szCs w:val="20"/>
          <w:rtl w:val="0"/>
        </w:rPr>
        <w:t xml:space="preserve">Credit_Limit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a1c1e"/>
          <w:sz w:val="20"/>
          <w:szCs w:val="20"/>
          <w:rtl w:val="0"/>
        </w:rPr>
        <w:t xml:space="preserve">Avg_Open_To_Buy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etc.) resultaron ser consistentes.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220" w:before="0" w:beforeAutospacing="0" w:line="342.85714285714283" w:lineRule="auto"/>
        <w:ind w:left="720" w:hanging="360"/>
        <w:jc w:val="both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Desbalanceo de la Clase Objetivo: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Un análisis de la variable </w:t>
      </w:r>
      <w:r w:rsidDel="00000000" w:rsidR="00000000" w:rsidRPr="00000000">
        <w:rPr>
          <w:color w:val="1a1c1e"/>
          <w:sz w:val="20"/>
          <w:szCs w:val="20"/>
          <w:rtl w:val="0"/>
        </w:rPr>
        <w:t xml:space="preserve">Attrition_Flag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reveló un </w:t>
      </w: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fuerte desbalanceo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: solo el </w:t>
      </w: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16.07%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de los clientes pertenecen a la clase "Attrited Customer" (churn). Este es un factor crítico que deberá ser gestionado en la etapa de modelado mediante técnicas como el sobremuestreo (oversampling), submuestreo (undersampling) o el uso de métricas de evaluación adecuadas como el F1-Score y el Recall.</w:t>
      </w:r>
    </w:p>
    <w:p w:rsidR="00000000" w:rsidDel="00000000" w:rsidP="00000000" w:rsidRDefault="00000000" w:rsidRPr="00000000" w14:paraId="0000000D">
      <w:pPr>
        <w:shd w:fill="ffffff" w:val="clear"/>
        <w:spacing w:before="220" w:line="342.85714285714283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hd w:fill="ffffff" w:val="clear"/>
        <w:spacing w:after="0" w:before="0" w:line="342.85714285714283" w:lineRule="auto"/>
        <w:jc w:val="both"/>
        <w:rPr>
          <w:b w:val="1"/>
          <w:color w:val="1a1c1e"/>
          <w:sz w:val="21"/>
          <w:szCs w:val="21"/>
        </w:rPr>
      </w:pPr>
      <w:bookmarkStart w:colFirst="0" w:colLast="0" w:name="_gnkc0sxuxazo" w:id="4"/>
      <w:bookmarkEnd w:id="4"/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2. Ingeniería de Características (Consigna 2)</w:t>
      </w:r>
    </w:p>
    <w:p w:rsidR="00000000" w:rsidDel="00000000" w:rsidP="00000000" w:rsidRDefault="00000000" w:rsidRPr="00000000" w14:paraId="0000000F">
      <w:pPr>
        <w:shd w:fill="ffffff" w:val="clear"/>
        <w:spacing w:after="280" w:before="220" w:line="342.85714285714283" w:lineRule="auto"/>
        <w:jc w:val="both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Para mejorar la capacidad predictiva de los futuros modelos, se diseñaron 6 nuevas variables que capturan relaciones más complejas en los datos: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220" w:line="342.85714285714283" w:lineRule="auto"/>
        <w:ind w:left="720" w:hanging="360"/>
        <w:jc w:val="both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Avg_Transaction_Value: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(Monto Promedio por Transacción). Ratio que diferencia patrones de gasto.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  <w:jc w:val="both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Inactive_vs_Active_Ratio: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Proporción de meses inactivos frente a los activos en el último año, un potente indicador de desvinculación.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  <w:jc w:val="both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Transactions_per_Month_on_Book: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Frecuencia transaccional normalizada por la antigüedad del cliente.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  <w:jc w:val="both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Customer_Interaction_Score: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Suma de productos y contactos para medir el nivel de "engagement".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  <w:jc w:val="both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Tenure_Segment: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Segmentación categórica de clientes por antigüedad ('Nuevo', 'Establecido', 'Leal', 'Veterano').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220" w:before="0" w:beforeAutospacing="0" w:line="342.85714285714283" w:lineRule="auto"/>
        <w:ind w:left="720" w:hanging="360"/>
        <w:jc w:val="both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Is_Dormant: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Indicador binario que marca a clientes con alta inactividad y bajo volumen transaccional.</w:t>
      </w:r>
    </w:p>
    <w:p w:rsidR="00000000" w:rsidDel="00000000" w:rsidP="00000000" w:rsidRDefault="00000000" w:rsidRPr="00000000" w14:paraId="00000016">
      <w:pPr>
        <w:shd w:fill="ffffff" w:val="clear"/>
        <w:spacing w:before="220" w:line="342.85714285714283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hd w:fill="ffffff" w:val="clear"/>
        <w:spacing w:after="0" w:before="0" w:line="342.85714285714283" w:lineRule="auto"/>
        <w:jc w:val="both"/>
        <w:rPr>
          <w:b w:val="1"/>
          <w:color w:val="1a1c1e"/>
          <w:sz w:val="21"/>
          <w:szCs w:val="21"/>
        </w:rPr>
      </w:pPr>
      <w:bookmarkStart w:colFirst="0" w:colLast="0" w:name="_vc5kia7o84a3" w:id="5"/>
      <w:bookmarkEnd w:id="5"/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3. Preparación Final del Dataset (Consigna 3)</w:t>
      </w:r>
    </w:p>
    <w:p w:rsidR="00000000" w:rsidDel="00000000" w:rsidP="00000000" w:rsidRDefault="00000000" w:rsidRPr="00000000" w14:paraId="00000018">
      <w:pPr>
        <w:shd w:fill="ffffff" w:val="clear"/>
        <w:spacing w:after="280" w:before="220" w:line="342.85714285714283" w:lineRule="auto"/>
        <w:jc w:val="both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El último paso fue consolidar todas las mejoras y transformar el dataset a un formato 100% numérico.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220" w:line="342.85714285714283" w:lineRule="auto"/>
        <w:ind w:left="720" w:hanging="360"/>
        <w:jc w:val="both"/>
        <w:rPr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Transformación de Variables: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hd w:fill="ffffff" w:val="clear"/>
        <w:spacing w:after="0" w:afterAutospacing="0" w:before="0" w:beforeAutospacing="0" w:line="342.85714285714283" w:lineRule="auto"/>
        <w:ind w:left="1440" w:hanging="360"/>
        <w:jc w:val="both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La variable objetivo </w:t>
      </w:r>
      <w:r w:rsidDel="00000000" w:rsidR="00000000" w:rsidRPr="00000000">
        <w:rPr>
          <w:color w:val="1a1c1e"/>
          <w:sz w:val="20"/>
          <w:szCs w:val="20"/>
          <w:rtl w:val="0"/>
        </w:rPr>
        <w:t xml:space="preserve">Attrition_Flag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fue convertida a un formato binario: </w:t>
      </w: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para clientes fugados y </w:t>
      </w: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para los existentes.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hd w:fill="ffffff" w:val="clear"/>
        <w:spacing w:after="0" w:afterAutospacing="0" w:before="0" w:beforeAutospacing="0" w:line="342.85714285714283" w:lineRule="auto"/>
        <w:ind w:left="1440" w:hanging="360"/>
        <w:jc w:val="both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Todas las variables categóricas (incluyendo las creadas en la fase anterior) se transformaron mediante </w:t>
      </w:r>
      <w:r w:rsidDel="00000000" w:rsidR="00000000" w:rsidRPr="00000000">
        <w:rPr>
          <w:i w:val="1"/>
          <w:color w:val="1a1c1e"/>
          <w:sz w:val="21"/>
          <w:szCs w:val="21"/>
          <w:rtl w:val="0"/>
        </w:rPr>
        <w:t xml:space="preserve">One-Hot Encoding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utilizando </w:t>
      </w:r>
      <w:r w:rsidDel="00000000" w:rsidR="00000000" w:rsidRPr="00000000">
        <w:rPr>
          <w:color w:val="1a1c1e"/>
          <w:sz w:val="20"/>
          <w:szCs w:val="20"/>
          <w:rtl w:val="0"/>
        </w:rPr>
        <w:t xml:space="preserve">pd.get_dummies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 Se aplicó </w:t>
      </w:r>
      <w:r w:rsidDel="00000000" w:rsidR="00000000" w:rsidRPr="00000000">
        <w:rPr>
          <w:color w:val="1a1c1e"/>
          <w:sz w:val="20"/>
          <w:szCs w:val="20"/>
          <w:rtl w:val="0"/>
        </w:rPr>
        <w:t xml:space="preserve">drop_first=True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para evitar la multicolinealidad, optimizando el dataset para modelos lineales.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220" w:before="0" w:beforeAutospacing="0" w:line="342.85714285714283" w:lineRule="auto"/>
        <w:ind w:left="720" w:hanging="360"/>
        <w:jc w:val="both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Limpieza Final: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Se eliminó la columna </w:t>
      </w:r>
      <w:r w:rsidDel="00000000" w:rsidR="00000000" w:rsidRPr="00000000">
        <w:rPr>
          <w:color w:val="1a1c1e"/>
          <w:sz w:val="20"/>
          <w:szCs w:val="20"/>
          <w:rtl w:val="0"/>
        </w:rPr>
        <w:t xml:space="preserve">CLIENTNUM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al no tener valor predictivo. Se verificó que no existieran valores infinitos o nulos generados durante los cálculos.</w:t>
      </w:r>
    </w:p>
    <w:p w:rsidR="00000000" w:rsidDel="00000000" w:rsidP="00000000" w:rsidRDefault="00000000" w:rsidRPr="00000000" w14:paraId="0000001E">
      <w:pPr>
        <w:shd w:fill="ffffff" w:val="clear"/>
        <w:spacing w:before="220" w:line="342.85714285714283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0" w:before="0" w:line="342.85714285714283" w:lineRule="auto"/>
        <w:jc w:val="both"/>
        <w:rPr>
          <w:b w:val="1"/>
          <w:color w:val="1a1c1e"/>
          <w:sz w:val="26"/>
          <w:szCs w:val="26"/>
        </w:rPr>
      </w:pPr>
      <w:bookmarkStart w:colFirst="0" w:colLast="0" w:name="_v1fgyue96bnd" w:id="6"/>
      <w:bookmarkEnd w:id="6"/>
      <w:r w:rsidDel="00000000" w:rsidR="00000000" w:rsidRPr="00000000">
        <w:rPr>
          <w:b w:val="1"/>
          <w:color w:val="1a1c1e"/>
          <w:sz w:val="26"/>
          <w:szCs w:val="26"/>
          <w:rtl w:val="0"/>
        </w:rPr>
        <w:t xml:space="preserve">Entregable: Dataset Curado</w:t>
      </w:r>
    </w:p>
    <w:p w:rsidR="00000000" w:rsidDel="00000000" w:rsidP="00000000" w:rsidRDefault="00000000" w:rsidRPr="00000000" w14:paraId="00000020">
      <w:pPr>
        <w:shd w:fill="ffffff" w:val="clear"/>
        <w:spacing w:before="220" w:line="342.85714285714283" w:lineRule="auto"/>
        <w:jc w:val="both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El resultado de este proceso es el archivo </w:t>
      </w:r>
      <w:r w:rsidDel="00000000" w:rsidR="00000000" w:rsidRPr="00000000">
        <w:rPr>
          <w:b w:val="1"/>
          <w:color w:val="1a1c1e"/>
          <w:sz w:val="20"/>
          <w:szCs w:val="20"/>
          <w:rtl w:val="0"/>
        </w:rPr>
        <w:t xml:space="preserve">Churn_CreditCard_Curated.csv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 Este dataset final contiene </w:t>
      </w: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10,127 filas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y </w:t>
      </w: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41 columnas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está completamente limpio, normalizado y enriquecido. Constituye la base de datos optimizada y preparada para la fase de entrenamiento de modelos de aprendizaje supervisado y profundo.</w:t>
      </w:r>
    </w:p>
    <w:p w:rsidR="00000000" w:rsidDel="00000000" w:rsidP="00000000" w:rsidRDefault="00000000" w:rsidRPr="00000000" w14:paraId="00000021">
      <w:pPr>
        <w:shd w:fill="ffffff" w:val="clear"/>
        <w:spacing w:before="220" w:line="342.85714285714283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