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36"/>
        </w:rPr>
        <w:t>Conhecimento e Raciocínio</w:t>
      </w:r>
    </w:p>
    <w:p>
      <w:pPr>
        <w:spacing w:after="80"/>
        <w:jc w:val="center"/>
      </w:pPr>
      <w:r>
        <w:rPr>
          <w:b/>
          <w:sz w:val="32"/>
        </w:rPr>
        <w:t>Análise de Desempenho e Diagnóstico de Falhas Industriais</w:t>
      </w:r>
    </w:p>
    <w:p>
      <w:pPr>
        <w:spacing w:after="80"/>
        <w:jc w:val="center"/>
      </w:pPr>
      <w:r>
        <w:rPr>
          <w:i/>
          <w:sz w:val="24"/>
        </w:rPr>
        <w:t>Relatório técnico do sistema CBR e Redes Neuronais Feedforward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Elemento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Informação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Instituição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Instituto Superior de Engenharia de Coimbra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Curso / UC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Licenciatura em Engenharia Informática - Conhecimento e Raciocínio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Autores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Gilberto Ramos, Marco Marcelo, Marco Amaral, Nuno Augusto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Dataset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dataset_TP.csv e dataset_TP_test.csv</w:t>
            </w:r>
          </w:p>
        </w:tc>
      </w:tr>
      <w:tr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Professor</w:t>
            </w:r>
          </w:p>
        </w:tc>
        <w:tc>
          <w:tcPr>
            <w:tcW w:type="dxa" w:w="51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João Leal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i/>
          <w:sz w:val="18"/>
        </w:rPr>
        <w:t>Nota: este documento foi estruturado para permanecer abaixo de 20 páginas, desde que as imagens principais sejam inseridas de forma seletiva.</w:t>
      </w:r>
    </w:p>
    <w:p>
      <w:pPr>
        <w:spacing w:after="80"/>
      </w:pPr>
      <w:r>
        <w:br w:type="page"/>
      </w:r>
    </w:p>
    <w:p>
      <w:pPr>
        <w:pStyle w:val="Heading1"/>
        <w:spacing w:before="160" w:after="80"/>
      </w:pPr>
      <w:r>
        <w:t>Índice resumido</w:t>
      </w:r>
    </w:p>
    <w:p>
      <w:pPr>
        <w:spacing w:after="80"/>
      </w:pPr>
      <w:r>
        <w:t>1. Introdução e objetivos</w:t>
      </w:r>
    </w:p>
    <w:p>
      <w:pPr>
        <w:spacing w:after="80"/>
      </w:pPr>
      <w:r>
        <w:t>2. Dataset e estrutura dos atributos</w:t>
      </w:r>
    </w:p>
    <w:p>
      <w:pPr>
        <w:spacing w:after="80"/>
      </w:pPr>
      <w:r>
        <w:t>3. Organização do código e ficheiros</w:t>
      </w:r>
    </w:p>
    <w:p>
      <w:pPr>
        <w:spacing w:after="80"/>
      </w:pPr>
      <w:r>
        <w:t>4. Pré-processamento e imputação de missing values</w:t>
      </w:r>
    </w:p>
    <w:p>
      <w:pPr>
        <w:spacing w:after="80"/>
      </w:pPr>
      <w:r>
        <w:t>5. Sistema CBR: Retrieve, Reuse, Revise e Retain</w:t>
      </w:r>
    </w:p>
    <w:p>
      <w:pPr>
        <w:spacing w:after="80"/>
      </w:pPr>
      <w:r>
        <w:t>6. Avaliação experimental do CBR</w:t>
      </w:r>
    </w:p>
    <w:p>
      <w:pPr>
        <w:spacing w:after="80"/>
      </w:pPr>
      <w:r>
        <w:t>7. Redes Neuronais Feedforward</w:t>
      </w:r>
    </w:p>
    <w:p>
      <w:pPr>
        <w:spacing w:after="80"/>
      </w:pPr>
      <w:r>
        <w:t>8. Resultados, matrizes de confusão e análise</w:t>
      </w:r>
    </w:p>
    <w:p>
      <w:pPr>
        <w:spacing w:after="80"/>
      </w:pPr>
      <w:r>
        <w:t>9. Comparação CBR vs RN</w:t>
      </w:r>
    </w:p>
    <w:p>
      <w:pPr>
        <w:spacing w:after="80"/>
      </w:pPr>
      <w:r>
        <w:t>10. Conclusões e pontos para defesa</w:t>
      </w:r>
    </w:p>
    <w:p>
      <w:pPr>
        <w:pStyle w:val="Heading1"/>
        <w:spacing w:before="160" w:after="80"/>
      </w:pPr>
      <w:r>
        <w:t>Resumo</w:t>
      </w:r>
    </w:p>
    <w:p>
      <w:pPr>
        <w:spacing w:after="80"/>
      </w:pPr>
      <w:r>
        <w:rPr>
          <w:b w:val="0"/>
        </w:rPr>
        <w:t xml:space="preserve">Este relatório descreve a implementação de um sistema de diagnóstico de falhas industriais baseado em duas abordagens: </w:t>
      </w:r>
      <w:r>
        <w:rPr>
          <w:b/>
        </w:rPr>
        <w:t>Case-Based Reasoning (CBR)</w:t>
      </w:r>
      <w:r>
        <w:t xml:space="preserve"> e </w:t>
      </w:r>
      <w:r>
        <w:rPr>
          <w:b/>
        </w:rPr>
        <w:t>Redes Neuronais Feedforward</w:t>
      </w:r>
      <w:r>
        <w:t>. O trabalho inclui o tratamento do dataset, a imputação de valores em falta, o preenchimento do target por CBR, a avaliação experimental de diferentes configurações e a comparação final entre CBR e RN. A solução foi organizada de forma modular, com exportação de resultados intermédios em ficheiros MAT e Excel, garantindo rastreabilidade para análise e defesa.</w:t>
      </w:r>
    </w:p>
    <w:p>
      <w:pPr>
        <w:pStyle w:val="Heading1"/>
        <w:spacing w:before="160" w:after="80"/>
      </w:pPr>
      <w:r>
        <w:t>1. Introdução e objetivos</w:t>
      </w:r>
    </w:p>
    <w:p>
      <w:pPr>
        <w:spacing w:after="80"/>
      </w:pPr>
      <w:r>
        <w:t xml:space="preserve">O objetivo principal do trabalho foi desenvolver uma solução capaz de classificar estados industriais em três classes: </w:t>
      </w:r>
      <w:r>
        <w:rPr>
          <w:b/>
        </w:rPr>
        <w:t>Normal, ElectricalFailure e MechanicalFailure</w:t>
      </w:r>
      <w:r>
        <w:t>. Para isso, foram implementadas duas abordagens complementares: um sistema CBR, adequado pela sua interpretabilidade e adaptação por casos, e redes neuronais, adequadas pela capacidade de generalização a partir de dados.</w:t>
      </w:r>
    </w:p>
    <w:p>
      <w:pPr>
        <w:pStyle w:val="ListBullet"/>
        <w:spacing w:after="80"/>
      </w:pPr>
      <w:r>
        <w:t>Tratar missing values nos inputs com mediana, moda e MICE opcional.</w:t>
      </w:r>
    </w:p>
    <w:p>
      <w:pPr>
        <w:pStyle w:val="ListBullet"/>
        <w:spacing w:after="80"/>
      </w:pPr>
      <w:r>
        <w:t>Preencher os missing values do target class_cat exclusivamente com CBR.</w:t>
      </w:r>
    </w:p>
    <w:p>
      <w:pPr>
        <w:pStyle w:val="ListBullet"/>
        <w:spacing w:after="80"/>
      </w:pPr>
      <w:r>
        <w:t>Implementar o ciclo CBR com Retrieve, Reuse, Revise e Retain.</w:t>
      </w:r>
    </w:p>
    <w:p>
      <w:pPr>
        <w:pStyle w:val="ListBullet"/>
        <w:spacing w:after="80"/>
      </w:pPr>
      <w:r>
        <w:t>Treinar e avaliar redes neuronais com diferentes topologias, algoritmos e divisões treino/validação/teste.</w:t>
      </w:r>
    </w:p>
    <w:p>
      <w:pPr>
        <w:pStyle w:val="ListBullet"/>
        <w:spacing w:after="80"/>
      </w:pPr>
      <w:r>
        <w:t>Gerar tabelas, matrizes de confusão e ficheiros de resultados para suportar o relatório e a defesa.</w:t>
      </w:r>
    </w:p>
    <w:p>
      <w:pPr>
        <w:pStyle w:val="Heading1"/>
        <w:spacing w:before="160" w:after="80"/>
      </w:pPr>
      <w:r>
        <w:t>2. Dataset e atributos usados</w:t>
      </w:r>
    </w:p>
    <w:p>
      <w:pPr>
        <w:spacing w:after="80"/>
      </w:pPr>
      <w:r>
        <w:t>O dataset principal contém 5000 registos e inclui 10 atributos numéricos, 4 atributos categóricos e uma coluna alvo, class_cat. O dataset de teste, dataset_TP_test.csv, foi mantido separado e usado apenas nas fases finais de avaliação.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Tipo</w:t>
            </w:r>
          </w:p>
        </w:tc>
        <w:tc>
          <w:tcPr>
            <w:tcW w:type="dxa" w:w="5102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Atributos</w:t>
            </w:r>
          </w:p>
        </w:tc>
        <w:tc>
          <w:tcPr>
            <w:tcW w:type="dxa" w:w="2835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Tratamento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Numéricos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temperature, vibration, rotation_speed, voltage, current, pressure, noise_level, efficiency, load_val, torque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Imputação por mediana; refinamento opcional com MICE; normalização opcional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Categóricos ordinais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maintenance_level, operating_mode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Codificação numérica justificada por ordem natural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Categóricos nominais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cooling_type, sensor_status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Codificação numérica; comparação por matriz de similaridade no CBR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Target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class_cat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Nunca normalizado; missing values preenchidos exclusivamente por CBR</w:t>
            </w:r>
          </w:p>
        </w:tc>
      </w:tr>
    </w:tbl>
    <w:p>
      <w:pPr>
        <w:spacing w:after="80"/>
      </w:pPr>
    </w:p>
    <w:p>
      <w:pPr>
        <w:pStyle w:val="Placeholder"/>
        <w:spacing w:after="80"/>
      </w:pPr>
      <w:r>
        <w:rPr>
          <w:b/>
        </w:rPr>
        <w:t xml:space="preserve">Inserir aqui: </w:t>
      </w:r>
      <w:r>
        <w:t>Tabela 1 - Caracterização inicial do dataset, com contagem de missing values por atributo, se disponível.</w:t>
      </w:r>
    </w:p>
    <w:p>
      <w:pPr>
        <w:pStyle w:val="Placeholder"/>
        <w:spacing w:after="80"/>
      </w:pPr>
      <w:r>
        <w:rPr>
          <w:b/>
        </w:rPr>
        <w:t xml:space="preserve">Inserir aqui: </w:t>
      </w:r>
      <w:r>
        <w:t>Figura 1 - Histogramas ou boxplots das variáveis numéricas, usados para justificar mediana em vez de média.</w:t>
      </w:r>
    </w:p>
    <w:p>
      <w:pPr>
        <w:pStyle w:val="Heading1"/>
        <w:spacing w:before="160" w:after="80"/>
      </w:pPr>
      <w:r>
        <w:t>3. Organização do código e ficheiros</w:t>
      </w:r>
    </w:p>
    <w:p>
      <w:pPr>
        <w:spacing w:after="80"/>
      </w:pPr>
      <w:r>
        <w:t>A solução foi implementada de forma modular. O ficheiro main.m funciona como orquestrador e as funções específicas foram colocadas em pastas por responsabilidade.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Pasta / Ficheiro</w:t>
            </w:r>
          </w:p>
        </w:tc>
        <w:tc>
          <w:tcPr>
            <w:tcW w:type="dxa" w:w="6803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Responsabilidade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main.m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Controla o fluxo geral: configuração, pré-processamento, CBR, RN e comparação final.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src/utils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Opções, nomes de configuração, listas de atributos e funções auxiliares.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src/preprocessing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Codificação, imputação inicial, MICE e normalização.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src/cbr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Similaridade, Retrieve, Reuse, Revise, Retain e preenchimento do target.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src/evaluation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Testes do CBR, experiências automáticas e comparação CBR vs RN.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src/nn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Preparação dos dados, treino, seleção e avaliação das redes neuronais.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outputs/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Resultados intermédios e finais em MAT, Excel e imagens.</w:t>
            </w:r>
          </w:p>
        </w:tc>
      </w:tr>
    </w:tbl>
    <w:p>
      <w:pPr>
        <w:spacing w:after="80"/>
      </w:pPr>
    </w:p>
    <w:p>
      <w:pPr>
        <w:pStyle w:val="Heading1"/>
        <w:spacing w:before="160" w:after="80"/>
      </w:pPr>
      <w:r>
        <w:t>4. Pré-processamento e imputação de missing values</w:t>
      </w:r>
    </w:p>
    <w:p>
      <w:pPr>
        <w:pStyle w:val="Heading2"/>
        <w:spacing w:before="160" w:after="80"/>
      </w:pPr>
      <w:r>
        <w:t>4.1 Configuração e rastreabilidade</w:t>
      </w:r>
    </w:p>
    <w:p>
      <w:pPr>
        <w:spacing w:after="80"/>
      </w:pPr>
      <w:r>
        <w:rPr>
          <w:b/>
        </w:rPr>
        <w:t xml:space="preserve">A função get_default_options.m </w:t>
      </w:r>
      <w:r>
        <w:t>define os parâmetros do pipeline, tais como useMice, normalizeData, loadPreprocessed, loadCBR e verbose. A função build_config_name.m cria nomes como raw_mice ou norm_nomice, usados para guardar outputs por configuração.</w:t>
      </w:r>
    </w:p>
    <w:p>
      <w:pPr>
        <w:pStyle w:val="Heading2"/>
        <w:spacing w:before="160" w:after="80"/>
      </w:pPr>
      <w:r>
        <w:t>4.2 Codificação categórica</w:t>
      </w:r>
    </w:p>
    <w:p>
      <w:pPr>
        <w:spacing w:after="80"/>
      </w:pPr>
      <w:r>
        <w:t>A função encode_categorical.m converte atributos categóricos para representação numérica. Esta codificação é necessária para o CBR e para as redes neuronais. Para evitar interpretação indevida de categorias nominais, o CBR usa matrizes de similaridade categórica em vez de distância numérica simples.</w:t>
      </w:r>
    </w:p>
    <w:p>
      <w:pPr>
        <w:pStyle w:val="Heading2"/>
        <w:spacing w:before="160" w:after="80"/>
      </w:pPr>
      <w:r>
        <w:t>4.3 Imputação inicial: mediana e moda</w:t>
      </w:r>
    </w:p>
    <w:p>
      <w:pPr>
        <w:spacing w:after="80"/>
      </w:pPr>
      <w:r>
        <w:rPr>
          <w:b/>
        </w:rPr>
        <w:t xml:space="preserve">A função fill_missing_inputs.m </w:t>
      </w:r>
      <w:r>
        <w:t>substitui missing values nos atributos numéricos pela mediana e nas variáveis categóricas pela moda. A mediana foi escolhida por ser mais robusta a outliers. A moda é adequada para variáveis categóricas, por representar a categoria mais frequente.</w:t>
      </w:r>
    </w:p>
    <w:p>
      <w:pPr>
        <w:pStyle w:val="Heading2"/>
        <w:spacing w:before="160" w:after="80"/>
      </w:pPr>
      <w:r>
        <w:t>4.4 MICE simplificado</w:t>
      </w:r>
    </w:p>
    <w:p>
      <w:pPr>
        <w:spacing w:after="80"/>
      </w:pPr>
      <w:r>
        <w:rPr>
          <w:b/>
        </w:rPr>
        <w:t xml:space="preserve">A função fill_nans_mice.m </w:t>
      </w:r>
      <w:r>
        <w:t>refina os valores originalmente em falta nos atributos numéricos. Primeiro usa a máscara original de missing values, guardada antes da imputação inicial. Depois, em cada iteração, seleciona uma variável numérica, treina uma regressão linear usando as restantes variáveis como preditores e atualiza apenas os valores originalmente em falta. O processo repete-se até atingir o número máximo de iterações ou estabilizar.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Iteração MICE</w:t>
            </w:r>
          </w:p>
        </w:tc>
        <w:tc>
          <w:tcPr>
            <w:tcW w:type="dxa" w:w="2835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Delta máximo observado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104.83395480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28.18164894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6.31947458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1.86916554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1.11718839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0.57220404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0.27758415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0.13166898</w:t>
            </w:r>
          </w:p>
        </w:tc>
      </w:tr>
    </w:tbl>
    <w:p>
      <w:pPr>
        <w:spacing w:after="80"/>
      </w:pPr>
    </w:p>
    <w:p>
      <w:pPr>
        <w:pStyle w:val="Placeholder"/>
        <w:spacing w:after="80"/>
      </w:pPr>
      <w:r>
        <w:rPr>
          <w:b/>
        </w:rPr>
        <w:t xml:space="preserve">Inserir aqui: </w:t>
      </w:r>
      <w:r>
        <w:t>Figura 2 - Gráfico de convergência do MICE: outputs/tables/convergencia_mice.jpg.</w:t>
      </w:r>
    </w:p>
    <w:p>
      <w:pPr>
        <w:spacing w:after="80"/>
      </w:pPr>
      <w:r>
        <w:rPr>
          <w:b/>
        </w:rPr>
        <w:t xml:space="preserve">Resultado obtido: </w:t>
      </w:r>
      <w:r>
        <w:t>os 6902 missing values existentes nos inputs foram reduzidos para 0 após o pré-processamento. O target class_cat não foi tratado por MICE, mas sim por CBR.</w:t>
      </w:r>
    </w:p>
    <w:p>
      <w:pPr>
        <w:pStyle w:val="Heading1"/>
        <w:spacing w:before="160" w:after="80"/>
      </w:pPr>
      <w:r>
        <w:t>5. Normalização</w:t>
      </w:r>
    </w:p>
    <w:p>
      <w:pPr>
        <w:spacing w:after="80"/>
      </w:pPr>
      <w:r>
        <w:t>A normalização foi implementada como opção experimental. Em métodos baseados em distância, atributos com escalas maiores podem dominar o cálculo de similaridade. Por isso, foram testadas versões normalizadas e não normalizadas. O target class_cat nunca foi normalizado.</w:t>
      </w:r>
    </w:p>
    <w:p>
      <w:pPr>
        <w:spacing w:after="80"/>
      </w:pPr>
      <w:r>
        <w:t>Quando se normaliza o dataset, os parâmetros de normalização são guardados em normParams e reutilizados no dataset de teste, evitando data leakage.</w:t>
      </w:r>
    </w:p>
    <w:p>
      <w:pPr>
        <w:pStyle w:val="Heading1"/>
        <w:spacing w:before="160" w:after="80"/>
      </w:pPr>
      <w:r>
        <w:t>6. Sistema CBR</w:t>
      </w:r>
    </w:p>
    <w:p>
      <w:pPr>
        <w:pStyle w:val="Heading2"/>
        <w:spacing w:before="160" w:after="80"/>
      </w:pPr>
      <w:r>
        <w:t>6.1 Metadados e similaridade</w:t>
      </w:r>
    </w:p>
    <w:p>
      <w:pPr>
        <w:spacing w:after="80"/>
      </w:pPr>
      <w:r>
        <w:rPr>
          <w:b/>
        </w:rPr>
        <w:t xml:space="preserve">prepare_cbr_metadata.m </w:t>
      </w:r>
      <w:r>
        <w:t>prepara os ranges das variáveis numéricas e as matrizes de similaridade categórica. A função get_ranges.m calcula max-min para cada atributo numérico, evitando divisão por zero. A função get_similarity_matrices.m define semelhanças entre valores categóricos.</w:t>
      </w:r>
    </w:p>
    <w:p>
      <w:pPr>
        <w:spacing w:after="80"/>
      </w:pPr>
      <w:r>
        <w:rPr>
          <w:b/>
        </w:rPr>
        <w:t xml:space="preserve">compute_similarity.m </w:t>
      </w:r>
      <w:r>
        <w:t>calcula a similaridade global entre dois casos. Para atributos numéricos usa 1 - abs(a-b)/range; para categóricos consulta a matriz de similaridade. As similaridades locais são agregadas por média ponderada.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Atributo / grupo</w:t>
            </w:r>
          </w:p>
        </w:tc>
        <w:tc>
          <w:tcPr>
            <w:tcW w:type="dxa" w:w="1701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Peso usado</w:t>
            </w:r>
          </w:p>
        </w:tc>
        <w:tc>
          <w:tcPr>
            <w:tcW w:type="dxa" w:w="5102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Justificação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temperature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Indicador relevante para falhas mecânicas e estado térmico.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vibration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Muito discriminante para falhas mecânicas.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pressure, noise_level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Relacionados com esforço operacional e anomalias.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operating_mode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Contextualiza o regime de funcionamento.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sensor_status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Indica qualidade/estado do sensor e possível falha.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restantes atributos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a 2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Contribuição complementar para o diagnóstico.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t>6.2 Preenchimento do target</w:t>
      </w:r>
    </w:p>
    <w:p>
      <w:pPr>
        <w:spacing w:after="80"/>
      </w:pPr>
      <w:r>
        <w:rPr>
          <w:b/>
        </w:rPr>
        <w:t xml:space="preserve">fill_missing_target_cbr.m </w:t>
      </w:r>
      <w:r>
        <w:t>preenche os 232 valores em falta de class_cat. Para cada caso sem target, calcula a similaridade com os casos conhecidos, seleciona o caso mais similar e copia a respetiva classe. O resultado obtido foi uma similaridade média dos melhores casos de aproximadamente 0.9543.</w:t>
      </w:r>
    </w:p>
    <w:p>
      <w:pPr>
        <w:pStyle w:val="Heading2"/>
        <w:spacing w:before="160" w:after="80"/>
      </w:pPr>
      <w:r>
        <w:t>6.3 Ciclo CBR formal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Fase</w:t>
            </w:r>
          </w:p>
        </w:tc>
        <w:tc>
          <w:tcPr>
            <w:tcW w:type="dxa" w:w="2835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Função</w:t>
            </w:r>
          </w:p>
        </w:tc>
        <w:tc>
          <w:tcPr>
            <w:tcW w:type="dxa" w:w="4535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Descrição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Retrieve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retrieve_cases.m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Recebe um novo caso, calcula similaridade com a case base e devolve os casos acima do limiar e o melhor caso.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Reuse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reuse_temperature_nn.m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Treina/usa uma RN de regressão para estimar temperature com vibration, rotation_speed e voltage.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Revise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revise_case.m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Apresenta a proposta ao utilizador e pede validação com input().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Retain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retain_case.m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Adiciona o caso revisto à case base se o utilizador aceitar ou se a condição de retenção for cumprida.</w:t>
            </w:r>
          </w:p>
        </w:tc>
      </w:tr>
    </w:tbl>
    <w:p>
      <w:pPr>
        <w:spacing w:after="80"/>
      </w:pPr>
    </w:p>
    <w:p>
      <w:pPr>
        <w:pStyle w:val="Placeholder"/>
        <w:spacing w:after="80"/>
      </w:pPr>
      <w:r>
        <w:rPr>
          <w:b/>
        </w:rPr>
        <w:t xml:space="preserve">Inserir aqui: </w:t>
      </w:r>
      <w:r>
        <w:t>Figura 3 - Esquema do ciclo CBR: Retrieve -&gt; Reuse -&gt; Revise -&gt; Retain.</w:t>
      </w:r>
    </w:p>
    <w:p>
      <w:pPr>
        <w:pStyle w:val="Heading1"/>
        <w:spacing w:before="160" w:after="80"/>
      </w:pPr>
      <w:r>
        <w:t>7. Avaliação experimental do CBR</w:t>
      </w:r>
    </w:p>
    <w:p>
      <w:pPr>
        <w:spacing w:after="80"/>
      </w:pPr>
      <w:r>
        <w:rPr>
          <w:b/>
        </w:rPr>
        <w:t xml:space="preserve">test_cbr_accuracy.m </w:t>
      </w:r>
      <w:r>
        <w:t>testa o CBR no dataset_TP_test.csv. Para cada caso, executa o Retrieve, obtém a classe do melhor caso e compara com a classe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Configuração</w:t>
            </w:r>
          </w:p>
        </w:tc>
        <w:tc>
          <w:tcPr>
            <w:tcW w:type="dxa" w:w="2268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Accuracy</w:t>
            </w:r>
          </w:p>
        </w:tc>
        <w:tc>
          <w:tcPr>
            <w:tcW w:type="dxa" w:w="2835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Similaridade média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raw_nomice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0.95968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raw_mice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0.95944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norm_nomice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0.95968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norm_mice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0.95631</w:t>
            </w:r>
          </w:p>
        </w:tc>
      </w:tr>
    </w:tbl>
    <w:p>
      <w:pPr>
        <w:spacing w:after="80"/>
      </w:pPr>
    </w:p>
    <w:p>
      <w:pPr>
        <w:spacing w:after="80"/>
      </w:pPr>
      <w:r>
        <w:t>Todas as configurações testadas com pesos manuais obtiveram 100% de acerto nos 30 casos do dataset de teste. As diferenças ocorreram sobretudo na similaridade média, sendo raw_nomice e norm_nomice ligeiramente superiores. Como o dataset de teste é pequeno, esta conclusão deve ser analisada em conjunto com a matriz de confusão e com a comparação qualitativa.</w:t>
      </w:r>
    </w:p>
    <w:p>
      <w:pPr>
        <w:pStyle w:val="Placeholder"/>
        <w:spacing w:after="80"/>
      </w:pPr>
      <w:r>
        <w:rPr>
          <w:b/>
        </w:rPr>
        <w:t xml:space="preserve">Inserir aqui: </w:t>
      </w:r>
      <w:r>
        <w:t>Tabela 2 - Inserir outputs/tables/cbr_experiments_summary.xlsx ou uma versão resumida.</w:t>
      </w:r>
    </w:p>
    <w:p>
      <w:pPr>
        <w:pStyle w:val="Placeholder"/>
        <w:spacing w:after="80"/>
      </w:pPr>
      <w:r>
        <w:rPr>
          <w:b/>
        </w:rPr>
        <w:t xml:space="preserve">Inserir aqui: </w:t>
      </w:r>
      <w:r>
        <w:t>Figura 4 - Matriz de confusão do CBR gerada na comparação final.</w:t>
      </w:r>
    </w:p>
    <w:p>
      <w:pPr>
        <w:pStyle w:val="Heading1"/>
        <w:spacing w:before="160" w:after="80"/>
      </w:pPr>
      <w:r>
        <w:t>8. Redes Neuronais Feedforward</w:t>
      </w:r>
    </w:p>
    <w:p>
      <w:pPr>
        <w:pStyle w:val="Heading2"/>
        <w:spacing w:before="160" w:after="80"/>
      </w:pPr>
      <w:r>
        <w:t>8.1 Preparação dos dados</w:t>
      </w:r>
    </w:p>
    <w:p>
      <w:pPr>
        <w:spacing w:after="80"/>
      </w:pPr>
      <w:r>
        <w:rPr>
          <w:b/>
        </w:rPr>
        <w:t xml:space="preserve">build_nn_inputs.m </w:t>
      </w:r>
      <w:r>
        <w:t>gera a matriz X no formato esperado pelo MATLAB: linhas correspondem a features e colunas a amostras. Foram obtidas 14 features x 5000 amostras.</w:t>
      </w:r>
    </w:p>
    <w:p>
      <w:pPr>
        <w:spacing w:after="80"/>
      </w:pPr>
      <w:r>
        <w:rPr>
          <w:b/>
        </w:rPr>
        <w:t xml:space="preserve">build_nn_targets.m </w:t>
      </w:r>
      <w:r>
        <w:t>converte class_cat para one-hot com 3 linhas, correspondentes a Normal, ElectricalFailure e MechanicalFailure. Foram obtidas 3 classes x 5000 amostras.</w:t>
      </w:r>
    </w:p>
    <w:p>
      <w:pPr>
        <w:pStyle w:val="Heading2"/>
        <w:spacing w:before="160" w:after="80"/>
      </w:pPr>
      <w:r>
        <w:t>8.2 Treino e avaliação de uma rede</w:t>
      </w:r>
    </w:p>
    <w:p>
      <w:pPr>
        <w:spacing w:after="80"/>
      </w:pPr>
      <w:r>
        <w:rPr>
          <w:b/>
        </w:rPr>
        <w:t xml:space="preserve">train_and_evaluate_nn.m </w:t>
      </w:r>
      <w:r>
        <w:t>treina uma configuração de rede usando patternnet. A rede usa softmax na saída e target one-hot. A divisão dos dados é feita por índices fixos, e a normalização opcional é calculada apenas no subconjunto de treino.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Elemento</w:t>
            </w:r>
          </w:p>
        </w:tc>
        <w:tc>
          <w:tcPr>
            <w:tcW w:type="dxa" w:w="5102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Implementação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Tipo de rede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patternnet para classificação multiclasse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Topologias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[10], [15 5], [8 8 4]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Treino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trainbr, trainscg, traingdx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Saída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softmax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Divisões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70/15/15 e 60/20/20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Repetições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por configuração na versão final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Reprodutibilidade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rng(seed) por repetição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t>8.3 Experiências sistemáticas</w:t>
      </w:r>
    </w:p>
    <w:p>
      <w:pPr>
        <w:spacing w:after="80"/>
      </w:pPr>
      <w:r>
        <w:rPr>
          <w:b/>
        </w:rPr>
        <w:t xml:space="preserve">run_nn_experiments.m </w:t>
      </w:r>
      <w:r>
        <w:t>executa todas as combinações de topologia, função de treino, divisão e normalização. Para cada configuração calcula média e desvio padrão da accuracy global e da accuracy de teste, guarda os resultados em Excel e guarda a melhor rede da configuração.</w:t>
      </w:r>
    </w:p>
    <w:p>
      <w:pPr>
        <w:pStyle w:val="Placeholder"/>
        <w:spacing w:after="80"/>
      </w:pPr>
      <w:r>
        <w:rPr>
          <w:b/>
        </w:rPr>
        <w:t xml:space="preserve">Inserir aqui: </w:t>
      </w:r>
      <w:r>
        <w:t>Tabela 3 - Inserir outputs/tables/nn_experiments_summary.xlsx com as melhores configurações.</w:t>
      </w:r>
    </w:p>
    <w:p>
      <w:pPr>
        <w:pStyle w:val="Placeholder"/>
        <w:spacing w:after="80"/>
      </w:pPr>
      <w:r>
        <w:rPr>
          <w:b/>
        </w:rPr>
        <w:t xml:space="preserve">Inserir aqui: </w:t>
      </w:r>
      <w:r>
        <w:t>Figura 5 - Inserir matriz de confusão da melhor RN.</w:t>
      </w:r>
    </w:p>
    <w:p>
      <w:pPr>
        <w:pStyle w:val="Heading1"/>
        <w:spacing w:before="160" w:after="80"/>
      </w:pPr>
      <w:r>
        <w:t>9. Seleção e teste das melhores redes</w:t>
      </w:r>
    </w:p>
    <w:p>
      <w:pPr>
        <w:spacing w:after="80"/>
      </w:pPr>
      <w:r>
        <w:rPr>
          <w:b/>
        </w:rPr>
        <w:t xml:space="preserve">select_best_worst_nn_configs.m </w:t>
      </w:r>
      <w:r>
        <w:t>ordena a tabela de resultados pela mean_accuracy_test e seleciona as 3 melhores e as 3 piores configurações.</w:t>
      </w:r>
    </w:p>
    <w:p>
      <w:pPr>
        <w:spacing w:after="80"/>
      </w:pPr>
      <w:r>
        <w:rPr>
          <w:b/>
        </w:rPr>
        <w:t xml:space="preserve">analyze_selected_nn_configs.m </w:t>
      </w:r>
      <w:r>
        <w:t>carrega a melhor repetição das configurações selecionadas, gera matrizes de confusão global e de teste e guarda as 3 melhores redes como bestNet_1.mat, bestNet_2.mat e bestNet_3.mat.</w:t>
      </w:r>
    </w:p>
    <w:p>
      <w:pPr>
        <w:spacing w:after="80"/>
      </w:pPr>
      <w:r>
        <w:rPr>
          <w:b/>
        </w:rPr>
        <w:t xml:space="preserve">test_best_nets_on_testset.m </w:t>
      </w:r>
      <w:r>
        <w:t>aplica as 3 melhores redes ao dataset_TP_test.csv, calcula accuracy global, accuracy por classe e gera matrizes de confusão específicas para o dataset de teste.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Output</w:t>
            </w:r>
          </w:p>
        </w:tc>
        <w:tc>
          <w:tcPr>
            <w:tcW w:type="dxa" w:w="5669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Conteúdo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nn_best3.xlsx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Três melhores configurações de RN.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nn_worst3.xlsx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Três piores configurações de RN.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nn_selected_analysis.xlsx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Métricas e caminhos das matrizes de confusão.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best_nets_testset_results.xlsx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Accuracy global e por classe das melhores redes no dataset de teste.</w:t>
            </w:r>
          </w:p>
        </w:tc>
      </w:tr>
    </w:tbl>
    <w:p>
      <w:pPr>
        <w:spacing w:after="80"/>
      </w:pPr>
    </w:p>
    <w:p>
      <w:pPr>
        <w:pStyle w:val="Heading1"/>
        <w:spacing w:before="160" w:after="80"/>
      </w:pPr>
      <w:r>
        <w:t>10. Comparação CBR vs RN</w:t>
      </w:r>
    </w:p>
    <w:p>
      <w:pPr>
        <w:spacing w:after="80"/>
      </w:pPr>
      <w:r>
        <w:rPr>
          <w:b/>
        </w:rPr>
        <w:t xml:space="preserve">compare_cbr_vs_rn.m </w:t>
      </w:r>
      <w:r>
        <w:t>compara o melhor resultado do CBR com a melhor rede neuronal selecionada. A comparação inclui accuracy global, accuracy por classe, interpretabilidade, adaptação online, sensibilidade a missing values, robustez a outliers e tempo de treino/predição.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Critério</w:t>
            </w:r>
          </w:p>
        </w:tc>
        <w:tc>
          <w:tcPr>
            <w:tcW w:type="dxa" w:w="3402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CBR</w:t>
            </w:r>
          </w:p>
        </w:tc>
        <w:tc>
          <w:tcPr>
            <w:tcW w:type="dxa" w:w="3402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Redes Neuronais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100% no dataset de teste; similaridade média elevada.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Próxima de 100% nas melhores configurações.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Interpretabilidade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Alta: decisão explicada por casos similares, pesos e similaridades.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Menor: modelo de tipo caixa preta.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Adaptação online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Alta: Retain permite adicionar novos casos.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Baixa: normalmente exige novo treino.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Missing values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Exige imputação prévia, mas mantém rastreabilidade por caso.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Muito dependente do pré-processamento.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Tempo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Sem treino pesado; previsão exige comparação com a case base.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Treino mais pesado; previsão muito rápida.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Contexto industrial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Mais transparente e auditável.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Boa generalização quando há muitos dados.</w:t>
            </w:r>
          </w:p>
        </w:tc>
      </w:tr>
    </w:tbl>
    <w:p>
      <w:pPr>
        <w:spacing w:after="80"/>
      </w:pPr>
    </w:p>
    <w:p>
      <w:pPr>
        <w:pStyle w:val="Placeholder"/>
        <w:spacing w:after="80"/>
      </w:pPr>
      <w:r>
        <w:rPr>
          <w:b/>
        </w:rPr>
        <w:t xml:space="preserve">Inserir aqui: </w:t>
      </w:r>
      <w:r>
        <w:t>Tabela 4 - Inserir outputs/tables/final_cbr_vs_rn.xlsx.</w:t>
      </w:r>
    </w:p>
    <w:p>
      <w:pPr>
        <w:pStyle w:val="Placeholder"/>
        <w:spacing w:after="80"/>
      </w:pPr>
      <w:r>
        <w:rPr>
          <w:b/>
        </w:rPr>
        <w:t xml:space="preserve">Inserir aqui: </w:t>
      </w:r>
      <w:r>
        <w:t>Figura 6 - Inserir lado a lado a matriz de confusão do CBR e da melhor RN.</w:t>
      </w:r>
    </w:p>
    <w:p>
      <w:pPr>
        <w:pStyle w:val="Heading1"/>
        <w:spacing w:before="160" w:after="80"/>
      </w:pPr>
      <w:r>
        <w:t>11. Scripts das aulas usados como referência</w:t>
      </w:r>
    </w:p>
    <w:p>
      <w:pPr>
        <w:spacing w:after="80"/>
      </w:pPr>
      <w:r>
        <w:t>Os scripts das aulas foram usados como base conceptual e prática, mas a implementação final foi adaptada às exigências específicas do trabalho.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Script da aula</w:t>
            </w:r>
          </w:p>
        </w:tc>
        <w:tc>
          <w:tcPr>
            <w:tcW w:type="dxa" w:w="6236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Utilização no projeto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iris_ex.m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Referência para fluxo de treino, simulação, cálculo de accuracy e plotconfusion.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diabetes_ex.m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Referência para construção de targets one-hot e avaliação de accuracy global/teste.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perceptron_aula.m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Base conceptual para compreender soma ponderada, erro e atualização de pesos.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perceptron_ficha5.m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Apoio conceptual para aprendizagem supervisionada e comportamento de redes simples.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soma_condicional_loop.m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Pouco relevante para a solução final, apenas exemplo de lógica procedural.</w:t>
            </w:r>
          </w:p>
        </w:tc>
      </w:tr>
    </w:tbl>
    <w:p>
      <w:pPr>
        <w:spacing w:after="80"/>
      </w:pPr>
    </w:p>
    <w:p>
      <w:pPr>
        <w:spacing w:after="80"/>
      </w:pPr>
      <w:r>
        <w:t>Apesar de os scripts das aulas usarem feedforwardnet em alguns exemplos, a solução final usa patternnet para classificação, target one-hot e softmax, por serem mais adequados à classificação multiclasse exigida no trabalho.</w:t>
      </w:r>
    </w:p>
    <w:p>
      <w:pPr>
        <w:pStyle w:val="Heading1"/>
        <w:spacing w:before="160" w:after="80"/>
      </w:pPr>
      <w:r>
        <w:t>12. Conclusões</w:t>
      </w:r>
    </w:p>
    <w:p>
      <w:pPr>
        <w:spacing w:after="80"/>
      </w:pPr>
      <w:r>
        <w:t>A solução implementada tratou com sucesso os missing values dos inputs, preencheu os 232 targets em falta através de CBR e permitiu comparar diferentes configurações de CBR e RN. O CBR obteve 100% de accuracy no dataset de teste, com similaridades médias elevadas. As redes neuronais também apresentaram desempenho muito elevado, demonstrando que os atributos do dataset são bastante discriminantes para as três classes.</w:t>
      </w:r>
    </w:p>
    <w:p>
      <w:pPr>
        <w:spacing w:after="80"/>
      </w:pPr>
      <w:r>
        <w:t>A escolha entre CBR e RN não deve ser feita apenas pela accuracy. O CBR é mais interpretável e adaptável através do Retain, sendo adequado quando a rastreabilidade é crítica. As RN têm previsão rápida e boa capacidade de generalização, mas são menos transparentes. Num contexto industrial, a escolha deve equilibrar precisão, explicabilidade, robustez e capacidade de adaptação.</w:t>
      </w:r>
    </w:p>
    <w:p>
      <w:pPr>
        <w:pStyle w:val="Heading1"/>
        <w:spacing w:before="160" w:after="80"/>
      </w:pPr>
      <w:r>
        <w:t>13. Pontos essenciais para a defesa</w:t>
      </w:r>
    </w:p>
    <w:p>
      <w:pPr>
        <w:pStyle w:val="ListBullet"/>
        <w:spacing w:after="80"/>
      </w:pPr>
      <w:r>
        <w:t>Explicar por que a mediana foi usada nos numéricos e a moda nas categóricas.</w:t>
      </w:r>
    </w:p>
    <w:p>
      <w:pPr>
        <w:pStyle w:val="ListBullet"/>
        <w:spacing w:after="80"/>
      </w:pPr>
      <w:r>
        <w:t>Explicar o funcionamento do MICE e por que só foi aplicado aos inputs.</w:t>
      </w:r>
    </w:p>
    <w:p>
      <w:pPr>
        <w:pStyle w:val="ListBullet"/>
        <w:spacing w:after="80"/>
      </w:pPr>
      <w:r>
        <w:t>Reforçar que class_cat nunca foi normalizado nem imputado por média/aleatório.</w:t>
      </w:r>
    </w:p>
    <w:p>
      <w:pPr>
        <w:pStyle w:val="ListBullet"/>
        <w:spacing w:after="80"/>
      </w:pPr>
      <w:r>
        <w:t>Explicar a fórmula de similaridade numérica e o uso de matrizes categóricas.</w:t>
      </w:r>
    </w:p>
    <w:p>
      <w:pPr>
        <w:pStyle w:val="ListBullet"/>
        <w:spacing w:after="80"/>
      </w:pPr>
      <w:r>
        <w:t>Justificar os pesos do CBR com base no domínio industrial.</w:t>
      </w:r>
    </w:p>
    <w:p>
      <w:pPr>
        <w:pStyle w:val="ListBullet"/>
        <w:spacing w:after="80"/>
      </w:pPr>
      <w:r>
        <w:t>Mostrar que o Retrieve devolve uma lista de casos acima do limiar.</w:t>
      </w:r>
    </w:p>
    <w:p>
      <w:pPr>
        <w:pStyle w:val="ListBullet"/>
        <w:spacing w:after="80"/>
      </w:pPr>
      <w:r>
        <w:t>Explicar que o Reuse é regressão para temperature, não classificação.</w:t>
      </w:r>
    </w:p>
    <w:p>
      <w:pPr>
        <w:pStyle w:val="ListBullet"/>
        <w:spacing w:after="80"/>
      </w:pPr>
      <w:r>
        <w:t>Explicar por que as RN usam patternnet, one-hot e softmax.</w:t>
      </w:r>
    </w:p>
    <w:p>
      <w:pPr>
        <w:pStyle w:val="ListBullet"/>
        <w:spacing w:after="80"/>
      </w:pPr>
      <w:r>
        <w:t>Interpretar a matriz de confusão e identificar eventuais confusões entre classes.</w:t>
      </w:r>
    </w:p>
    <w:p>
      <w:pPr>
        <w:pStyle w:val="ListBullet"/>
        <w:spacing w:after="80"/>
      </w:pPr>
      <w:r>
        <w:t>Comparar CBR e RN para além da accuracy: interpretabilidade, adaptação, robustez e tempo.</w:t>
      </w:r>
    </w:p>
    <w:p>
      <w:pPr>
        <w:pStyle w:val="Heading1"/>
        <w:spacing w:before="160" w:after="80"/>
      </w:pPr>
      <w:r>
        <w:t>14. Principais outputs gerados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Categoria</w:t>
            </w:r>
          </w:p>
        </w:tc>
        <w:tc>
          <w:tcPr>
            <w:tcW w:type="dxa" w:w="6803"/>
            <w:shd w:fill="D9EAF7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Ficheiros principais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Pré-processamento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outputs/preprocessed/*.mat; outputs/tables/dataset_*.xlsx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CBR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cbr_dataset_*.xlsx; cbr_predictions_*.xlsx; cbr_test_results_*.xlsx; cbr_experiments_summary.xlsx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RN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nn_experiments_summary.xlsx; nn_best3.xlsx; nn_worst3.xlsx; nn_selected_analysis.xlsx; bestNet_1.mat a bestNet_3.mat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Teste final RN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best_nets_testset_results.xlsx; bestNet_X_testset_details.xlsx; imagens de confusion chart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Comparação final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final_cbr_vs_rn.xlsx; final_cbr_vs_rn.mat; matrizes finais de CBR e RN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Relatório técnico - CBR e Redes Neuronais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B38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spacing w:before="40" w:after="120"/>
      <w:ind w:left="170"/>
    </w:pPr>
    <w:rPr>
      <w:rFonts w:ascii="Calibri" w:hAnsi="Calibri"/>
      <w:i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