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F41D4" w14:textId="06DEFAE3" w:rsidR="00AC57DA" w:rsidRDefault="00AC57DA" w:rsidP="00AC57DA">
      <w:pPr>
        <w:jc w:val="right"/>
      </w:pPr>
    </w:p>
    <w:p w14:paraId="334B99FA" w14:textId="765ED88B" w:rsidR="00AC57DA" w:rsidRDefault="00AC57DA" w:rsidP="00AC57DA">
      <w:pPr>
        <w:jc w:val="right"/>
      </w:pPr>
    </w:p>
    <w:p w14:paraId="2FA64CB3" w14:textId="19D940C7" w:rsidR="00AC57DA" w:rsidRDefault="00AC57DA" w:rsidP="00AC57DA">
      <w:pPr>
        <w:jc w:val="right"/>
      </w:pPr>
    </w:p>
    <w:p w14:paraId="3E96CC4A" w14:textId="3A27FCFD" w:rsidR="00AC57DA" w:rsidRDefault="00AC57DA" w:rsidP="00AC57DA">
      <w:pPr>
        <w:jc w:val="right"/>
      </w:pPr>
    </w:p>
    <w:p w14:paraId="2B21420A" w14:textId="35EF4217" w:rsidR="00AC57DA" w:rsidRDefault="00AC57DA" w:rsidP="00AC57DA">
      <w:pPr>
        <w:jc w:val="right"/>
      </w:pPr>
    </w:p>
    <w:p w14:paraId="36C738A2" w14:textId="13D4753F" w:rsidR="00AC57DA" w:rsidRDefault="00AC57DA" w:rsidP="00AC57DA">
      <w:pPr>
        <w:jc w:val="center"/>
      </w:pPr>
    </w:p>
    <w:p w14:paraId="58A2B5EC" w14:textId="7529F5E0" w:rsidR="00AC57DA" w:rsidRDefault="00AC57DA" w:rsidP="00AC57DA">
      <w:pPr>
        <w:jc w:val="center"/>
      </w:pPr>
    </w:p>
    <w:p w14:paraId="365D8941" w14:textId="77777777" w:rsidR="00AC57DA" w:rsidRDefault="00AC57DA" w:rsidP="00AC57DA">
      <w:pPr>
        <w:pStyle w:val="Title"/>
        <w:jc w:val="center"/>
        <w:rPr>
          <w:lang w:val="es-GT"/>
        </w:rPr>
      </w:pPr>
    </w:p>
    <w:p w14:paraId="3EAC3E55" w14:textId="77777777" w:rsidR="00AC57DA" w:rsidRDefault="00AC57DA" w:rsidP="00AC57DA">
      <w:pPr>
        <w:pStyle w:val="Title"/>
        <w:jc w:val="center"/>
        <w:rPr>
          <w:lang w:val="es-GT"/>
        </w:rPr>
      </w:pPr>
    </w:p>
    <w:p w14:paraId="62AEBA03" w14:textId="77777777" w:rsidR="00AC57DA" w:rsidRDefault="00AC57DA" w:rsidP="00AC57DA">
      <w:pPr>
        <w:pStyle w:val="Title"/>
        <w:jc w:val="center"/>
        <w:rPr>
          <w:lang w:val="es-GT"/>
        </w:rPr>
      </w:pPr>
    </w:p>
    <w:p w14:paraId="65CA75BA" w14:textId="70E029C1" w:rsidR="00AC57DA" w:rsidRPr="00AC57DA" w:rsidRDefault="00AC57DA" w:rsidP="00AC57DA">
      <w:pPr>
        <w:pStyle w:val="Title"/>
        <w:jc w:val="center"/>
        <w:rPr>
          <w:color w:val="002060"/>
          <w:lang w:val="es-GT"/>
        </w:rPr>
      </w:pPr>
      <w:r w:rsidRPr="00AC57DA">
        <w:rPr>
          <w:color w:val="002060"/>
          <w:lang w:val="es-GT"/>
        </w:rPr>
        <w:t>ANALISIS DE INVERSIONES EN ENERGIA S.A</w:t>
      </w:r>
    </w:p>
    <w:p w14:paraId="6D0C2B1D" w14:textId="6422EA51" w:rsidR="00AC57DA" w:rsidRDefault="00AC57DA" w:rsidP="00AC57DA">
      <w:pPr>
        <w:jc w:val="right"/>
        <w:rPr>
          <w:lang w:val="es-GT"/>
        </w:rPr>
      </w:pPr>
    </w:p>
    <w:p w14:paraId="2A840E7A" w14:textId="272C2B20" w:rsidR="00AC57DA" w:rsidRDefault="00AC57DA" w:rsidP="00AC57DA">
      <w:pPr>
        <w:jc w:val="right"/>
        <w:rPr>
          <w:lang w:val="es-GT"/>
        </w:rPr>
      </w:pPr>
    </w:p>
    <w:p w14:paraId="647F2511" w14:textId="7CBDF116" w:rsidR="00AC57DA" w:rsidRDefault="00AC57DA" w:rsidP="00AC57DA">
      <w:pPr>
        <w:jc w:val="right"/>
        <w:rPr>
          <w:lang w:val="es-GT"/>
        </w:rPr>
      </w:pPr>
    </w:p>
    <w:p w14:paraId="1DD6D91F" w14:textId="5654451D" w:rsidR="00AC57DA" w:rsidRDefault="00AC57DA" w:rsidP="00AC57DA">
      <w:pPr>
        <w:jc w:val="right"/>
        <w:rPr>
          <w:lang w:val="es-GT"/>
        </w:rPr>
      </w:pPr>
    </w:p>
    <w:p w14:paraId="79EC54FB" w14:textId="7A850D27" w:rsidR="00AC57DA" w:rsidRDefault="00AC57DA" w:rsidP="00AC57DA">
      <w:pPr>
        <w:jc w:val="right"/>
        <w:rPr>
          <w:lang w:val="es-GT"/>
        </w:rPr>
      </w:pPr>
    </w:p>
    <w:p w14:paraId="5D5687A1" w14:textId="5B9E0C12" w:rsidR="00AC57DA" w:rsidRDefault="00AC57DA" w:rsidP="00AC57DA">
      <w:pPr>
        <w:jc w:val="right"/>
        <w:rPr>
          <w:lang w:val="es-GT"/>
        </w:rPr>
      </w:pPr>
    </w:p>
    <w:p w14:paraId="5941ED8C" w14:textId="5142F9FC" w:rsidR="00AC57DA" w:rsidRDefault="00AC57DA" w:rsidP="00AC57DA">
      <w:pPr>
        <w:jc w:val="right"/>
        <w:rPr>
          <w:lang w:val="es-GT"/>
        </w:rPr>
      </w:pPr>
    </w:p>
    <w:p w14:paraId="117D287E" w14:textId="75E537DD" w:rsidR="00AC57DA" w:rsidRDefault="00AC57DA" w:rsidP="00AC57DA">
      <w:pPr>
        <w:jc w:val="right"/>
        <w:rPr>
          <w:color w:val="002060"/>
          <w:lang w:val="es-GT"/>
        </w:rPr>
      </w:pPr>
      <w:r>
        <w:rPr>
          <w:color w:val="002060"/>
          <w:lang w:val="es-GT"/>
        </w:rPr>
        <w:t>Miguel Suarez</w:t>
      </w:r>
    </w:p>
    <w:p w14:paraId="759D07CD" w14:textId="41F400F0" w:rsidR="00AC57DA" w:rsidRDefault="00AC57DA" w:rsidP="00AC57DA">
      <w:pPr>
        <w:jc w:val="right"/>
        <w:rPr>
          <w:color w:val="002060"/>
          <w:lang w:val="es-GT"/>
        </w:rPr>
      </w:pPr>
      <w:r>
        <w:rPr>
          <w:color w:val="002060"/>
          <w:lang w:val="es-GT"/>
        </w:rPr>
        <w:t>20180367</w:t>
      </w:r>
    </w:p>
    <w:p w14:paraId="48D4DB71" w14:textId="28F3593E" w:rsidR="00AC57DA" w:rsidRDefault="00AC57DA" w:rsidP="00AC57DA">
      <w:pPr>
        <w:jc w:val="right"/>
        <w:rPr>
          <w:color w:val="002060"/>
          <w:lang w:val="es-GT"/>
        </w:rPr>
      </w:pPr>
    </w:p>
    <w:p w14:paraId="1AB3552D" w14:textId="6CD754EB" w:rsidR="00AC57DA" w:rsidRDefault="00AC57DA" w:rsidP="00AC57DA">
      <w:pPr>
        <w:jc w:val="right"/>
        <w:rPr>
          <w:color w:val="002060"/>
          <w:lang w:val="es-GT"/>
        </w:rPr>
      </w:pPr>
    </w:p>
    <w:p w14:paraId="1BE1B6B5" w14:textId="3D2AF0A1" w:rsidR="00AC57DA" w:rsidRDefault="00AC57DA" w:rsidP="00AC57DA">
      <w:pPr>
        <w:jc w:val="right"/>
        <w:rPr>
          <w:color w:val="002060"/>
          <w:lang w:val="es-GT"/>
        </w:rPr>
      </w:pPr>
    </w:p>
    <w:p w14:paraId="335E3724" w14:textId="40763413" w:rsidR="00AC57DA" w:rsidRDefault="00AC57DA" w:rsidP="00AC57DA">
      <w:pPr>
        <w:jc w:val="right"/>
        <w:rPr>
          <w:color w:val="002060"/>
          <w:lang w:val="es-GT"/>
        </w:rPr>
      </w:pPr>
    </w:p>
    <w:p w14:paraId="11B88822" w14:textId="6F4B41E9" w:rsidR="00AC57DA" w:rsidRDefault="00AC57DA" w:rsidP="00AC57DA">
      <w:pPr>
        <w:jc w:val="right"/>
        <w:rPr>
          <w:color w:val="002060"/>
          <w:lang w:val="es-GT"/>
        </w:rPr>
      </w:pPr>
    </w:p>
    <w:p w14:paraId="352C8560" w14:textId="080585ED" w:rsidR="00AC57DA" w:rsidRDefault="00AC57DA" w:rsidP="00AC57DA">
      <w:pPr>
        <w:rPr>
          <w:color w:val="002060"/>
          <w:lang w:val="es-GT"/>
        </w:rPr>
      </w:pPr>
    </w:p>
    <w:p w14:paraId="56EF849A" w14:textId="3DBEE7EE" w:rsidR="00AC57DA" w:rsidRDefault="00AC57DA" w:rsidP="00AC57DA">
      <w:pPr>
        <w:rPr>
          <w:color w:val="002060"/>
          <w:lang w:val="es-GT"/>
        </w:rPr>
      </w:pPr>
    </w:p>
    <w:p w14:paraId="5FD46316" w14:textId="4BE0AE5F" w:rsidR="00AC57DA" w:rsidRDefault="00AC57DA" w:rsidP="003D30C8">
      <w:pPr>
        <w:pStyle w:val="Heading1"/>
        <w:rPr>
          <w:lang w:val="es-GT"/>
        </w:rPr>
      </w:pPr>
      <w:r>
        <w:rPr>
          <w:lang w:val="es-GT"/>
        </w:rPr>
        <w:t>Estado de Resultados 2017</w:t>
      </w:r>
    </w:p>
    <w:p w14:paraId="058E5AAA" w14:textId="4138F1AB" w:rsidR="00AC57DA" w:rsidRDefault="00AC57DA" w:rsidP="00AC57DA">
      <w:pPr>
        <w:rPr>
          <w:b/>
          <w:bCs/>
          <w:color w:val="002060"/>
          <w:u w:val="single"/>
          <w:lang w:val="es-GT"/>
        </w:rPr>
      </w:pPr>
    </w:p>
    <w:tbl>
      <w:tblPr>
        <w:tblStyle w:val="GridTable1Light-Accent5"/>
        <w:tblW w:w="0" w:type="auto"/>
        <w:tblLook w:val="04A0" w:firstRow="1" w:lastRow="0" w:firstColumn="1" w:lastColumn="0" w:noHBand="0" w:noVBand="1"/>
      </w:tblPr>
      <w:tblGrid>
        <w:gridCol w:w="1034"/>
        <w:gridCol w:w="1645"/>
      </w:tblGrid>
      <w:tr w:rsidR="00AC57DA" w14:paraId="59A9E2DC" w14:textId="77777777" w:rsidTr="00AC57DA">
        <w:trPr>
          <w:cnfStyle w:val="100000000000" w:firstRow="1" w:lastRow="0" w:firstColumn="0" w:lastColumn="0" w:oddVBand="0" w:evenVBand="0" w:oddHBand="0"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034" w:type="dxa"/>
          </w:tcPr>
          <w:p w14:paraId="66DF604D" w14:textId="77777777" w:rsidR="00AC57DA" w:rsidRDefault="00AC57DA" w:rsidP="00AC57DA">
            <w:pPr>
              <w:rPr>
                <w:color w:val="002060"/>
                <w:lang w:val="es-GT"/>
              </w:rPr>
            </w:pPr>
          </w:p>
          <w:p w14:paraId="5994C8CD" w14:textId="4EF05939" w:rsidR="00AC57DA" w:rsidRPr="00AC57DA" w:rsidRDefault="00AC57DA" w:rsidP="00AC57DA">
            <w:pPr>
              <w:rPr>
                <w:b w:val="0"/>
                <w:bCs w:val="0"/>
                <w:color w:val="002060"/>
                <w:lang w:val="es-GT"/>
              </w:rPr>
            </w:pPr>
            <w:r>
              <w:rPr>
                <w:b w:val="0"/>
                <w:bCs w:val="0"/>
                <w:color w:val="002060"/>
                <w:lang w:val="es-GT"/>
              </w:rPr>
              <w:t>Ventas</w:t>
            </w:r>
          </w:p>
        </w:tc>
        <w:tc>
          <w:tcPr>
            <w:tcW w:w="1034" w:type="dxa"/>
          </w:tcPr>
          <w:p w14:paraId="1B6FDCD7" w14:textId="77777777" w:rsidR="00AC57DA" w:rsidRDefault="00AC57DA" w:rsidP="00AC57DA">
            <w:pPr>
              <w:cnfStyle w:val="100000000000" w:firstRow="1" w:lastRow="0" w:firstColumn="0" w:lastColumn="0" w:oddVBand="0" w:evenVBand="0" w:oddHBand="0" w:evenHBand="0" w:firstRowFirstColumn="0" w:firstRowLastColumn="0" w:lastRowFirstColumn="0" w:lastRowLastColumn="0"/>
              <w:rPr>
                <w:color w:val="002060"/>
                <w:lang w:val="es-GT"/>
              </w:rPr>
            </w:pPr>
          </w:p>
          <w:p w14:paraId="3BE84B9F" w14:textId="4796EB62" w:rsidR="00AC57DA" w:rsidRPr="00AC57DA" w:rsidRDefault="00AC57DA" w:rsidP="00AC57DA">
            <w:pPr>
              <w:cnfStyle w:val="100000000000" w:firstRow="1" w:lastRow="0" w:firstColumn="0" w:lastColumn="0" w:oddVBand="0" w:evenVBand="0" w:oddHBand="0" w:evenHBand="0" w:firstRowFirstColumn="0" w:firstRowLastColumn="0" w:lastRowFirstColumn="0" w:lastRowLastColumn="0"/>
              <w:rPr>
                <w:b w:val="0"/>
                <w:bCs w:val="0"/>
                <w:color w:val="002060"/>
                <w:lang w:val="es-GT"/>
              </w:rPr>
            </w:pPr>
            <w:r>
              <w:rPr>
                <w:b w:val="0"/>
                <w:bCs w:val="0"/>
                <w:color w:val="002060"/>
                <w:lang w:val="es-GT"/>
              </w:rPr>
              <w:t>Q36,688,096.00</w:t>
            </w:r>
          </w:p>
        </w:tc>
      </w:tr>
      <w:tr w:rsidR="00AC57DA" w14:paraId="6584703F" w14:textId="77777777" w:rsidTr="00AC57DA">
        <w:trPr>
          <w:trHeight w:val="546"/>
        </w:trPr>
        <w:tc>
          <w:tcPr>
            <w:cnfStyle w:val="001000000000" w:firstRow="0" w:lastRow="0" w:firstColumn="1" w:lastColumn="0" w:oddVBand="0" w:evenVBand="0" w:oddHBand="0" w:evenHBand="0" w:firstRowFirstColumn="0" w:firstRowLastColumn="0" w:lastRowFirstColumn="0" w:lastRowLastColumn="0"/>
            <w:tcW w:w="1034" w:type="dxa"/>
          </w:tcPr>
          <w:p w14:paraId="6570F26D" w14:textId="3B9F21B8" w:rsidR="00AC57DA" w:rsidRPr="00AC57DA" w:rsidRDefault="00AC57DA" w:rsidP="00AC57DA">
            <w:pPr>
              <w:rPr>
                <w:b w:val="0"/>
                <w:bCs w:val="0"/>
                <w:color w:val="002060"/>
                <w:lang w:val="es-GT"/>
              </w:rPr>
            </w:pPr>
            <w:r>
              <w:rPr>
                <w:b w:val="0"/>
                <w:bCs w:val="0"/>
                <w:color w:val="002060"/>
                <w:lang w:val="es-GT"/>
              </w:rPr>
              <w:t>Costo Ventas</w:t>
            </w:r>
          </w:p>
        </w:tc>
        <w:tc>
          <w:tcPr>
            <w:tcW w:w="1034" w:type="dxa"/>
          </w:tcPr>
          <w:p w14:paraId="0077C878" w14:textId="77777777" w:rsidR="00AC57DA" w:rsidRDefault="00AC57DA" w:rsidP="00AC57DA">
            <w:pPr>
              <w:cnfStyle w:val="000000000000" w:firstRow="0" w:lastRow="0" w:firstColumn="0" w:lastColumn="0" w:oddVBand="0" w:evenVBand="0" w:oddHBand="0" w:evenHBand="0" w:firstRowFirstColumn="0" w:firstRowLastColumn="0" w:lastRowFirstColumn="0" w:lastRowLastColumn="0"/>
              <w:rPr>
                <w:b/>
                <w:bCs/>
                <w:color w:val="002060"/>
                <w:u w:val="single"/>
                <w:lang w:val="es-GT"/>
              </w:rPr>
            </w:pPr>
          </w:p>
          <w:p w14:paraId="39113E01" w14:textId="4B6233C3" w:rsidR="00AC57DA" w:rsidRPr="00AC57DA" w:rsidRDefault="00AC57DA" w:rsidP="00AC57DA">
            <w:pPr>
              <w:cnfStyle w:val="000000000000" w:firstRow="0" w:lastRow="0" w:firstColumn="0" w:lastColumn="0" w:oddVBand="0" w:evenVBand="0" w:oddHBand="0" w:evenHBand="0" w:firstRowFirstColumn="0" w:firstRowLastColumn="0" w:lastRowFirstColumn="0" w:lastRowLastColumn="0"/>
              <w:rPr>
                <w:color w:val="002060"/>
                <w:lang w:val="es-GT"/>
              </w:rPr>
            </w:pPr>
            <w:r>
              <w:rPr>
                <w:color w:val="002060"/>
                <w:lang w:val="es-GT"/>
              </w:rPr>
              <w:t>Q28,174,019.00</w:t>
            </w:r>
          </w:p>
        </w:tc>
      </w:tr>
      <w:tr w:rsidR="00AC57DA" w14:paraId="2120AF35" w14:textId="77777777" w:rsidTr="00AC57DA">
        <w:trPr>
          <w:trHeight w:val="546"/>
        </w:trPr>
        <w:tc>
          <w:tcPr>
            <w:cnfStyle w:val="001000000000" w:firstRow="0" w:lastRow="0" w:firstColumn="1" w:lastColumn="0" w:oddVBand="0" w:evenVBand="0" w:oddHBand="0" w:evenHBand="0" w:firstRowFirstColumn="0" w:firstRowLastColumn="0" w:lastRowFirstColumn="0" w:lastRowLastColumn="0"/>
            <w:tcW w:w="1034" w:type="dxa"/>
          </w:tcPr>
          <w:p w14:paraId="24D31075" w14:textId="4F8703A4" w:rsidR="00AC57DA" w:rsidRPr="00AC57DA" w:rsidRDefault="00AC57DA" w:rsidP="00AC57DA">
            <w:pPr>
              <w:rPr>
                <w:b w:val="0"/>
                <w:bCs w:val="0"/>
                <w:color w:val="002060"/>
                <w:lang w:val="es-GT"/>
              </w:rPr>
            </w:pPr>
            <w:r>
              <w:rPr>
                <w:b w:val="0"/>
                <w:bCs w:val="0"/>
                <w:color w:val="002060"/>
                <w:lang w:val="es-GT"/>
              </w:rPr>
              <w:t>Utilidad</w:t>
            </w:r>
          </w:p>
        </w:tc>
        <w:tc>
          <w:tcPr>
            <w:tcW w:w="1034" w:type="dxa"/>
          </w:tcPr>
          <w:p w14:paraId="502B1DBD" w14:textId="3F71F087" w:rsidR="00AC57DA" w:rsidRPr="00AC57DA" w:rsidRDefault="00AC57DA" w:rsidP="00AC57DA">
            <w:pPr>
              <w:cnfStyle w:val="000000000000" w:firstRow="0" w:lastRow="0" w:firstColumn="0" w:lastColumn="0" w:oddVBand="0" w:evenVBand="0" w:oddHBand="0" w:evenHBand="0" w:firstRowFirstColumn="0" w:firstRowLastColumn="0" w:lastRowFirstColumn="0" w:lastRowLastColumn="0"/>
              <w:rPr>
                <w:color w:val="002060"/>
                <w:lang w:val="es-GT"/>
              </w:rPr>
            </w:pPr>
            <w:r>
              <w:rPr>
                <w:color w:val="002060"/>
                <w:lang w:val="es-GT"/>
              </w:rPr>
              <w:t>Q8,514,077.00</w:t>
            </w:r>
          </w:p>
        </w:tc>
      </w:tr>
    </w:tbl>
    <w:p w14:paraId="409BF2A8" w14:textId="112531B4" w:rsidR="00AC57DA" w:rsidRDefault="00AC57DA" w:rsidP="00AC57DA">
      <w:pPr>
        <w:rPr>
          <w:b/>
          <w:bCs/>
          <w:color w:val="002060"/>
          <w:u w:val="single"/>
          <w:lang w:val="es-GT"/>
        </w:rPr>
      </w:pPr>
    </w:p>
    <w:p w14:paraId="5AF084E1" w14:textId="7A725EFC" w:rsidR="00AC57DA" w:rsidRDefault="00AC57DA" w:rsidP="00AC57DA">
      <w:pPr>
        <w:rPr>
          <w:lang w:val="es-GT"/>
        </w:rPr>
      </w:pPr>
      <w:r>
        <w:rPr>
          <w:lang w:val="es-GT"/>
        </w:rPr>
        <w:t xml:space="preserve">Para el año 2017, se contó con unas ventas de 36 millones, 688 mil, 96 quetzales, unos costos de 28 millones, 174 mil, 19 quetzales, y resultando en una utilidad operativa de 8 millones, 514 mil 77 quetzales. </w:t>
      </w:r>
      <w:r w:rsidR="003D30C8">
        <w:rPr>
          <w:lang w:val="es-GT"/>
        </w:rPr>
        <w:t xml:space="preserve">El margen operativo es de 23.21%. Observaciones al respecto son que poseen un buen margen operativo y </w:t>
      </w:r>
      <w:r w:rsidR="00701992">
        <w:rPr>
          <w:lang w:val="es-GT"/>
        </w:rPr>
        <w:t>naturalmente</w:t>
      </w:r>
      <w:r w:rsidR="003D30C8">
        <w:rPr>
          <w:lang w:val="es-GT"/>
        </w:rPr>
        <w:t xml:space="preserve"> esto es bueno para no </w:t>
      </w:r>
      <w:r w:rsidR="00701992">
        <w:rPr>
          <w:lang w:val="es-GT"/>
        </w:rPr>
        <w:t>caer</w:t>
      </w:r>
      <w:r w:rsidR="003D30C8">
        <w:rPr>
          <w:lang w:val="es-GT"/>
        </w:rPr>
        <w:t xml:space="preserve"> en números rojos. </w:t>
      </w:r>
    </w:p>
    <w:p w14:paraId="10B2DF00" w14:textId="3921BF05" w:rsidR="00701992" w:rsidRDefault="00701992" w:rsidP="00AC57DA">
      <w:pPr>
        <w:rPr>
          <w:lang w:val="es-GT"/>
        </w:rPr>
      </w:pPr>
    </w:p>
    <w:p w14:paraId="5ED8F2C9" w14:textId="43E6FAC3" w:rsidR="00701992" w:rsidRPr="00701992" w:rsidRDefault="00701992" w:rsidP="00701992">
      <w:pPr>
        <w:pStyle w:val="Heading1"/>
        <w:rPr>
          <w:lang w:val="es-GT"/>
        </w:rPr>
      </w:pPr>
      <w:r>
        <w:rPr>
          <w:lang w:val="es-GT"/>
        </w:rPr>
        <w:t>Tarifario por Unidad 2017</w:t>
      </w:r>
    </w:p>
    <w:p w14:paraId="78EE27C7" w14:textId="0F2EDA58" w:rsidR="00F4783D" w:rsidRDefault="00F4783D" w:rsidP="00AC57DA">
      <w:pPr>
        <w:rPr>
          <w:lang w:val="es-GT"/>
        </w:rPr>
      </w:pPr>
    </w:p>
    <w:p w14:paraId="21066705" w14:textId="12B65D01" w:rsidR="00701992" w:rsidRDefault="002A2924" w:rsidP="00AC57DA">
      <w:pPr>
        <w:rPr>
          <w:lang w:val="es-GT"/>
        </w:rPr>
      </w:pPr>
      <w:r>
        <w:rPr>
          <w:noProof/>
        </w:rPr>
        <w:drawing>
          <wp:inline distT="0" distB="0" distL="0" distR="0" wp14:anchorId="24BF9568" wp14:editId="7E4E08D9">
            <wp:extent cx="5612130" cy="358330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583305"/>
                    </a:xfrm>
                    <a:prstGeom prst="rect">
                      <a:avLst/>
                    </a:prstGeom>
                  </pic:spPr>
                </pic:pic>
              </a:graphicData>
            </a:graphic>
          </wp:inline>
        </w:drawing>
      </w:r>
    </w:p>
    <w:p w14:paraId="791A9FB0" w14:textId="439A3949" w:rsidR="002A2924" w:rsidRDefault="002A2924" w:rsidP="00AC57DA">
      <w:pPr>
        <w:rPr>
          <w:lang w:val="es-GT"/>
        </w:rPr>
      </w:pPr>
    </w:p>
    <w:p w14:paraId="0E946BBB" w14:textId="6EF59FF9" w:rsidR="002A2924" w:rsidRDefault="002A2924" w:rsidP="00AC57DA">
      <w:pPr>
        <w:rPr>
          <w:lang w:val="es-GT"/>
        </w:rPr>
      </w:pPr>
    </w:p>
    <w:p w14:paraId="2F7FD9A7" w14:textId="0E904939" w:rsidR="00862B81" w:rsidRDefault="002A2924" w:rsidP="00AC57DA">
      <w:pPr>
        <w:rPr>
          <w:lang w:val="es-GT"/>
        </w:rPr>
      </w:pPr>
      <w:r>
        <w:rPr>
          <w:lang w:val="es-GT"/>
        </w:rPr>
        <w:t>Aquí podemos observar que los vehículo</w:t>
      </w:r>
      <w:r w:rsidR="00862B81">
        <w:rPr>
          <w:lang w:val="es-GT"/>
        </w:rPr>
        <w:t>s</w:t>
      </w:r>
      <w:r>
        <w:rPr>
          <w:lang w:val="es-GT"/>
        </w:rPr>
        <w:t xml:space="preserve"> que más costos generan son los camiones, seguidos por los pickups, y por último las motos, que </w:t>
      </w:r>
      <w:r w:rsidR="00862B81">
        <w:rPr>
          <w:lang w:val="es-GT"/>
        </w:rPr>
        <w:t xml:space="preserve">únicamente nos generan costos en el área de cambio de fusibles, puesto que ese es el único servicio que se demanda para este vehículo </w:t>
      </w:r>
      <w:proofErr w:type="gramStart"/>
      <w:r w:rsidR="00862B81">
        <w:rPr>
          <w:lang w:val="es-GT"/>
        </w:rPr>
        <w:t>y</w:t>
      </w:r>
      <w:proofErr w:type="gramEnd"/>
      <w:r w:rsidR="00862B81">
        <w:rPr>
          <w:lang w:val="es-GT"/>
        </w:rPr>
        <w:t xml:space="preserve"> además, en baja proporción a los otros vehículos. </w:t>
      </w:r>
    </w:p>
    <w:p w14:paraId="2B0FA10A" w14:textId="77777777" w:rsidR="00862B81" w:rsidRDefault="00862B81" w:rsidP="00AC57DA">
      <w:pPr>
        <w:rPr>
          <w:lang w:val="es-GT"/>
        </w:rPr>
      </w:pPr>
    </w:p>
    <w:p w14:paraId="600718C1" w14:textId="3144EAEC" w:rsidR="002A2924" w:rsidRDefault="002A2924" w:rsidP="00862B81">
      <w:pPr>
        <w:pStyle w:val="Heading1"/>
        <w:rPr>
          <w:lang w:val="es-GT"/>
        </w:rPr>
      </w:pPr>
      <w:r>
        <w:rPr>
          <w:lang w:val="es-GT"/>
        </w:rPr>
        <w:t xml:space="preserve"> </w:t>
      </w:r>
      <w:r w:rsidR="00C90E6A">
        <w:rPr>
          <w:lang w:val="es-GT"/>
        </w:rPr>
        <w:t>¿</w:t>
      </w:r>
      <w:r w:rsidR="00862B81">
        <w:rPr>
          <w:lang w:val="es-GT"/>
        </w:rPr>
        <w:t>Las tarifas actuales son aceptadas por el cliente</w:t>
      </w:r>
      <w:r w:rsidR="00C90E6A">
        <w:rPr>
          <w:lang w:val="es-GT"/>
        </w:rPr>
        <w:t>?</w:t>
      </w:r>
    </w:p>
    <w:p w14:paraId="6BFCC24A" w14:textId="5AB67E6D" w:rsidR="00862B81" w:rsidRDefault="00862B81" w:rsidP="00862B81">
      <w:pPr>
        <w:rPr>
          <w:lang w:val="es-GT"/>
        </w:rPr>
      </w:pPr>
    </w:p>
    <w:p w14:paraId="261D0B05" w14:textId="1B257114" w:rsidR="00862B81" w:rsidRDefault="00862B81" w:rsidP="00862B81">
      <w:pPr>
        <w:rPr>
          <w:lang w:val="es-GT"/>
        </w:rPr>
      </w:pPr>
      <w:r>
        <w:rPr>
          <w:noProof/>
        </w:rPr>
        <w:drawing>
          <wp:inline distT="0" distB="0" distL="0" distR="0" wp14:anchorId="35ABEA0B" wp14:editId="67289693">
            <wp:extent cx="5612130" cy="358330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583305"/>
                    </a:xfrm>
                    <a:prstGeom prst="rect">
                      <a:avLst/>
                    </a:prstGeom>
                  </pic:spPr>
                </pic:pic>
              </a:graphicData>
            </a:graphic>
          </wp:inline>
        </w:drawing>
      </w:r>
    </w:p>
    <w:p w14:paraId="066FC06B" w14:textId="3A1CDD23" w:rsidR="00862B81" w:rsidRDefault="00862B81" w:rsidP="00862B81">
      <w:pPr>
        <w:rPr>
          <w:lang w:val="es-GT"/>
        </w:rPr>
      </w:pPr>
    </w:p>
    <w:p w14:paraId="005C5A11" w14:textId="3D3620AF" w:rsidR="00862B81" w:rsidRDefault="00862B81" w:rsidP="00862B81">
      <w:pPr>
        <w:rPr>
          <w:lang w:val="es-GT"/>
        </w:rPr>
      </w:pPr>
      <w:r>
        <w:rPr>
          <w:lang w:val="es-GT"/>
        </w:rPr>
        <w:t xml:space="preserve">Lo que se puede observar en esta grafica son las pendientes en las diferentes áreas, o mas bien, la falta de una. En todas las áreas, no parece existir una tendencia positiva o negativa, indicando que los pedidos se mantienen a lo largo del tiempo, por lo cual concluimos que los clientes están satisfechos con los precios, ya que ni están tan baratos como para que vayan incrementando nuestros clientes, ni están tan caros como para perderlos. </w:t>
      </w:r>
    </w:p>
    <w:p w14:paraId="20F13663" w14:textId="28D4965F" w:rsidR="00C90E6A" w:rsidRDefault="00C90E6A" w:rsidP="00862B81">
      <w:pPr>
        <w:rPr>
          <w:lang w:val="es-GT"/>
        </w:rPr>
      </w:pPr>
    </w:p>
    <w:p w14:paraId="7E997B19" w14:textId="61145DF3" w:rsidR="00C90E6A" w:rsidRDefault="00C90E6A" w:rsidP="00862B81">
      <w:pPr>
        <w:rPr>
          <w:lang w:val="es-GT"/>
        </w:rPr>
      </w:pPr>
    </w:p>
    <w:p w14:paraId="65651475" w14:textId="71CEBCE5" w:rsidR="00C90E6A" w:rsidRDefault="00C90E6A" w:rsidP="00862B81">
      <w:pPr>
        <w:rPr>
          <w:lang w:val="es-GT"/>
        </w:rPr>
      </w:pPr>
    </w:p>
    <w:p w14:paraId="233188B7" w14:textId="3E56A122" w:rsidR="00C90E6A" w:rsidRDefault="00C90E6A" w:rsidP="00862B81">
      <w:pPr>
        <w:rPr>
          <w:lang w:val="es-GT"/>
        </w:rPr>
      </w:pPr>
    </w:p>
    <w:p w14:paraId="1C70683A" w14:textId="77777777" w:rsidR="00C90E6A" w:rsidRDefault="00C90E6A" w:rsidP="00862B81">
      <w:pPr>
        <w:rPr>
          <w:lang w:val="es-GT"/>
        </w:rPr>
      </w:pPr>
    </w:p>
    <w:p w14:paraId="6D358B37" w14:textId="13F2670A" w:rsidR="00C90E6A" w:rsidRPr="00322F78" w:rsidRDefault="00C90E6A" w:rsidP="00C90E6A">
      <w:pPr>
        <w:pStyle w:val="Heading1"/>
        <w:rPr>
          <w:lang w:val="es-GT"/>
        </w:rPr>
      </w:pPr>
      <w:r>
        <w:rPr>
          <w:lang w:val="es-GT"/>
        </w:rPr>
        <w:t>¿</w:t>
      </w:r>
      <w:r w:rsidRPr="00C90E6A">
        <w:rPr>
          <w:lang w:val="es-GT"/>
        </w:rPr>
        <w:t>Estamos en números rojos</w:t>
      </w:r>
      <w:r w:rsidRPr="00322F78">
        <w:rPr>
          <w:lang w:val="es-GT"/>
        </w:rPr>
        <w:t>?</w:t>
      </w:r>
    </w:p>
    <w:p w14:paraId="03EDD6AD" w14:textId="77777777" w:rsidR="00C90E6A" w:rsidRDefault="00C90E6A" w:rsidP="00AC57DA">
      <w:pPr>
        <w:rPr>
          <w:lang w:val="es-GT"/>
        </w:rPr>
      </w:pPr>
    </w:p>
    <w:p w14:paraId="583E49F3" w14:textId="7FEEEE58" w:rsidR="00C90E6A" w:rsidRDefault="00C90E6A" w:rsidP="00AC57DA">
      <w:pPr>
        <w:rPr>
          <w:lang w:val="es-GT"/>
        </w:rPr>
      </w:pPr>
      <w:r>
        <w:rPr>
          <w:lang w:val="es-GT"/>
        </w:rPr>
        <w:t xml:space="preserve">Como pudimos observar en el estado de resultados para 2017, se contó </w:t>
      </w:r>
      <w:r w:rsidRPr="00C90E6A">
        <w:rPr>
          <w:lang w:val="es-GT"/>
        </w:rPr>
        <w:t>c</w:t>
      </w:r>
      <w:r>
        <w:rPr>
          <w:lang w:val="es-GT"/>
        </w:rPr>
        <w:t xml:space="preserve">on un margen operativo de 23.21%, lo cual esta bastante bien como resultado de nuestra operación. Sin embargo, nos indicaban que para el 2018, la operación disminuyó en un 25%, colocando a la empresa con un margen operativo de -1.79%, lo cual significa que SI estamos en números rojos en el 2018 aunque no lo estábamos en el 2017. </w:t>
      </w:r>
    </w:p>
    <w:p w14:paraId="0C3AA5A6" w14:textId="40F19890" w:rsidR="00C90E6A" w:rsidRDefault="00C90E6A" w:rsidP="00AC57DA">
      <w:pPr>
        <w:rPr>
          <w:lang w:val="es-GT"/>
        </w:rPr>
      </w:pPr>
    </w:p>
    <w:p w14:paraId="6764CC4B" w14:textId="494712BB" w:rsidR="00C90E6A" w:rsidRPr="00C90E6A" w:rsidRDefault="00C90E6A" w:rsidP="00C90E6A">
      <w:pPr>
        <w:pStyle w:val="Heading1"/>
        <w:rPr>
          <w:lang w:val="es-GT"/>
        </w:rPr>
      </w:pPr>
      <w:r>
        <w:rPr>
          <w:lang w:val="es-GT"/>
        </w:rPr>
        <w:t>¿Debemos abrir más centros de distribución?</w:t>
      </w:r>
    </w:p>
    <w:p w14:paraId="46A9DFF7" w14:textId="7E01E177" w:rsidR="002A2924" w:rsidRDefault="002A2924" w:rsidP="00AC57DA">
      <w:pPr>
        <w:rPr>
          <w:lang w:val="es-GT"/>
        </w:rPr>
      </w:pPr>
    </w:p>
    <w:p w14:paraId="5B9830A0" w14:textId="27D9409C" w:rsidR="002A2924" w:rsidRDefault="0040718D" w:rsidP="00AC57DA">
      <w:pPr>
        <w:rPr>
          <w:lang w:val="es-GT"/>
        </w:rPr>
      </w:pPr>
      <w:r>
        <w:rPr>
          <w:noProof/>
        </w:rPr>
        <w:drawing>
          <wp:inline distT="0" distB="0" distL="0" distR="0" wp14:anchorId="4929ABF2" wp14:editId="4C16F59C">
            <wp:extent cx="5612130" cy="35833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583305"/>
                    </a:xfrm>
                    <a:prstGeom prst="rect">
                      <a:avLst/>
                    </a:prstGeom>
                  </pic:spPr>
                </pic:pic>
              </a:graphicData>
            </a:graphic>
          </wp:inline>
        </w:drawing>
      </w:r>
    </w:p>
    <w:p w14:paraId="54905977" w14:textId="3932AE0D" w:rsidR="0040718D" w:rsidRDefault="0040718D" w:rsidP="00AC57DA">
      <w:pPr>
        <w:rPr>
          <w:lang w:val="es-GT"/>
        </w:rPr>
      </w:pPr>
      <w:r>
        <w:rPr>
          <w:lang w:val="es-GT"/>
        </w:rPr>
        <w:t>Para esta pregunta contamos con información</w:t>
      </w:r>
      <w:r w:rsidRPr="0040718D">
        <w:rPr>
          <w:lang w:val="es-GT"/>
        </w:rPr>
        <w:t xml:space="preserve"> </w:t>
      </w:r>
      <w:r>
        <w:rPr>
          <w:lang w:val="es-GT"/>
        </w:rPr>
        <w:t xml:space="preserve">muy limitada, puesto que no conocemos la capacidad máxima de los centros, aunque podemos intentar inferir ciertas cosas. #1) Podríamos inferir que el hecho de que los primeros dos centros y los últimos dos tengan las mismas o muy cerca de las mismas cantidades entre sí, sea por causa de que llegaron a sus capacidades máximas respectivas, llevándonos a concluir que sí debemos abrir más centros. </w:t>
      </w:r>
      <w:r w:rsidRPr="0040718D">
        <w:rPr>
          <w:lang w:val="es-GT"/>
        </w:rPr>
        <w:t>#2)</w:t>
      </w:r>
      <w:r>
        <w:rPr>
          <w:lang w:val="es-GT"/>
        </w:rPr>
        <w:t xml:space="preserve"> Podríamos inferir que todas tienen la misma capacidad máxima, indicándonos que los últimos dos orígenes tienen aún bastante capacidad antes de llegar a su máximo. </w:t>
      </w:r>
      <w:r w:rsidRPr="0040718D">
        <w:rPr>
          <w:lang w:val="es-GT"/>
        </w:rPr>
        <w:t>#3)</w:t>
      </w:r>
      <w:r>
        <w:rPr>
          <w:lang w:val="es-GT"/>
        </w:rPr>
        <w:t xml:space="preserve"> La capacidad máxima de los 4 centros es una a la cual ninguno ha llegado y son más que capaces de lidiar con la demanda que llegue. </w:t>
      </w:r>
    </w:p>
    <w:p w14:paraId="684BEC15" w14:textId="43ACC6C8" w:rsidR="00414B91" w:rsidRDefault="00414B91" w:rsidP="00AC57DA">
      <w:pPr>
        <w:rPr>
          <w:lang w:val="es-GT"/>
        </w:rPr>
      </w:pPr>
    </w:p>
    <w:p w14:paraId="5652C8BD" w14:textId="40EBCB95" w:rsidR="00414B91" w:rsidRDefault="00414B91" w:rsidP="00AC57DA">
      <w:pPr>
        <w:rPr>
          <w:lang w:val="es-GT"/>
        </w:rPr>
      </w:pPr>
    </w:p>
    <w:p w14:paraId="26D1640B" w14:textId="416462FC" w:rsidR="00414B91" w:rsidRDefault="00414B91" w:rsidP="00414B91">
      <w:pPr>
        <w:pStyle w:val="Heading1"/>
        <w:rPr>
          <w:lang w:val="es-GT"/>
        </w:rPr>
      </w:pPr>
      <w:r>
        <w:rPr>
          <w:lang w:val="es-GT"/>
        </w:rPr>
        <w:t>¿Qué estrategias debo seguir?</w:t>
      </w:r>
    </w:p>
    <w:p w14:paraId="433646AC" w14:textId="3B24824E" w:rsidR="00414B91" w:rsidRDefault="00414B91" w:rsidP="00414B91">
      <w:pPr>
        <w:rPr>
          <w:lang w:val="es-GT"/>
        </w:rPr>
      </w:pPr>
    </w:p>
    <w:p w14:paraId="02A7BB30" w14:textId="22B44EBD" w:rsidR="00414B91" w:rsidRPr="00414B91" w:rsidRDefault="00414B91" w:rsidP="00414B91">
      <w:pPr>
        <w:rPr>
          <w:lang w:val="es-GT"/>
        </w:rPr>
      </w:pPr>
      <w:r>
        <w:rPr>
          <w:noProof/>
        </w:rPr>
        <w:drawing>
          <wp:inline distT="0" distB="0" distL="0" distR="0" wp14:anchorId="7A3D7E00" wp14:editId="16C16C38">
            <wp:extent cx="5612130" cy="35833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583305"/>
                    </a:xfrm>
                    <a:prstGeom prst="rect">
                      <a:avLst/>
                    </a:prstGeom>
                  </pic:spPr>
                </pic:pic>
              </a:graphicData>
            </a:graphic>
          </wp:inline>
        </w:drawing>
      </w:r>
    </w:p>
    <w:p w14:paraId="68FBE1BB" w14:textId="49EDA43D" w:rsidR="00414B91" w:rsidRPr="00414B91" w:rsidRDefault="00F4783D" w:rsidP="00414B91">
      <w:pPr>
        <w:rPr>
          <w:lang w:val="es-GT"/>
        </w:rPr>
      </w:pPr>
      <w:r>
        <w:rPr>
          <w:lang w:val="es-GT"/>
        </w:rPr>
        <w:t xml:space="preserve">No nos dicen cómo están compuestos los costos fijos, </w:t>
      </w:r>
      <w:r w:rsidR="00414B91">
        <w:rPr>
          <w:lang w:val="es-GT"/>
        </w:rPr>
        <w:t>conocemos</w:t>
      </w:r>
      <w:r>
        <w:rPr>
          <w:lang w:val="es-GT"/>
        </w:rPr>
        <w:t xml:space="preserve"> su valor</w:t>
      </w:r>
      <w:r w:rsidR="00414B91">
        <w:rPr>
          <w:lang w:val="es-GT"/>
        </w:rPr>
        <w:t xml:space="preserve">, así </w:t>
      </w:r>
      <w:r>
        <w:rPr>
          <w:lang w:val="es-GT"/>
        </w:rPr>
        <w:t xml:space="preserve">como el de los costos directos, pero no sabemos a detalle de qué están compuestos. Se cree que al alinear nuestros recursos con las proporciones con las que están la demanda por código, se puede reducir este valor de “costo fijo”. </w:t>
      </w:r>
    </w:p>
    <w:p w14:paraId="1C7250B5" w14:textId="3CC29D2A" w:rsidR="00414B91" w:rsidRPr="00322F78" w:rsidRDefault="00414B91" w:rsidP="00414B91">
      <w:pPr>
        <w:rPr>
          <w:lang w:val="es-GT"/>
        </w:rPr>
      </w:pPr>
    </w:p>
    <w:p w14:paraId="11142868" w14:textId="4D5ED095" w:rsidR="00414B91" w:rsidRPr="00322F78" w:rsidRDefault="00414B91" w:rsidP="00414B91">
      <w:pPr>
        <w:rPr>
          <w:lang w:val="es-GT"/>
        </w:rPr>
      </w:pPr>
    </w:p>
    <w:p w14:paraId="4974C3D0" w14:textId="77777777" w:rsidR="00414B91" w:rsidRPr="00322F78" w:rsidRDefault="00414B91" w:rsidP="00414B91">
      <w:pPr>
        <w:rPr>
          <w:lang w:val="es-GT"/>
        </w:rPr>
      </w:pPr>
    </w:p>
    <w:p w14:paraId="502B3804" w14:textId="2510BF4E" w:rsidR="00414B91" w:rsidRPr="00322F78" w:rsidRDefault="00414B91" w:rsidP="00414B91">
      <w:pPr>
        <w:rPr>
          <w:lang w:val="es-GT"/>
        </w:rPr>
      </w:pPr>
    </w:p>
    <w:p w14:paraId="0E87E29D" w14:textId="0E0D5B42" w:rsidR="00414B91" w:rsidRPr="00322F78" w:rsidRDefault="00414B91" w:rsidP="00414B91">
      <w:pPr>
        <w:rPr>
          <w:lang w:val="es-GT"/>
        </w:rPr>
      </w:pPr>
    </w:p>
    <w:p w14:paraId="3172ABA0" w14:textId="172ED8E4" w:rsidR="00414B91" w:rsidRPr="00322F78" w:rsidRDefault="00414B91" w:rsidP="00414B91">
      <w:pPr>
        <w:rPr>
          <w:lang w:val="es-GT"/>
        </w:rPr>
      </w:pPr>
    </w:p>
    <w:p w14:paraId="7B436C68" w14:textId="64A2B9DB" w:rsidR="00414B91" w:rsidRPr="00322F78" w:rsidRDefault="00414B91" w:rsidP="00414B91">
      <w:pPr>
        <w:rPr>
          <w:lang w:val="es-GT"/>
        </w:rPr>
      </w:pPr>
    </w:p>
    <w:p w14:paraId="51C0EBF0" w14:textId="712826CF" w:rsidR="00414B91" w:rsidRPr="00322F78" w:rsidRDefault="00414B91" w:rsidP="00414B91">
      <w:pPr>
        <w:rPr>
          <w:lang w:val="es-GT"/>
        </w:rPr>
      </w:pPr>
    </w:p>
    <w:p w14:paraId="2C65BE20" w14:textId="563B8CE4" w:rsidR="00414B91" w:rsidRPr="00322F78" w:rsidRDefault="00414B91" w:rsidP="00414B91">
      <w:pPr>
        <w:rPr>
          <w:lang w:val="es-GT"/>
        </w:rPr>
      </w:pPr>
    </w:p>
    <w:p w14:paraId="4598FAAB" w14:textId="18D544EB" w:rsidR="00414B91" w:rsidRPr="00322F78" w:rsidRDefault="00414B91" w:rsidP="00414B91">
      <w:pPr>
        <w:rPr>
          <w:lang w:val="es-GT"/>
        </w:rPr>
      </w:pPr>
    </w:p>
    <w:p w14:paraId="48C1BA32" w14:textId="4B10ED4D" w:rsidR="00414B91" w:rsidRPr="00322F78" w:rsidRDefault="00414B91" w:rsidP="00414B91">
      <w:pPr>
        <w:rPr>
          <w:lang w:val="es-GT"/>
        </w:rPr>
      </w:pPr>
    </w:p>
    <w:p w14:paraId="636C7458" w14:textId="52B837D9" w:rsidR="00414B91" w:rsidRPr="00322F78" w:rsidRDefault="00414B91" w:rsidP="00414B91">
      <w:pPr>
        <w:rPr>
          <w:lang w:val="es-GT"/>
        </w:rPr>
      </w:pPr>
    </w:p>
    <w:p w14:paraId="00435E8C" w14:textId="63BE86D8" w:rsidR="00414B91" w:rsidRPr="00322F78" w:rsidRDefault="00414B91" w:rsidP="00414B91">
      <w:pPr>
        <w:pStyle w:val="Heading1"/>
        <w:rPr>
          <w:lang w:val="es-GT"/>
        </w:rPr>
      </w:pPr>
      <w:r w:rsidRPr="00322F78">
        <w:rPr>
          <w:lang w:val="es-GT"/>
        </w:rPr>
        <w:t>80-20 de la Empresa</w:t>
      </w:r>
    </w:p>
    <w:p w14:paraId="1F47F48C" w14:textId="3C7232A4" w:rsidR="00414B91" w:rsidRPr="00322F78" w:rsidRDefault="00414B91" w:rsidP="00414B91">
      <w:pPr>
        <w:rPr>
          <w:lang w:val="es-GT"/>
        </w:rPr>
      </w:pPr>
    </w:p>
    <w:p w14:paraId="071ED3D2" w14:textId="59605862" w:rsidR="00414B91" w:rsidRPr="00322F78" w:rsidRDefault="00414B91" w:rsidP="00414B91">
      <w:pPr>
        <w:rPr>
          <w:lang w:val="es-GT"/>
        </w:rPr>
      </w:pPr>
      <w:r>
        <w:rPr>
          <w:noProof/>
        </w:rPr>
        <w:drawing>
          <wp:anchor distT="0" distB="0" distL="114300" distR="114300" simplePos="0" relativeHeight="251658240" behindDoc="0" locked="0" layoutInCell="1" allowOverlap="1" wp14:anchorId="06FC6A97" wp14:editId="602B845C">
            <wp:simplePos x="0" y="0"/>
            <wp:positionH relativeFrom="margin">
              <wp:align>left</wp:align>
            </wp:positionH>
            <wp:positionV relativeFrom="paragraph">
              <wp:posOffset>11430</wp:posOffset>
            </wp:positionV>
            <wp:extent cx="2867025" cy="28194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67025" cy="2819400"/>
                    </a:xfrm>
                    <a:prstGeom prst="rect">
                      <a:avLst/>
                    </a:prstGeom>
                  </pic:spPr>
                </pic:pic>
              </a:graphicData>
            </a:graphic>
          </wp:anchor>
        </w:drawing>
      </w:r>
    </w:p>
    <w:p w14:paraId="4CE34E46" w14:textId="70D84B47" w:rsidR="00414B91" w:rsidRPr="00322F78" w:rsidRDefault="00414B91" w:rsidP="00414B91">
      <w:pPr>
        <w:rPr>
          <w:lang w:val="es-GT"/>
        </w:rPr>
      </w:pPr>
    </w:p>
    <w:p w14:paraId="4B1F7B03" w14:textId="11BF0B5E" w:rsidR="00414B91" w:rsidRPr="00322F78" w:rsidRDefault="00414B91" w:rsidP="00414B91">
      <w:pPr>
        <w:rPr>
          <w:lang w:val="es-GT"/>
        </w:rPr>
      </w:pPr>
    </w:p>
    <w:p w14:paraId="6923D07D" w14:textId="558C8E5F" w:rsidR="00414B91" w:rsidRPr="00322F78" w:rsidRDefault="00414B91" w:rsidP="00414B91">
      <w:pPr>
        <w:rPr>
          <w:lang w:val="es-GT"/>
        </w:rPr>
      </w:pPr>
    </w:p>
    <w:p w14:paraId="584CA104" w14:textId="1892896E" w:rsidR="00414B91" w:rsidRPr="00322F78" w:rsidRDefault="00414B91" w:rsidP="00414B91">
      <w:pPr>
        <w:rPr>
          <w:lang w:val="es-GT"/>
        </w:rPr>
      </w:pPr>
    </w:p>
    <w:p w14:paraId="783BCF10" w14:textId="12617773" w:rsidR="00414B91" w:rsidRPr="00322F78" w:rsidRDefault="00414B91" w:rsidP="00414B91">
      <w:pPr>
        <w:rPr>
          <w:lang w:val="es-GT"/>
        </w:rPr>
      </w:pPr>
    </w:p>
    <w:p w14:paraId="39F6702A" w14:textId="4D0299BD" w:rsidR="00414B91" w:rsidRPr="00322F78" w:rsidRDefault="00414B91" w:rsidP="00414B91">
      <w:pPr>
        <w:rPr>
          <w:lang w:val="es-GT"/>
        </w:rPr>
      </w:pPr>
    </w:p>
    <w:p w14:paraId="4AD39BB6" w14:textId="330978EC" w:rsidR="00414B91" w:rsidRPr="00322F78" w:rsidRDefault="00414B91" w:rsidP="00414B91">
      <w:pPr>
        <w:rPr>
          <w:lang w:val="es-GT"/>
        </w:rPr>
      </w:pPr>
    </w:p>
    <w:p w14:paraId="0D70CD7B" w14:textId="610103A6" w:rsidR="00414B91" w:rsidRPr="00322F78" w:rsidRDefault="00414B91" w:rsidP="00414B91">
      <w:pPr>
        <w:rPr>
          <w:lang w:val="es-GT"/>
        </w:rPr>
      </w:pPr>
    </w:p>
    <w:p w14:paraId="273FA4B8" w14:textId="0B96BD56" w:rsidR="00414B91" w:rsidRPr="00322F78" w:rsidRDefault="00414B91" w:rsidP="00414B91">
      <w:pPr>
        <w:rPr>
          <w:lang w:val="es-GT"/>
        </w:rPr>
      </w:pPr>
    </w:p>
    <w:p w14:paraId="30EA42B8" w14:textId="14554086" w:rsidR="00414B91" w:rsidRPr="00322F78" w:rsidRDefault="00414B91" w:rsidP="00414B91">
      <w:pPr>
        <w:rPr>
          <w:lang w:val="es-GT"/>
        </w:rPr>
      </w:pPr>
    </w:p>
    <w:p w14:paraId="259919CE" w14:textId="35F0C32F" w:rsidR="00414B91" w:rsidRPr="00414B91" w:rsidRDefault="00414B91" w:rsidP="00414B91">
      <w:pPr>
        <w:rPr>
          <w:lang w:val="es-GT"/>
        </w:rPr>
      </w:pPr>
      <w:r w:rsidRPr="00414B91">
        <w:rPr>
          <w:lang w:val="es-GT"/>
        </w:rPr>
        <w:t xml:space="preserve">Aquí podemos observar como el mayor porcentaje proviene del área de </w:t>
      </w:r>
      <w:r>
        <w:rPr>
          <w:lang w:val="es-GT"/>
        </w:rPr>
        <w:t>r</w:t>
      </w:r>
      <w:r w:rsidRPr="00414B91">
        <w:rPr>
          <w:lang w:val="es-GT"/>
        </w:rPr>
        <w:t>evisión</w:t>
      </w:r>
      <w:r>
        <w:rPr>
          <w:lang w:val="es-GT"/>
        </w:rPr>
        <w:t xml:space="preserve">, el cual conforma el 32.62% de nuestros ingresos de factura. </w:t>
      </w:r>
    </w:p>
    <w:sectPr w:rsidR="00414B91" w:rsidRPr="00414B91">
      <w:headerReference w:type="default" r:id="rId11"/>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47724" w14:textId="77777777" w:rsidR="001D5E19" w:rsidRDefault="001D5E19" w:rsidP="00AC57DA">
      <w:pPr>
        <w:spacing w:after="0" w:line="240" w:lineRule="auto"/>
      </w:pPr>
      <w:r>
        <w:separator/>
      </w:r>
    </w:p>
  </w:endnote>
  <w:endnote w:type="continuationSeparator" w:id="0">
    <w:p w14:paraId="5B16BDC8" w14:textId="77777777" w:rsidR="001D5E19" w:rsidRDefault="001D5E19" w:rsidP="00AC5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4B320" w14:textId="77777777" w:rsidR="001D5E19" w:rsidRDefault="001D5E19" w:rsidP="00AC57DA">
      <w:pPr>
        <w:spacing w:after="0" w:line="240" w:lineRule="auto"/>
      </w:pPr>
      <w:r>
        <w:separator/>
      </w:r>
    </w:p>
  </w:footnote>
  <w:footnote w:type="continuationSeparator" w:id="0">
    <w:p w14:paraId="4DDE9E31" w14:textId="77777777" w:rsidR="001D5E19" w:rsidRDefault="001D5E19" w:rsidP="00AC5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45452" w14:textId="277E695C" w:rsidR="00AC57DA" w:rsidRDefault="00AC57DA">
    <w:pPr>
      <w:pStyle w:val="Header"/>
    </w:pPr>
    <w:r>
      <w:rPr>
        <w:noProof/>
      </w:rPr>
      <w:drawing>
        <wp:anchor distT="0" distB="0" distL="114300" distR="114300" simplePos="0" relativeHeight="251658240" behindDoc="0" locked="0" layoutInCell="1" allowOverlap="1" wp14:anchorId="384CE096" wp14:editId="410D295E">
          <wp:simplePos x="0" y="0"/>
          <wp:positionH relativeFrom="page">
            <wp:align>left</wp:align>
          </wp:positionH>
          <wp:positionV relativeFrom="paragraph">
            <wp:posOffset>-485775</wp:posOffset>
          </wp:positionV>
          <wp:extent cx="1627505" cy="933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0951" cy="93518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DA"/>
    <w:rsid w:val="000E44BE"/>
    <w:rsid w:val="001D5E19"/>
    <w:rsid w:val="002A2924"/>
    <w:rsid w:val="002A57F8"/>
    <w:rsid w:val="00322F78"/>
    <w:rsid w:val="003D30C8"/>
    <w:rsid w:val="0040718D"/>
    <w:rsid w:val="00414B91"/>
    <w:rsid w:val="004F1E59"/>
    <w:rsid w:val="0067442D"/>
    <w:rsid w:val="006D2943"/>
    <w:rsid w:val="00701992"/>
    <w:rsid w:val="00862B81"/>
    <w:rsid w:val="00AC57DA"/>
    <w:rsid w:val="00C279CF"/>
    <w:rsid w:val="00C90E6A"/>
    <w:rsid w:val="00F4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F73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0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0E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7DA"/>
    <w:pPr>
      <w:tabs>
        <w:tab w:val="center" w:pos="4419"/>
        <w:tab w:val="right" w:pos="8838"/>
      </w:tabs>
      <w:spacing w:after="0" w:line="240" w:lineRule="auto"/>
    </w:pPr>
  </w:style>
  <w:style w:type="character" w:customStyle="1" w:styleId="HeaderChar">
    <w:name w:val="Header Char"/>
    <w:basedOn w:val="DefaultParagraphFont"/>
    <w:link w:val="Header"/>
    <w:uiPriority w:val="99"/>
    <w:rsid w:val="00AC57DA"/>
  </w:style>
  <w:style w:type="paragraph" w:styleId="Footer">
    <w:name w:val="footer"/>
    <w:basedOn w:val="Normal"/>
    <w:link w:val="FooterChar"/>
    <w:uiPriority w:val="99"/>
    <w:unhideWhenUsed/>
    <w:rsid w:val="00AC57DA"/>
    <w:pPr>
      <w:tabs>
        <w:tab w:val="center" w:pos="4419"/>
        <w:tab w:val="right" w:pos="8838"/>
      </w:tabs>
      <w:spacing w:after="0" w:line="240" w:lineRule="auto"/>
    </w:pPr>
  </w:style>
  <w:style w:type="character" w:customStyle="1" w:styleId="FooterChar">
    <w:name w:val="Footer Char"/>
    <w:basedOn w:val="DefaultParagraphFont"/>
    <w:link w:val="Footer"/>
    <w:uiPriority w:val="99"/>
    <w:rsid w:val="00AC57DA"/>
  </w:style>
  <w:style w:type="paragraph" w:styleId="Title">
    <w:name w:val="Title"/>
    <w:basedOn w:val="Normal"/>
    <w:next w:val="Normal"/>
    <w:link w:val="TitleChar"/>
    <w:uiPriority w:val="10"/>
    <w:qFormat/>
    <w:rsid w:val="00AC57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7D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C57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AC57D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3D30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0E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2020-10-12T18:39:00Z</dcterms:created>
  <dcterms:modified xsi:type="dcterms:W3CDTF">2020-10-12T18:52:00Z</dcterms:modified>
</cp:coreProperties>
</file>