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8943" w:type="dxa"/>
        <w:tblLook w:val="04A0" w:firstRow="1" w:lastRow="0" w:firstColumn="1" w:lastColumn="0" w:noHBand="0" w:noVBand="1"/>
      </w:tblPr>
      <w:tblGrid>
        <w:gridCol w:w="8943"/>
      </w:tblGrid>
      <w:tr w:rsidR="004C09DD" w:rsidTr="004C09DD">
        <w:trPr>
          <w:trHeight w:val="468"/>
        </w:trPr>
        <w:tc>
          <w:tcPr>
            <w:tcW w:w="894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C09DD" w:rsidRPr="004C09DD" w:rsidRDefault="004C09DD" w:rsidP="004C09DD">
            <w:pPr>
              <w:ind w:firstLine="708"/>
              <w:rPr>
                <w:rFonts w:ascii="Bradley Hand ITC" w:hAnsi="Bradley Hand ITC"/>
                <w:b/>
                <w:color w:val="FFFFFF" w:themeColor="background1"/>
                <w:sz w:val="30"/>
                <w:szCs w:val="30"/>
              </w:rPr>
            </w:pPr>
            <w:r w:rsidRPr="004C09DD">
              <w:rPr>
                <w:rFonts w:ascii="Bradley Hand ITC" w:hAnsi="Bradley Hand ITC"/>
                <w:b/>
                <w:color w:val="000000" w:themeColor="text1"/>
              </w:rPr>
              <w:t xml:space="preserve">                                      </w:t>
            </w:r>
            <w:r>
              <w:rPr>
                <w:rFonts w:ascii="Bradley Hand ITC" w:hAnsi="Bradley Hand ITC"/>
                <w:b/>
                <w:color w:val="000000" w:themeColor="text1"/>
                <w:sz w:val="30"/>
                <w:szCs w:val="30"/>
              </w:rPr>
              <w:t>L</w:t>
            </w:r>
            <w:r w:rsidRPr="004C09DD">
              <w:rPr>
                <w:rFonts w:ascii="Bradley Hand ITC" w:hAnsi="Bradley Hand ITC"/>
                <w:b/>
                <w:color w:val="000000" w:themeColor="text1"/>
                <w:sz w:val="30"/>
                <w:szCs w:val="30"/>
              </w:rPr>
              <w:t>IXO HOSPITALAR</w:t>
            </w:r>
          </w:p>
        </w:tc>
      </w:tr>
    </w:tbl>
    <w:p w:rsidR="002F6E05" w:rsidRDefault="002F6E05">
      <w:pPr>
        <w:rPr>
          <w:rFonts w:ascii="Bradley Hand ITC" w:hAnsi="Bradley Hand ITC"/>
          <w:color w:val="F2F2F2" w:themeColor="background1" w:themeShade="F2"/>
          <w:u w:val="single"/>
        </w:rPr>
      </w:pPr>
    </w:p>
    <w:p w:rsidR="004C09DD" w:rsidRPr="00C87C84" w:rsidRDefault="004C09DD">
      <w:pPr>
        <w:rPr>
          <w:rFonts w:ascii="Bradley Hand ITC" w:hAnsi="Bradley Hand ITC"/>
          <w:color w:val="000000" w:themeColor="text1"/>
          <w:sz w:val="26"/>
          <w:szCs w:val="26"/>
        </w:rPr>
      </w:pPr>
      <w:r w:rsidRPr="00C87C84">
        <w:rPr>
          <w:rFonts w:ascii="Bradley Hand ITC" w:hAnsi="Bradley Hand ITC"/>
          <w:color w:val="000000" w:themeColor="text1"/>
          <w:sz w:val="26"/>
          <w:szCs w:val="26"/>
        </w:rPr>
        <w:t>Os residuos sólidos  hospitalares ou como é mais comumente  denominado “LIXO HOSPITALAR” sempore se constituiu um probema bastante serio para os administradores hospitalares , devido principalmente a falta de informações a respeito , gerando mitos e fantasias  entre funcionarios, pacientes, familiares e principalmente a comunidade vizinha as edificações hospitalares e aos aterros sanitarios.</w:t>
      </w:r>
    </w:p>
    <w:p w:rsidR="007A393F" w:rsidRPr="00C87C84" w:rsidRDefault="007A393F">
      <w:pPr>
        <w:rPr>
          <w:rFonts w:ascii="Bradley Hand ITC" w:hAnsi="Bradley Hand ITC"/>
          <w:color w:val="000000" w:themeColor="text1"/>
          <w:sz w:val="26"/>
          <w:szCs w:val="26"/>
        </w:rPr>
      </w:pPr>
      <w:r w:rsidRPr="00C87C84">
        <w:rPr>
          <w:rFonts w:ascii="Bradley Hand ITC" w:hAnsi="Bradley Hand ITC"/>
          <w:color w:val="000000" w:themeColor="text1"/>
          <w:sz w:val="26"/>
          <w:szCs w:val="26"/>
        </w:rPr>
        <w:t xml:space="preserve">A atividade hospitalar é por si só uma fantastica geradora de residuos , inerente  a diversidade de atividades que se desenvolvem dentro destas empresas. </w:t>
      </w:r>
    </w:p>
    <w:p w:rsidR="007A393F" w:rsidRPr="00C87C84" w:rsidRDefault="00C87C84">
      <w:pPr>
        <w:rPr>
          <w:rFonts w:ascii="Bradley Hand ITC" w:hAnsi="Bradley Hand ITC"/>
          <w:color w:val="000000" w:themeColor="text1"/>
          <w:sz w:val="26"/>
          <w:szCs w:val="26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1E17BC73" wp14:editId="0FA54B24">
            <wp:simplePos x="0" y="0"/>
            <wp:positionH relativeFrom="column">
              <wp:posOffset>2869565</wp:posOffset>
            </wp:positionH>
            <wp:positionV relativeFrom="paragraph">
              <wp:posOffset>352425</wp:posOffset>
            </wp:positionV>
            <wp:extent cx="3418205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27" y="21404"/>
                <wp:lineTo x="21427" y="0"/>
                <wp:lineTo x="0" y="0"/>
              </wp:wrapPolygon>
            </wp:wrapTight>
            <wp:docPr id="5" name="Imagem 5" descr="PANDEMIA: Geração de lixo hospitalar no Brasil aumenta 20% em junh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ANDEMIA: Geração de lixo hospitalar no Brasil aumenta 20% em junho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93F" w:rsidRPr="00C87C84">
        <w:rPr>
          <w:rFonts w:ascii="Bradley Hand ITC" w:hAnsi="Bradley Hand ITC"/>
          <w:color w:val="000000" w:themeColor="text1"/>
          <w:sz w:val="26"/>
          <w:szCs w:val="26"/>
        </w:rPr>
        <w:t>Lixo hospitalar é o lixo que resulta da manipulação e hospitais e clinicas, e formado por sua maioria por:</w:t>
      </w:r>
    </w:p>
    <w:p w:rsidR="007A393F" w:rsidRPr="00C87C84" w:rsidRDefault="007A393F" w:rsidP="00C87C84">
      <w:pPr>
        <w:pStyle w:val="PargrafodaLista"/>
        <w:numPr>
          <w:ilvl w:val="0"/>
          <w:numId w:val="2"/>
        </w:numPr>
        <w:jc w:val="both"/>
        <w:rPr>
          <w:rFonts w:ascii="Bradley Hand ITC" w:hAnsi="Bradley Hand ITC"/>
          <w:color w:val="000000" w:themeColor="text1"/>
          <w:sz w:val="26"/>
          <w:szCs w:val="26"/>
        </w:rPr>
      </w:pPr>
      <w:r w:rsidRPr="00C87C84">
        <w:rPr>
          <w:rFonts w:ascii="Bradley Hand ITC" w:hAnsi="Bradley Hand ITC"/>
          <w:color w:val="000000" w:themeColor="text1"/>
          <w:sz w:val="26"/>
          <w:szCs w:val="26"/>
        </w:rPr>
        <w:t>Seringas;</w:t>
      </w:r>
      <w:r w:rsidR="00C87C84" w:rsidRPr="00C87C84">
        <w:rPr>
          <w:rFonts w:ascii="Bradley Hand ITC" w:hAnsi="Bradley Hand ITC"/>
          <w:color w:val="000000" w:themeColor="text1"/>
          <w:sz w:val="26"/>
          <w:szCs w:val="26"/>
        </w:rPr>
        <w:t xml:space="preserve">                                                      </w:t>
      </w:r>
    </w:p>
    <w:p w:rsidR="007A393F" w:rsidRPr="00C87C84" w:rsidRDefault="007A393F" w:rsidP="007A393F">
      <w:pPr>
        <w:pStyle w:val="PargrafodaLista"/>
        <w:numPr>
          <w:ilvl w:val="0"/>
          <w:numId w:val="2"/>
        </w:numPr>
        <w:jc w:val="both"/>
        <w:rPr>
          <w:rFonts w:ascii="Bradley Hand ITC" w:hAnsi="Bradley Hand ITC"/>
          <w:color w:val="000000" w:themeColor="text1"/>
          <w:sz w:val="26"/>
          <w:szCs w:val="26"/>
        </w:rPr>
      </w:pPr>
      <w:r w:rsidRPr="00C87C84">
        <w:rPr>
          <w:rFonts w:ascii="Bradley Hand ITC" w:hAnsi="Bradley Hand ITC"/>
          <w:color w:val="000000" w:themeColor="text1"/>
          <w:sz w:val="26"/>
          <w:szCs w:val="26"/>
        </w:rPr>
        <w:t>Agulhas;</w:t>
      </w:r>
      <w:r w:rsidR="00C87C84" w:rsidRPr="00C87C84">
        <w:rPr>
          <w:rFonts w:ascii="Bradley Hand ITC" w:hAnsi="Bradley Hand ITC"/>
          <w:color w:val="000000" w:themeColor="text1"/>
          <w:sz w:val="26"/>
          <w:szCs w:val="26"/>
        </w:rPr>
        <w:t xml:space="preserve">                      </w:t>
      </w:r>
      <w:r w:rsidR="00C87C84">
        <w:rPr>
          <w:rFonts w:ascii="Bradley Hand ITC" w:hAnsi="Bradley Hand ITC"/>
          <w:color w:val="000000" w:themeColor="text1"/>
          <w:sz w:val="26"/>
          <w:szCs w:val="26"/>
        </w:rPr>
        <w:t xml:space="preserve">                    </w:t>
      </w:r>
    </w:p>
    <w:p w:rsidR="007A393F" w:rsidRPr="00C87C84" w:rsidRDefault="007A393F" w:rsidP="007A393F">
      <w:pPr>
        <w:pStyle w:val="PargrafodaLista"/>
        <w:numPr>
          <w:ilvl w:val="0"/>
          <w:numId w:val="2"/>
        </w:numPr>
        <w:jc w:val="both"/>
        <w:rPr>
          <w:rFonts w:ascii="Bradley Hand ITC" w:hAnsi="Bradley Hand ITC"/>
          <w:color w:val="000000" w:themeColor="text1"/>
          <w:sz w:val="26"/>
          <w:szCs w:val="26"/>
        </w:rPr>
      </w:pPr>
      <w:r w:rsidRPr="00C87C84">
        <w:rPr>
          <w:rFonts w:ascii="Bradley Hand ITC" w:hAnsi="Bradley Hand ITC"/>
          <w:color w:val="000000" w:themeColor="text1"/>
          <w:sz w:val="26"/>
          <w:szCs w:val="26"/>
        </w:rPr>
        <w:t>Fraldas ;</w:t>
      </w:r>
    </w:p>
    <w:p w:rsidR="007A393F" w:rsidRPr="00C87C84" w:rsidRDefault="007A393F" w:rsidP="007A393F">
      <w:pPr>
        <w:pStyle w:val="PargrafodaLista"/>
        <w:numPr>
          <w:ilvl w:val="0"/>
          <w:numId w:val="2"/>
        </w:numPr>
        <w:jc w:val="both"/>
        <w:rPr>
          <w:rFonts w:ascii="Bradley Hand ITC" w:hAnsi="Bradley Hand ITC"/>
          <w:color w:val="000000" w:themeColor="text1"/>
          <w:sz w:val="26"/>
          <w:szCs w:val="26"/>
        </w:rPr>
      </w:pPr>
      <w:r w:rsidRPr="00C87C84">
        <w:rPr>
          <w:rFonts w:ascii="Bradley Hand ITC" w:hAnsi="Bradley Hand ITC"/>
          <w:color w:val="000000" w:themeColor="text1"/>
          <w:sz w:val="26"/>
          <w:szCs w:val="26"/>
        </w:rPr>
        <w:t>Sondas</w:t>
      </w:r>
      <w:r w:rsidR="00C87C84">
        <w:rPr>
          <w:rFonts w:ascii="Bradley Hand ITC" w:hAnsi="Bradley Hand ITC"/>
          <w:color w:val="000000" w:themeColor="text1"/>
          <w:sz w:val="26"/>
          <w:szCs w:val="26"/>
        </w:rPr>
        <w:t>;</w:t>
      </w:r>
    </w:p>
    <w:p w:rsidR="007A393F" w:rsidRPr="00C87C84" w:rsidRDefault="00C87C84" w:rsidP="007A393F">
      <w:pPr>
        <w:pStyle w:val="PargrafodaLista"/>
        <w:numPr>
          <w:ilvl w:val="0"/>
          <w:numId w:val="2"/>
        </w:numPr>
        <w:jc w:val="both"/>
        <w:rPr>
          <w:rFonts w:ascii="Bradley Hand ITC" w:hAnsi="Bradley Hand ITC"/>
          <w:color w:val="000000" w:themeColor="text1"/>
          <w:sz w:val="26"/>
          <w:szCs w:val="26"/>
        </w:rPr>
      </w:pPr>
      <w:r w:rsidRPr="00C87C84">
        <w:rPr>
          <w:rFonts w:ascii="Bradley Hand ITC" w:hAnsi="Bradley Hand ITC"/>
          <w:color w:val="000000" w:themeColor="text1"/>
          <w:sz w:val="26"/>
          <w:szCs w:val="26"/>
        </w:rPr>
        <w:t>C</w:t>
      </w:r>
      <w:r w:rsidR="007A393F" w:rsidRPr="00C87C84">
        <w:rPr>
          <w:rFonts w:ascii="Bradley Hand ITC" w:hAnsi="Bradley Hand ITC"/>
          <w:color w:val="000000" w:themeColor="text1"/>
          <w:sz w:val="26"/>
          <w:szCs w:val="26"/>
        </w:rPr>
        <w:t>ateters</w:t>
      </w:r>
      <w:r w:rsidRPr="00C87C84">
        <w:rPr>
          <w:rFonts w:ascii="Bradley Hand ITC" w:hAnsi="Bradley Hand ITC"/>
          <w:color w:val="000000" w:themeColor="text1"/>
          <w:sz w:val="26"/>
          <w:szCs w:val="26"/>
        </w:rPr>
        <w:t>;</w:t>
      </w:r>
    </w:p>
    <w:p w:rsidR="00C87C84" w:rsidRDefault="00C87C84" w:rsidP="00C87C84">
      <w:pPr>
        <w:pStyle w:val="PargrafodaLista"/>
        <w:numPr>
          <w:ilvl w:val="0"/>
          <w:numId w:val="2"/>
        </w:numPr>
        <w:jc w:val="both"/>
        <w:rPr>
          <w:rFonts w:ascii="Bradley Hand ITC" w:hAnsi="Bradley Hand ITC"/>
          <w:color w:val="000000" w:themeColor="text1"/>
          <w:sz w:val="26"/>
          <w:szCs w:val="26"/>
        </w:rPr>
      </w:pPr>
      <w:r w:rsidRPr="00C87C84">
        <w:rPr>
          <w:rFonts w:ascii="Bradley Hand ITC" w:hAnsi="Bradley Hand ITC"/>
          <w:color w:val="000000" w:themeColor="text1"/>
          <w:sz w:val="26"/>
          <w:szCs w:val="26"/>
        </w:rPr>
        <w:t xml:space="preserve">E demais materiais descartaveis </w:t>
      </w:r>
    </w:p>
    <w:p w:rsidR="00C87C84" w:rsidRDefault="00C87C84" w:rsidP="00C87C84">
      <w:pPr>
        <w:jc w:val="both"/>
        <w:rPr>
          <w:rFonts w:ascii="Bradley Hand ITC" w:hAnsi="Bradley Hand ITC"/>
          <w:color w:val="000000" w:themeColor="text1"/>
          <w:sz w:val="26"/>
          <w:szCs w:val="26"/>
        </w:rPr>
      </w:pPr>
    </w:p>
    <w:p w:rsidR="00C87C84" w:rsidRDefault="00C87C84" w:rsidP="00C87C84">
      <w:pPr>
        <w:jc w:val="both"/>
        <w:rPr>
          <w:rFonts w:ascii="Bradley Hand ITC" w:hAnsi="Bradley Hand ITC"/>
          <w:color w:val="000000" w:themeColor="text1"/>
          <w:sz w:val="26"/>
          <w:szCs w:val="26"/>
        </w:rPr>
      </w:pPr>
      <w:bookmarkStart w:id="0" w:name="_GoBack"/>
      <w:bookmarkEnd w:id="0"/>
    </w:p>
    <w:p w:rsidR="00C87C84" w:rsidRDefault="00C87C84" w:rsidP="00C87C84">
      <w:pPr>
        <w:jc w:val="both"/>
        <w:rPr>
          <w:rFonts w:ascii="Bradley Hand ITC" w:hAnsi="Bradley Hand ITC"/>
          <w:color w:val="000000" w:themeColor="text1"/>
          <w:sz w:val="26"/>
          <w:szCs w:val="26"/>
        </w:rPr>
      </w:pPr>
    </w:p>
    <w:p w:rsidR="00C87C84" w:rsidRPr="00C87C84" w:rsidRDefault="00C87C84" w:rsidP="00C87C84">
      <w:pPr>
        <w:jc w:val="both"/>
        <w:rPr>
          <w:rFonts w:ascii="Bradley Hand ITC" w:hAnsi="Bradley Hand ITC"/>
          <w:color w:val="000000" w:themeColor="text1"/>
          <w:sz w:val="26"/>
          <w:szCs w:val="26"/>
        </w:rPr>
      </w:pPr>
      <w:r>
        <w:rPr>
          <w:rFonts w:ascii="Bradley Hand ITC" w:hAnsi="Bradley Hand ITC"/>
          <w:color w:val="000000" w:themeColor="text1"/>
          <w:sz w:val="26"/>
          <w:szCs w:val="26"/>
        </w:rPr>
        <w:t xml:space="preserve">Esse lixo representa um grande perigo á saúde, uma vez que pode estar contamnado com microorganismos causadores de doenças. Esse lixo deve ser recolhido por empresas especializadas, seu destino é o incinerador onde é queimado </w:t>
      </w:r>
    </w:p>
    <w:p w:rsidR="00C87C84" w:rsidRPr="00C87C84" w:rsidRDefault="00C87C84" w:rsidP="00C87C84">
      <w:pPr>
        <w:ind w:left="360"/>
        <w:jc w:val="both"/>
        <w:rPr>
          <w:rFonts w:ascii="Bradley Hand ITC" w:hAnsi="Bradley Hand ITC"/>
          <w:color w:val="000000" w:themeColor="text1"/>
          <w:sz w:val="26"/>
          <w:szCs w:val="26"/>
        </w:rPr>
      </w:pPr>
    </w:p>
    <w:p w:rsidR="00C87C84" w:rsidRDefault="00C87C84" w:rsidP="00C87C84">
      <w:pPr>
        <w:ind w:left="360"/>
        <w:jc w:val="both"/>
        <w:rPr>
          <w:rFonts w:ascii="Bradley Hand ITC" w:hAnsi="Bradley Hand ITC"/>
          <w:color w:val="000000" w:themeColor="text1"/>
          <w:sz w:val="26"/>
          <w:szCs w:val="26"/>
          <w:u w:val="single"/>
        </w:rPr>
      </w:pPr>
    </w:p>
    <w:p w:rsidR="00C87C84" w:rsidRPr="00C87C84" w:rsidRDefault="00C87C84" w:rsidP="00C87C84">
      <w:pPr>
        <w:ind w:left="360"/>
        <w:jc w:val="both"/>
        <w:rPr>
          <w:rFonts w:ascii="Bradley Hand ITC" w:hAnsi="Bradley Hand ITC"/>
          <w:color w:val="000000" w:themeColor="text1"/>
          <w:sz w:val="26"/>
          <w:szCs w:val="26"/>
          <w:u w:val="single"/>
        </w:rPr>
      </w:pPr>
    </w:p>
    <w:p w:rsidR="004C09DD" w:rsidRPr="004C09DD" w:rsidRDefault="007A393F">
      <w:pPr>
        <w:rPr>
          <w:rFonts w:ascii="Bradley Hand ITC" w:hAnsi="Bradley Hand ITC"/>
          <w:color w:val="000000" w:themeColor="text1"/>
          <w:sz w:val="26"/>
          <w:szCs w:val="26"/>
          <w:u w:val="single"/>
        </w:rPr>
      </w:pPr>
      <w:r>
        <w:rPr>
          <w:noProof/>
          <w:lang w:eastAsia="pt-BR"/>
        </w:rPr>
        <w:t xml:space="preserve">                                                                                                                                        </w:t>
      </w:r>
    </w:p>
    <w:sectPr w:rsidR="004C09DD" w:rsidRPr="004C09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E182B"/>
    <w:multiLevelType w:val="hybridMultilevel"/>
    <w:tmpl w:val="C7D00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F2080"/>
    <w:multiLevelType w:val="hybridMultilevel"/>
    <w:tmpl w:val="F670C3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9DD"/>
    <w:rsid w:val="000A096D"/>
    <w:rsid w:val="002F6E05"/>
    <w:rsid w:val="004C09DD"/>
    <w:rsid w:val="007A393F"/>
    <w:rsid w:val="00C8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6A2F"/>
  <w15:chartTrackingRefBased/>
  <w15:docId w15:val="{6C5E7631-2392-4936-8A97-D7447FF4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C0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A393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87C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2026-06-09T16:02:00Z</dcterms:created>
  <dcterms:modified xsi:type="dcterms:W3CDTF">2026-06-09T16:34:00Z</dcterms:modified>
</cp:coreProperties>
</file>