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2E74B5"/>
          <w:sz w:val="22"/>
        </w:rPr>
        <w:t>MANUAL DE USUARIO</w:t>
      </w:r>
    </w:p>
    <w:p>
      <w:pPr>
        <w:pStyle w:val="Title"/>
        <w:jc w:val="center"/>
      </w:pPr>
      <w:r>
        <w:t>AAGM v1.10</w:t>
      </w:r>
    </w:p>
    <w:p>
      <w:pPr>
        <w:pStyle w:val="Subtitle"/>
        <w:jc w:val="center"/>
      </w:pPr>
      <w:r>
        <w:t>AI Agent GitOps Methodology</w:t>
      </w:r>
    </w:p>
    <w:p>
      <w:pPr>
        <w:jc w:val="center"/>
      </w:pPr>
      <w:r>
        <w:rPr>
          <w:rFonts w:ascii="Calibri" w:hAnsi="Calibri"/>
          <w:b w:val="0"/>
          <w:i w:val="0"/>
          <w:color w:val="1F4D78"/>
          <w:sz w:val="24"/>
        </w:rPr>
        <w:t>Gobierno simple, autorización explícita y evidencia hasta producción</w:t>
      </w:r>
    </w:p>
    <w:p/>
    <w:p/>
    <w:p/>
    <w:p/>
    <w:p>
      <w:pPr>
        <w:jc w:val="center"/>
      </w:pPr>
      <w:r>
        <w:rPr>
          <w:rFonts w:ascii="Calibri" w:hAnsi="Calibri"/>
          <w:b w:val="0"/>
          <w:i w:val="0"/>
          <w:color w:val="667085"/>
          <w:sz w:val="20"/>
        </w:rPr>
        <w:t>Baseline compatible con AAGM v1.9</w:t>
        <w:br/>
        <w:t>Release: 29 de agosto de 2026</w:t>
      </w:r>
    </w:p>
    <w:p>
      <w:r>
        <w:br w:type="page"/>
      </w:r>
    </w:p>
    <w:p>
      <w:pPr>
        <w:pStyle w:val="Heading1"/>
      </w:pPr>
      <w:r>
        <w:t>Cómo usar este manual</w:t>
      </w:r>
    </w:p>
    <w:p>
      <w:r>
        <w:rPr>
          <w:rFonts w:ascii="Calibri" w:hAnsi="Calibri"/>
          <w:b w:val="0"/>
          <w:i w:val="0"/>
          <w:color w:val="172033"/>
          <w:sz w:val="22"/>
        </w:rPr>
        <w:t>Este manual explica la operación diaria de AAGM v1.10 para Sponsors y equipos que coordinan agentes IA. Git y los archivos estructurados conservan la verdad; el Dashboard ofrece una vista humana simple.</w:t>
      </w:r>
    </w:p>
    <w:p>
      <w:pPr>
        <w:pStyle w:val="Heading2"/>
      </w:pPr>
      <w:r>
        <w:t>Regla central</w:t>
      </w:r>
    </w:p>
    <w:p>
      <w:r>
        <w:rPr>
          <w:rFonts w:ascii="Calibri" w:hAnsi="Calibri"/>
          <w:b w:val="0"/>
          <w:i w:val="0"/>
          <w:color w:val="172033"/>
          <w:sz w:val="22"/>
        </w:rPr>
        <w:t>Hacerlo bien, eficiente y simple. AAGM añade un artefacto o gate solo cuando reduce un riesgo concreto o mejora una decisión importante.</w:t>
      </w:r>
    </w:p>
    <w:p>
      <w:pPr>
        <w:pStyle w:val="Heading2"/>
      </w:pPr>
      <w:r>
        <w:t>Contenido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Sección</w:t>
            </w:r>
          </w:p>
        </w:tc>
        <w:tc>
          <w:tcPr>
            <w:tcW w:type="dxa" w:w="61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Pregunta que responde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1. Modelo esencial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¿Quién decide y qué estados existen?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2. Flujo operativo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¿Cómo avanza un proyecto?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3. Changes y autorización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¿Qué permite implementar?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4. Ambientes y evidencia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¿Dónde y cómo se valida?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5. QA y Release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¿Cuándo está listo?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6. Dashboard y documentación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¿Cómo se entiende el estado?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7. Migración y comandos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¿Cómo empiezo o actualizo?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Modelo esencial</w:t>
      </w:r>
    </w:p>
    <w:p>
      <w:r>
        <w:rPr>
          <w:rFonts w:ascii="Calibri" w:hAnsi="Calibri"/>
          <w:b w:val="0"/>
          <w:i w:val="0"/>
          <w:color w:val="172033"/>
          <w:sz w:val="22"/>
        </w:rPr>
        <w:t>AAGM conserva seis fases: BOOTSTRAP → DISCOVERY → SOLUTION_DESIGN → PLANNING → DELIVERY → OPERATIONS. RELEASE_READY es un gate dentro de Delivery, no una fase.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3168"/>
        <w:gridCol w:w="3888"/>
      </w:tblGrid>
      <w:tr>
        <w:trPr>
          <w:tblHeader w:val="true"/>
        </w:trPr>
        <w:tc>
          <w:tcPr>
            <w:tcW w:type="dxa" w:w="230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Dimensión</w:t>
            </w:r>
          </w:p>
        </w:tc>
        <w:tc>
          <w:tcPr>
            <w:tcW w:type="dxa" w:w="31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Ejemplo</w:t>
            </w:r>
          </w:p>
        </w:tc>
        <w:tc>
          <w:tcPr>
            <w:tcW w:type="dxa" w:w="38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No confundir con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Fase de proyecto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DELIVERY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estado de un Change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Change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VALIDATING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readiness del release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Task Packet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PENDING_VALIDATION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trabajo DONE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Integración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DETECTED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CONFIGURED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Readiness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RELEASE_READY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OPERATIONS</w:t>
            </w:r>
          </w:p>
        </w:tc>
      </w:tr>
    </w:tbl>
    <w:p>
      <w:pPr>
        <w:spacing w:after="40"/>
      </w:pPr>
    </w:p>
    <w:p>
      <w:pPr>
        <w:pStyle w:val="Heading2"/>
      </w:pPr>
      <w:r>
        <w:t>Roles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ORCHESTRATOR_PM coordina, mantiene estado y evalúa Release Gate.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SOLUTION_ARCHITECT define decisiones, integraciones y ambientes.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DEVELOPER implementa solo alcance autorizado.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QA valida independientemente y se detiene antes del Release Gate.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SPONSOR_ADVISOR mantiene lenguaje y decisiones comprensibles.</w:t>
      </w:r>
    </w:p>
    <w:p>
      <w:pPr>
        <w:pStyle w:val="Heading2"/>
      </w:pPr>
      <w:r>
        <w:t>Configuración predeterminada</w:t>
      </w:r>
    </w:p>
    <w:p>
      <w:r>
        <w:rPr>
          <w:rFonts w:ascii="Calibri" w:hAnsi="Calibri"/>
          <w:b w:val="0"/>
          <w:i w:val="0"/>
          <w:color w:val="172033"/>
          <w:sz w:val="22"/>
        </w:rPr>
        <w:t>Rol: ORCHESTRATOR_PM · Nivel: A · Autonomía: CONTROLLED · Perfil Sponsor: LIMITED · Idioma: español. El perfil cambia detalle e interrupciones; no reduce autoridad ni seguridad.</w:t>
      </w:r>
    </w:p>
    <w:p>
      <w:r>
        <w:br w:type="page"/>
      </w:r>
    </w:p>
    <w:p>
      <w:pPr>
        <w:pStyle w:val="Heading1"/>
      </w:pPr>
      <w:r>
        <w:t>2. Flujo operativo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033"/>
          <w:sz w:val="22"/>
        </w:rPr>
        <w:t>Bootstrap registra contexto mínimo y transición a Discovery.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033"/>
          <w:sz w:val="22"/>
        </w:rPr>
        <w:t>Discovery captura necesidades, decisiones y benchmarks verificables.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033"/>
          <w:sz w:val="22"/>
        </w:rPr>
        <w:t>Solution Design define arquitectura, integraciones y Environment Contract.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033"/>
          <w:sz w:val="22"/>
        </w:rPr>
        <w:t>Planning crea Changes, TPs, dependencias, criterios y autorizaciones.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033"/>
          <w:sz w:val="22"/>
        </w:rPr>
        <w:t>Delivery implementa una unidad autorizada, valida empíricamente y guarda evidencia.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033"/>
          <w:sz w:val="22"/>
        </w:rPr>
        <w:t>QA independiente publica resultado y se detiene.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033"/>
          <w:sz w:val="22"/>
        </w:rPr>
        <w:t>ORCHESTRATOR_PM evalúa Release Gate en otra ejecución.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033"/>
          <w:sz w:val="22"/>
        </w:rPr>
        <w:t>Tras autorización se despliega y valida producción antes de Operations.</w:t>
      </w:r>
    </w:p>
    <w:p>
      <w:pPr>
        <w:pStyle w:val="Heading2"/>
      </w:pPr>
      <w:r>
        <w:t>Transiciones visibles</w:t>
      </w:r>
    </w:p>
    <w:p>
      <w:r>
        <w:rPr>
          <w:rFonts w:ascii="Calibri" w:hAnsi="Calibri"/>
          <w:b w:val="0"/>
          <w:i w:val="0"/>
          <w:color w:val="172033"/>
          <w:sz w:val="22"/>
        </w:rPr>
        <w:t>Cada fase registra criterios de salida, evidencia y fecha. Una fase puede completarse rápido, pero nunca saltarse silenciosamente.</w:t>
      </w:r>
    </w:p>
    <w:p>
      <w:pPr>
        <w:pStyle w:val="Heading2"/>
      </w:pPr>
      <w:r>
        <w:t>Límites de ejecución</w:t>
      </w:r>
    </w:p>
    <w:p>
      <w:r>
        <w:rPr>
          <w:rFonts w:ascii="Calibri" w:hAnsi="Calibri"/>
          <w:b w:val="0"/>
          <w:i w:val="0"/>
          <w:color w:val="172033"/>
          <w:sz w:val="22"/>
        </w:rPr>
        <w:t>En CONTROLLED, una invocación de /aagm-continue ejecuta una sola unidad autorizada. No encadena el siguiente TP, QA ni Release Gate.</w:t>
      </w:r>
    </w:p>
    <w:p>
      <w:r>
        <w:br w:type="page"/>
      </w:r>
    </w:p>
    <w:p>
      <w:pPr>
        <w:pStyle w:val="Heading1"/>
      </w:pPr>
      <w:r>
        <w:t>3. Changes y autorización</w:t>
      </w:r>
    </w:p>
    <w:p>
      <w:r>
        <w:rPr>
          <w:rFonts w:ascii="Calibri" w:hAnsi="Calibri"/>
          <w:b w:val="0"/>
          <w:i w:val="0"/>
          <w:color w:val="172033"/>
          <w:sz w:val="22"/>
        </w:rPr>
        <w:t>Un Change es la unidad que el Sponsor puede seguir desde la solicitud hasta producción. Puede agrupar varios Task Packets y referencias técnicas.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616"/>
        <w:gridCol w:w="3744"/>
      </w:tblGrid>
      <w:tr>
        <w:trPr>
          <w:tblHeader w:val="true"/>
        </w:trPr>
        <w:tc>
          <w:tcPr>
            <w:tcW w:type="dxa" w:w="561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Aprobación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Autoriza implementar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Aceptar requisito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Aprobar análisis/diseño/plan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IDE Accept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Autorización explícita y scope-bound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Sí, solo alcance identificado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Autorización antigua tras cambio de alcance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Secuencia CONTROLLED</w:t>
      </w:r>
    </w:p>
    <w:p>
      <w:r>
        <w:rPr>
          <w:rFonts w:ascii="Calibri" w:hAnsi="Calibri"/>
          <w:b w:val="0"/>
          <w:i w:val="0"/>
          <w:color w:val="172033"/>
          <w:sz w:val="22"/>
        </w:rPr>
        <w:t>REQUESTED → ANALYZING → READY_FOR_IMPLEMENTATION → AWAITING_IMPLEMENTATION_APPROVAL → autorización vigente → IN_PROGRESS → PENDING_VALIDATION → VALIDATING → READY_FOR_RELEASE.</w:t>
      </w:r>
    </w:p>
    <w:p>
      <w:pPr>
        <w:pStyle w:val="Heading2"/>
      </w:pPr>
      <w:r>
        <w:t>Qué debe decir una autorización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Identificador Change/TP o plan.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Alcance incluido y excluido.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Actor y fecha.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Condición de expiración; todo cambio material invalida el permiso.</w:t>
      </w:r>
    </w:p>
    <w:p>
      <w:r>
        <w:br w:type="page"/>
      </w:r>
    </w:p>
    <w:p>
      <w:pPr>
        <w:pStyle w:val="Heading1"/>
      </w:pPr>
      <w:r>
        <w:t>4. Ambientes y evidencia</w:t>
      </w:r>
    </w:p>
    <w:p>
      <w:r>
        <w:rPr>
          <w:rFonts w:ascii="Calibri" w:hAnsi="Calibri"/>
          <w:b w:val="0"/>
          <w:i w:val="0"/>
          <w:color w:val="172033"/>
          <w:sz w:val="22"/>
        </w:rPr>
        <w:t>Producción es un límite protegido. Un ambiente lógico (DEV, STAGING, PROD) no es lo mismo que su target físico (proyecto Firebase, cuenta cloud, namespace o proyecto hosting).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Proyecto</w:t>
            </w:r>
          </w:p>
        </w:tc>
        <w:tc>
          <w:tcPr>
            <w:tcW w:type="dxa" w:w="64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Modelo proporcional típico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Pequeño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LOCAL/DEV → PROD o LOCAL → PREVIEW → PROD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Medio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DEV → STAGING → PROD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Crítico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DEV → TEST/QA → STAGING/PREPROD → PROD</w:t>
            </w:r>
          </w:p>
        </w:tc>
      </w:tr>
    </w:tbl>
    <w:p>
      <w:pPr>
        <w:spacing w:after="40"/>
      </w:pPr>
    </w:p>
    <w:p>
      <w:pPr>
        <w:pStyle w:val="Heading2"/>
      </w:pPr>
      <w:r>
        <w:t>Environment Contract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Propósito y target físico.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Configuración, secrets, datos e integraciones aislados.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Side effects permitidos: email, CRM, pagos y APIs.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Promoción, permisos, deployment, rollback y validación.</w:t>
      </w:r>
    </w:p>
    <w:p>
      <w:pPr>
        <w:pStyle w:val="Heading2"/>
      </w:pPr>
      <w:r>
        <w:t>Validación empírica</w:t>
      </w:r>
    </w:p>
    <w:p>
      <w:r>
        <w:rPr>
          <w:rFonts w:ascii="Calibri" w:hAnsi="Calibri"/>
          <w:b w:val="0"/>
          <w:i w:val="0"/>
          <w:color w:val="172033"/>
          <w:sz w:val="22"/>
        </w:rPr>
        <w:t>El candidato exacto debe ejecutarse en el ambiente aplicable. Para web, usar navegador cuando esté disponible y revisar comportamiento, interacciones, responsive, consola y criterios visuales. Sin ambiente o capacidad: PENDING_VALIDATION/BLOCKED; nunca DONE o PASS.</w:t>
      </w:r>
    </w:p>
    <w:p>
      <w:r>
        <w:br w:type="page"/>
      </w:r>
    </w:p>
    <w:p>
      <w:pPr>
        <w:pStyle w:val="Heading1"/>
      </w:pPr>
      <w:r>
        <w:t>5. QA, regresión y Release Gate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2592"/>
        <w:gridCol w:w="3600"/>
      </w:tblGrid>
      <w:tr>
        <w:trPr>
          <w:tblHeader w:val="true"/>
        </w:trPr>
        <w:tc>
          <w:tcPr>
            <w:tcW w:type="dxa" w:w="31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Paso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Owner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Salida y stop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Implementación + validación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Developer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Evidencia durable; stop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QA y regresión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QA independiente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PASS/PARTIAL/FAIL/BLOCKED; stop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Release Gate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ORCHESTRATOR_PM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RELEASE_READY/NOT_READY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Producción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Autoridad ASK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Deploy + post-deploy validation</w:t>
            </w:r>
          </w:p>
        </w:tc>
      </w:tr>
    </w:tbl>
    <w:p>
      <w:pPr>
        <w:spacing w:after="40"/>
      </w:pPr>
    </w:p>
    <w:p>
      <w:pPr>
        <w:pStyle w:val="Heading2"/>
      </w:pPr>
      <w:r>
        <w:t>Evidencia válida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Identifica candidato, ambiente, actor, fecha y criterio.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Describe acción/comando y resultado observado.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Persiste en Git o tiene referencia durable y reproducible.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Declara cobertura y limitaciones; un informe PASS por sí solo no prueba nada.</w:t>
      </w:r>
    </w:p>
    <w:p>
      <w:pPr>
        <w:pStyle w:val="Heading2"/>
      </w:pPr>
      <w:r>
        <w:t>Protected Baseline</w:t>
      </w:r>
    </w:p>
    <w:p>
      <w:r>
        <w:rPr>
          <w:rFonts w:ascii="Calibri" w:hAnsi="Calibri"/>
          <w:b w:val="0"/>
          <w:i w:val="0"/>
          <w:color w:val="172033"/>
          <w:sz w:val="22"/>
        </w:rPr>
        <w:t>Impact Analysis protege comportamiento y contratos; para UI también composición, geometry, posicionamiento, contenido y responsive flow fuera de la superficie autorizada.</w:t>
      </w:r>
    </w:p>
    <w:p>
      <w:r>
        <w:br w:type="page"/>
      </w:r>
    </w:p>
    <w:p>
      <w:pPr>
        <w:pStyle w:val="Heading1"/>
      </w:pPr>
      <w:r>
        <w:t>6. Dashboard y documentación</w:t>
      </w:r>
    </w:p>
    <w:p>
      <w:r>
        <w:rPr>
          <w:rFonts w:ascii="Calibri" w:hAnsi="Calibri"/>
          <w:b w:val="0"/>
          <w:i w:val="0"/>
          <w:color w:val="172033"/>
          <w:sz w:val="22"/>
        </w:rPr>
        <w:t>Status, Help y Dashboard derivan del mismo modelo. El Dashboard muestra proyecto, Changes, ambientes, calidad/release, documentación y acción Sponsor; sincronizar cambia datos, no rediseña la plantilla.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Idioma Sponsor consistente; español por defecto.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Rol, nivel y autonomía siempre separados.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Acción humana y /aagm-continue antes de la acción interna.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Dashboard es derivado y nunca sustituye PROJECT_STATE/Git.</w:t>
      </w:r>
    </w:p>
    <w:p>
      <w:pPr>
        <w:pStyle w:val="Heading2"/>
      </w:pPr>
      <w:r>
        <w:t>Mapa documental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Ubicación</w:t>
            </w:r>
          </w:p>
        </w:tc>
        <w:tc>
          <w:tcPr>
            <w:tcW w:type="dxa" w:w="64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Contenido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.aagm/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Estado, gobierno y runtime de agentes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docs/product/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Producto y usuario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docs/technical/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Conocimiento técnico permanente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docs/operations/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Operación y deployment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docs/aagm/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Historia, decisiones, TPs, QA y evidencia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172033"/>
          <w:sz w:val="22"/>
        </w:rPr>
        <w:t>docs/README.md permite encontrar documentación por necesidad sin conocer la estructura interna de AAGM.</w:t>
      </w:r>
    </w:p>
    <w:p>
      <w:r>
        <w:br w:type="page"/>
      </w:r>
    </w:p>
    <w:p>
      <w:pPr>
        <w:pStyle w:val="Heading1"/>
      </w:pPr>
      <w:r>
        <w:t>7. Instalación, migración y comandos</w:t>
      </w:r>
    </w:p>
    <w:p>
      <w:pPr>
        <w:pStyle w:val="Heading2"/>
      </w:pPr>
      <w:r>
        <w:t>Instalación limpia</w:t>
      </w:r>
    </w:p>
    <w:p>
      <w:r>
        <w:rPr>
          <w:rFonts w:ascii="Calibri" w:hAnsi="Calibri"/>
          <w:b w:val="0"/>
          <w:i w:val="0"/>
          <w:color w:val="172033"/>
          <w:sz w:val="22"/>
        </w:rPr>
        <w:t>Ejecuta scripts/install_aagm.sh /ruta/al/proyecto. El instalador no crea aplicación, cloud ni CI/CD. Después ejecuta /aagm-bootstrap.</w:t>
      </w:r>
    </w:p>
    <w:p>
      <w:pPr>
        <w:pStyle w:val="Heading2"/>
      </w:pPr>
      <w:r>
        <w:t>Migración v1.9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033"/>
          <w:sz w:val="22"/>
        </w:rPr>
        <w:t>Crea checkpoint Git y confirma worktree limpio.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033"/>
          <w:sz w:val="22"/>
        </w:rPr>
        <w:t>Ejecuta el instalador con AAGM_ALLOW_UPGRADE=1.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033"/>
          <w:sz w:val="22"/>
        </w:rPr>
        <w:t>Mapea estado y TPs activos a Changes.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033"/>
          <w:sz w:val="22"/>
        </w:rPr>
        <w:t>Define ambientes y reclasifica integraciones sin inferencia.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033"/>
          <w:sz w:val="22"/>
        </w:rPr>
        <w:t>Revalida DONE sin evidencia y separa QA/Release Gate.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033"/>
          <w:sz w:val="22"/>
        </w:rPr>
        <w:t>Ejecuta verify_installation.py y /aagm-audit.</w:t>
      </w:r>
    </w:p>
    <w:p>
      <w:pPr>
        <w:pStyle w:val="Heading2"/>
      </w:pPr>
      <w:r>
        <w:t>Comandos principales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Comando</w:t>
            </w:r>
          </w:p>
        </w:tc>
        <w:tc>
          <w:tcPr>
            <w:tcW w:type="dxa" w:w="61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Uso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/aagm-status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Sincroniza, resume y abre Dashboard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/aagm-continue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Una unidad autorizada y stop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/aagm-run-qa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QA independiente y stop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/aagm-release-gate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Gate separado por ORCHESTRATOR_PM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/aagm-request-changes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Registra Change; no implementa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/aagm-audit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Audita sin reparar decisiones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Apéndice — Reglas que nunca deben inferirse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DETECTED no significa SELECTED, CONFIGURED ni VALIDATED.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READY_FOR_DELIVERY o RELEASE_READY no son fases.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DEFERRED no equivale a PASS.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Crear archivos no equivale a evidencia empírica.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Aceptar un requisito no autoriza implementación.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DONE técnico no sustituye validación/aceptación requerida.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QA no aprueba Release Gate.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Dashboard no es fuente de verdad.</w:t>
      </w:r>
    </w:p>
    <w:p>
      <w:pPr>
        <w:pStyle w:val="ListBullet"/>
      </w:pPr>
      <w:r>
        <w:rPr>
          <w:rFonts w:ascii="Calibri" w:hAnsi="Calibri"/>
          <w:b w:val="0"/>
          <w:i w:val="0"/>
          <w:color w:val="172033"/>
          <w:sz w:val="22"/>
        </w:rPr>
        <w:t>Producción no es un ambiente de prueba rutinario.</w:t>
      </w:r>
    </w:p>
    <w:p>
      <w:r>
        <w:rPr>
          <w:rFonts w:ascii="Calibri" w:hAnsi="Calibri"/>
          <w:b w:val="0"/>
          <w:i w:val="0"/>
          <w:color w:val="172033"/>
          <w:sz w:val="22"/>
        </w:rPr>
        <w:t>Fuente normativa: archivos versionados AAGM v1.10. Ante contradicción, prevalecen schemas, AGENTS.md, governance y el estado Git-tracked aplicable.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8"/>
      </w:rPr>
      <w:t>AI Agent GitOps Methodology · 29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7085"/>
        <w:sz w:val="18"/>
      </w:rPr>
      <w:t>AAGM v1.10 ·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AAGM v1.10 — Manual de usuario</dc:title>
  <dc:subject>AI Agent GitOps Methodology</dc:subject>
  <dc:creator>AAGM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