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365D"/>
          <w:sz w:val="32"/>
        </w:rPr>
        <w:t>Tablas y Resultados de Fiabilidad Inter-Iteraciones (Sección 6.6.1 / 7.1)</w:t>
      </w:r>
    </w:p>
    <w:p>
      <w:pPr>
        <w:spacing w:after="360"/>
      </w:pPr>
      <w:r>
        <w:rPr>
          <w:rFonts w:ascii="Calibri" w:hAnsi="Calibri"/>
          <w:i/>
          <w:color w:val="64748B"/>
          <w:sz w:val="20"/>
        </w:rPr>
        <w:t>TFM: Codificación Automatizada de Texto Clínico No Estructurado a Estándares CIF mediante Procesamiento de Lenguaje Natural</w:t>
      </w:r>
    </w:p>
    <w:p>
      <w:pPr>
        <w:spacing w:after="280"/>
      </w:pPr>
      <w:r>
        <w:t>A continuación se presentan las tablas estadísticas con formato estándar para publicación académica / inclusión directa en Microsoft Word. Las tablas han sido calculadas sobre el corpus de 114 historias clínicas y el espacio ontológico de 27 códigos CIF del Core Set de Dolor Crónico Generalizado (3.078 decisiones binarias por modelo, K = 3 iteraciones independientes).</w:t>
      </w:r>
    </w:p>
    <w:p>
      <w:pPr>
        <w:spacing w:after="120"/>
      </w:pPr>
      <w:r>
        <w:rPr>
          <w:b/>
        </w:rPr>
        <w:t xml:space="preserve">Tabla 1. </w:t>
      </w:r>
      <w:r>
        <w:t>Confiabilidad y reproducibilidad inter-iteraciones (K = 3) en la codificación CIF.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A365D"/>
          <w:bottom w:val="single" w:sz="12" w:space="0" w:color="1A365D"/>
          <w:insideH w:val="none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302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Modelo LLM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Despliegue</w:t>
            </w:r>
          </w:p>
        </w:tc>
        <w:tc>
          <w:tcPr>
            <w:tcW w:type="dxa" w:w="1152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Historias Evaluadas</w:t>
            </w:r>
          </w:p>
        </w:tc>
        <w:tc>
          <w:tcPr>
            <w:tcW w:type="dxa" w:w="1296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Acuerdo Exacto 3/3 (n)</w:t>
            </w:r>
          </w:p>
        </w:tc>
        <w:tc>
          <w:tcPr>
            <w:tcW w:type="dxa" w:w="1152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Exact Match (%)</w:t>
            </w:r>
          </w:p>
        </w:tc>
        <w:tc>
          <w:tcPr>
            <w:tcW w:type="dxa" w:w="1296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Acuerdo Observado Po (%)</w:t>
            </w:r>
          </w:p>
        </w:tc>
        <w:tc>
          <w:tcPr>
            <w:tcW w:type="dxa" w:w="1008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Gwet's AC1</w:t>
            </w:r>
          </w:p>
        </w:tc>
        <w:tc>
          <w:tcPr>
            <w:tcW w:type="dxa" w:w="1008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Krippendorff 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Gemma-4-31B-it (Local)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Local (On-Premise)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114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112/114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98.25%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99.9567%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0.9994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0.9983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3.5 (Cloud - Línea Base)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Cloud (API)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114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112/114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98.25%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99.9567%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0.9994</w:t>
            </w:r>
          </w:p>
        </w:tc>
        <w:tc>
          <w:tcPr>
            <w:tcW w:type="dxa" w:w="1008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0.9983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3.6 (Cloud)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Cloud (API)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114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114/114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100.00%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100.0000%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</w:tr>
    </w:tbl>
    <w:p>
      <w:pPr>
        <w:spacing w:before="80" w:after="320"/>
      </w:pPr>
      <w:r>
        <w:rPr>
          <w:i/>
          <w:color w:val="64748B"/>
          <w:sz w:val="16"/>
        </w:rPr>
        <w:t>Nota: EMR = Exact Match Ratio a nivel paciente (conjunto idéntico de códigos en las 3 iteraciones); Po = Porcentaje de acuerdo observado sobre 3.078 decisiones binarias; Gwet's AC1 = Coeficiente de concordancia inter-evaluador corregido por azar y robusto al desbalanceo; Krippendorff α = Coeficiente nominal de reproducibilidad multievaluador.</w:t>
      </w:r>
    </w:p>
    <w:p>
      <w:pPr>
        <w:spacing w:after="120"/>
      </w:pPr>
      <w:r>
        <w:rPr>
          <w:b/>
        </w:rPr>
        <w:t xml:space="preserve">Tabla 2. </w:t>
      </w:r>
      <w:r>
        <w:t>Desglose del espacio de decisiones binarias ontológicas (114 historias × 27 códigos = 3.078 unidades).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A365D"/>
          <w:bottom w:val="single" w:sz="12" w:space="0" w:color="1A365D"/>
          <w:insideH w:val="none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Modelo LLM</w:t>
            </w:r>
          </w:p>
        </w:tc>
        <w:tc>
          <w:tcPr>
            <w:tcW w:type="dxa" w:w="1296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Total Decisiones Binarias</w:t>
            </w:r>
          </w:p>
        </w:tc>
        <w:tc>
          <w:tcPr>
            <w:tcW w:type="dxa" w:w="1728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Asignación Unánime SÍ [1,1,1]</w:t>
            </w:r>
          </w:p>
        </w:tc>
        <w:tc>
          <w:tcPr>
            <w:tcW w:type="dxa" w:w="1728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Abstención Unánime NO [0,0,0]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Discrepancia en Iteración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Determinismo Paciente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Gemma-4-31B-it (Local)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3078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464 (15.07%)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2612 (84.86%)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2 (0.06%)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112/114 (98.25%)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3.5 (Cloud - Línea Base)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3078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463 (15.04%)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2613 (84.89%)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2 (0.06%)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112/114 (98.25%)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3.6 (Cloud)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3078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462 (15.01%)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2616 (84.99%)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0 (0.00%)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114/114 (100.00%)</w:t>
            </w:r>
          </w:p>
        </w:tc>
      </w:tr>
    </w:tbl>
    <w:p>
      <w:pPr>
        <w:spacing w:before="80" w:after="320"/>
      </w:pPr>
      <w:r>
        <w:rPr>
          <w:i/>
          <w:color w:val="64748B"/>
          <w:sz w:val="16"/>
        </w:rPr>
        <w:t>Nota: Las asignaciones unánimes en SÍ [1,1,1] reflejan codificación afirmativa consistente; las abstenciones unánimes en NO [0,0,0] reflejan abstención diagnóstica correcta en códigos no presentes en la narrativa. Las discrepancias corresponden a códigos asignados en 1 o 2 de las 3 pasadas.</w:t>
      </w:r>
    </w:p>
    <w:p>
      <w:pPr>
        <w:spacing w:after="120"/>
      </w:pPr>
      <w:r>
        <w:rPr>
          <w:b/>
        </w:rPr>
        <w:t xml:space="preserve">Listado 1. </w:t>
      </w:r>
      <w:r>
        <w:t>Auditoría clínica de historias con discrepancias inter-iteraciones (K = 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A365D"/>
          <w:bottom w:val="single" w:sz="12" w:space="0" w:color="1A365D"/>
          <w:insideH w:val="none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Modelo</w:t>
            </w:r>
          </w:p>
        </w:tc>
        <w:tc>
          <w:tcPr>
            <w:tcW w:type="dxa" w:w="1296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Historia Clínica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Iteración 1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Iteración 2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Iteración 3</w:t>
            </w:r>
          </w:p>
        </w:tc>
        <w:tc>
          <w:tcPr>
            <w:tcW w:type="dxa" w:w="1584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Códigos en Consenso (3/3)</w:t>
            </w:r>
          </w:p>
        </w:tc>
        <w:tc>
          <w:tcPr>
            <w:tcW w:type="dxa" w:w="1728"/>
            <w:shd w:fill="F1F5F9"/>
            <w:tcBorders>
              <w:bottom w:val="single" w:sz="8" w:space="0" w:color="1A365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Código(s) Discrepante(s)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Gemma-4-31B-it (Local)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Historia #45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b280, d850, e1101, e355, e570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b280, d850, e1101, e355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b280, d850, e1101, e355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b280, d850, e1101, e355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e570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Gemma-4-31B-it (Local)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Historia #62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e410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e410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e355, e410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e410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e355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3.5 (Cloud - Línea Base)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Historia #19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e355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e355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3.5 (Cloud - Línea Base)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Historia #62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e355, e410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e410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e355, e410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b134, b280, e1101, e310, e410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e355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sz w:val="18"/>
              </w:rPr>
              <w:t>Gemini Flash 3.6 (Cloud)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Todas (114/114)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Acuerdo perfecto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Acuerdo perfecto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Acuerdo perfecto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100% Determinista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sz w:val="18"/>
              </w:rPr>
              <w:t>Ninguno (0 discrepancias)</w:t>
            </w:r>
          </w:p>
        </w:tc>
      </w:tr>
    </w:tbl>
    <w:p>
      <w:pPr>
        <w:spacing w:before="80" w:after="320"/>
      </w:pPr>
      <w:r>
        <w:rPr>
          <w:i/>
          <w:color w:val="64748B"/>
          <w:sz w:val="16"/>
        </w:rPr>
        <w:t>Nota: La estrategia de autoconsistencia (3/3 o voto mayoritario 2/3) resuelve automáticamente estas variaciones puntuales asegurando la reproducibilidad operativa.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