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Validación del Pipeline con Historias Clínicas de Fisioterapeutas: Tablas APA</w:t>
      </w:r>
    </w:p>
    <w:p>
      <w:pPr>
        <w:pStyle w:val="Normal"/>
      </w:pPr>
      <w:r>
        <w:t xml:space="preserve">Tabla 1. Evaluación global del desempeño diagnóstico y fiabilidad intra-modelo ante historias clínicas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80"/>
        <w:gridCol w:w="3340"/>
        <w:gridCol w:w="2400"/>
        <w:gridCol w:w="2459"/>
        <w:gridCol w:w="2459"/>
      </w:tblGrid>
      <w:tr>
        <w:trPr>
          <w:trHeight w:val="503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(Local)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(Cloud)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 (Cloud)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Corpus Clínico Humano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ontológico evaluado (N × 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567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de menciones CIF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Promedio de códigos por historia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5.62 ±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5.62 ±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5.62 ± 2.82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Criterio de consenso multi-iteración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4" w:space="0" w:color="D0D0D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Fiabilidad Intra-Modelo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Porcentaje de Acuerdo Exacto (PAE, %)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85.71%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Acuerdo Observado (Po,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98.59%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98.59%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99.41%</w:t>
            </w:r>
          </w:p>
        </w:tc>
      </w:tr>
      <w:tr>
        <w:trPr>
          <w:trHeight w:val="45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0.9918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Alfa (α) de Krippendorff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0.9552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0.9512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0.9792</w:t>
            </w:r>
          </w:p>
        </w:tc>
      </w:tr>
      <w:tr>
        <w:trPr>
          <w:trHeight w:val="496" w:hRule="auto"/>
        </w:trPr>
        <w:tc>
          <w:tcPr>
            <w:vMerge w:val="restart"/>
            <w:tcBorders>
              <w:bottom w:val="single" w:sz="4" w:space="0" w:color="D0D0D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Positivos / Alucinaciones (FP)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Negativos / Omisiones (FN)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19.05% (4/21)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38.10% (8/21)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33.33% (7/21)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4" w:space="0" w:color="D0D0D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Micro (Global)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0.8190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0.9255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0.7373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0.7713 [0.7035, 0.8458]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0.8113 [0.7308, 0.8958]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0.8208 [0.7480, 0.8934]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4" w:space="0" w:color="D0D0D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Macro (Promedio)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0.6199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0.6812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0.6849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0.4971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0.5117 [0.3983, 0.5604]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0.5421 [0.4192, 0.6067]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0.5537 [0.4452, 0.6086]</w:t>
            </w:r>
          </w:p>
        </w:tc>
      </w:tr>
      <w:tr>
        <w:trPr>
          <w:trHeight w:val="495" w:hRule="auto"/>
        </w:trPr>
        <w:tc>
          <w:tcPr>
            <w:vMerge w:val="restart"/>
            <w:tcBorders>
              <w:bottom w:val="single" w:sz="12" w:space="0" w:color="222222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Weighted (Ponderado)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0.8494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0.9083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0.9254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0.7373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0.7550 [0.6675, 0.8292]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0.7817 [0.6748, 0.8706]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0.7941 [0.6903, 0.8710]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2. Auditoría detallada de clasificación F1 por categoría CIF en historias humanas.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6"/>
        <w:gridCol w:w="907"/>
        <w:gridCol w:w="4261"/>
        <w:gridCol w:w="1352"/>
        <w:gridCol w:w="1677"/>
        <w:gridCol w:w="1412"/>
        <w:gridCol w:w="1412"/>
      </w:tblGrid>
      <w:tr>
        <w:trPr>
          <w:trHeight w:val="442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Categoría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Soporte Real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Gemma 31B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3.6 (F1)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Corporales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0.86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0.91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cognitivas superiores (Resolver problemas)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Sensaciones corporales y manejo del estrés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</w:t>
            </w:r>
          </w:p>
        </w:tc>
      </w:tr>
      <w:tr>
        <w:trPr>
          <w:trHeight w:val="433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Actividades y Participación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0.83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Tareas y demandas generales (Ocio)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0.67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0.93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0.93</w:t>
            </w:r>
          </w:p>
        </w:tc>
      </w:tr>
      <w:tr>
        <w:trPr>
          <w:trHeight w:val="397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Factores Ambientales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</w:t>
            </w:r>
          </w:p>
        </w:tc>
      </w:tr>
      <w:tr>
        <w:trPr>
          <w:trHeight w:val="397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3. Comparativa de generalización del pipeline: Rendimiento ante corpus sintético (N = 114) versus corpus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1371"/>
        <w:gridCol w:w="1447"/>
        <w:gridCol w:w="927"/>
        <w:gridCol w:w="1447"/>
        <w:gridCol w:w="1522"/>
        <w:gridCol w:w="927"/>
        <w:gridCol w:w="1447"/>
        <w:gridCol w:w="1522"/>
        <w:gridCol w:w="927"/>
      </w:tblGrid>
      <w:tr>
        <w:trPr>
          <w:trHeight w:val="4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Métrica Diagnóstica y Fiabilidad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3.6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3.6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</w:tr>
      <w:tr>
        <w:trPr>
          <w:trHeight w:val="449" w:hRule="auto"/>
        </w:trPr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82.46%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19.05%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23.1%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85.09%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38.10%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44.8%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84.21%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33.33%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39.6%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0.9698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0.8190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0.9149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93.9%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0.9740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0.9255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95.0%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76.2%</w:t>
            </w:r>
          </w:p>
        </w:tc>
      </w:tr>
      <w:tr>
        <w:trPr>
          <w:trHeight w:val="413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Micro-F1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0.9688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0.7713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79.6%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0.9720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0.8113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83.5%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0.8208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84.5%</w:t>
            </w:r>
          </w:p>
        </w:tc>
      </w:tr>
      <w:tr>
        <w:trPr>
          <w:trHeight w:val="413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0.8621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0.5117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0.8670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0.5421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0.8650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0.5537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64.0%</w:t>
            </w:r>
          </w:p>
        </w:tc>
      </w:tr>
      <w:tr>
        <w:trPr>
          <w:trHeight w:val="450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Weighted-F1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0.9597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0.7550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78.7%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0.9631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0.7817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81.2%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0.9617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0.7941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82.6%</w:t>
            </w:r>
          </w:p>
        </w:tc>
      </w:tr>
      <w:tr>
        <w:trPr>
          <w:trHeight w:val="449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Acuerdo Exacto Intra-Modelo (PAE, %)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63.0%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57.14%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85.71%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85.7%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99.2%</w:t>
            </w:r>
          </w:p>
        </w:tc>
      </w:tr>
      <w:tr>
        <w:trPr>
          <w:trHeight w:val="451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Alfa de Krippendorff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0.9552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95.7%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0.9512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95.3%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97.9%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2026-08-24T12:04:48Z</dcterms:modified>
  <cp:category/>
</cp:coreProperties>
</file>