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Apartado 5.3: Eficiencia Computacional y Estrategias de Inferencia</w:t>
      </w:r>
    </w:p>
    <w:p>
      <w:pPr>
        <w:pStyle w:val="Normal"/>
      </w:pPr>
      <w:r>
        <w:t xml:space="preserve">Tabla . Análisis de eficiencia computacional y rendimiento diagnóstico según la estrategia de inferencia (Pase Único vs Consenso Multi-Pase).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0"/>
        <w:gridCol w:w="2448"/>
        <w:gridCol w:w="1224"/>
        <w:gridCol w:w="864"/>
        <w:gridCol w:w="864"/>
        <w:gridCol w:w="864"/>
        <w:gridCol w:w="864"/>
        <w:gridCol w:w="864"/>
        <w:gridCol w:w="864"/>
      </w:tblGrid>
      <w:tr>
        <w:trPr>
          <w:trHeight w:val="360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Estrategia inferencia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Estrategia de Decisión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Coste Relativo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Gemma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Gemma (EMR)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Flash 3.5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Flash 3.5 (EMR)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Flash 3.7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Flash 3.7 (EMR)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Pase Único (K=1)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Iteración 1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1x (Óptimo)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0.9776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85.96%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86.84%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89.47%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Iteración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91.23%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Iteración 3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1x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0.9776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85.96%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0.9778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85.09%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0.9861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90.35%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222222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Multi-Pase (K=3)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Consenso Estricto (3/3)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3x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0.9797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86.84%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87.72%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89.47%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Voto Mayoritario (≥ 2/3)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86.84%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90.35%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Unión / Sensibilidad (≥ 1/3)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3x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0.9766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85.09%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0.9737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83.33%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0.9850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90" w:before="9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91.23%</w:t>
            </w:r>
          </w:p>
        </w:tc>
      </w:tr>
    </w:tbl>
    <w:p>
      <w:pPr>
        <w:pStyle w:val="Normal"/>
      </w:pPr>
      <w:r>
        <w:t xml:space="preserve">Nota. K: Número de pasadas o ejecuciones independientes por caso clínico. F1: Puntuación Micro-F1 frente al Ground Truth (N = 114). EMR: Exact Match Ratio (% de concordancia exacta perfecta multietiqueta). 1x (Óptimo): Menor coste computacional y latencia por caso clínico.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miguelvime</cp:lastModifiedBy>
  <cp:revision>9</cp:revision>
  <dcterms:created xsi:type="dcterms:W3CDTF">2017-02-28T11:18:00Z</dcterms:created>
  <dcterms:modified xsi:type="dcterms:W3CDTF">2026-08-26T14:25:29Z</dcterms:modified>
  <cp:category/>
</cp:coreProperties>
</file>