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Apartado 5.3: Características del conjunto de datos</w:t>
      </w:r>
    </w:p>
    <w:p>
      <w:pPr>
        <w:pStyle w:val="Normal"/>
      </w:pPr>
      <w:r>
        <w:t xml:space="preserve">Tabla . Características métricas del conjunto de datos sintético generado.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Textos clínicos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Códigos ICF extraídos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Códigos ICF únicos identificados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Códigos por texto clínico (Media ± 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4.08 ± 1.48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Códigos por texto clínico (Mediana)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60" w:right="1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</w:t>
            </w:r>
          </w:p>
        </w:tc>
      </w:tr>
    </w:tbl>
    <w:p>
      <w:pPr>
        <w:pStyle w:val="Normal"/>
      </w:pPr>
      <w:r>
        <w:t xml:space="preserve">Nota. DE: Desviación estándar. ICF: Clasificación Internacional del Funcionamiento, de la Discapacidad y de la Salud (CIF / OMS).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2026-08-26T14:25:22Z</dcterms:modified>
  <cp:category/>
</cp:coreProperties>
</file>